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3.xml" ContentType="application/vnd.openxmlformats-officedocument.wordprocessingml.head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A62D1" w:rsidRPr="005B3139" w:rsidRDefault="0036568A" w:rsidP="006A62D1">
      <w:pPr>
        <w:spacing w:line="360" w:lineRule="auto"/>
        <w:rPr>
          <w:rFonts w:ascii="Times New Roman" w:hAnsi="Times New Roman" w:cs="Times New Roman"/>
        </w:rPr>
      </w:pPr>
      <w:bookmarkStart w:id="0" w:name="_GoBack"/>
      <w:bookmarkEnd w:id="0"/>
      <w:r>
        <w:rPr>
          <w:rFonts w:ascii="Times New Roman" w:hAnsi="Times New Roman" w:cs="Times New Roman"/>
        </w:rPr>
        <w:t xml:space="preserve"> </w:t>
      </w:r>
    </w:p>
    <w:p w:rsidR="006A62D1" w:rsidRPr="005B3139" w:rsidRDefault="008F124C" w:rsidP="006A62D1">
      <w:pPr>
        <w:spacing w:after="0" w:line="360" w:lineRule="auto"/>
        <w:jc w:val="center"/>
        <w:rPr>
          <w:rFonts w:ascii="Times New Roman" w:eastAsia="Calibri" w:hAnsi="Times New Roman" w:cs="Times New Roman"/>
        </w:rPr>
      </w:pPr>
      <w:r>
        <w:rPr>
          <w:rFonts w:ascii="Times New Roman" w:hAnsi="Times New Roman" w:cs="Times New Roman"/>
        </w:rPr>
        <w:pict>
          <v:rect id="rectole0000000000" o:spid="_x0000_i1025" style="width:229.7pt;height:85.8pt" o:preferrelative="t" stroked="f">
            <v:imagedata r:id="rId8" o:title=""/>
          </v:rect>
        </w:pict>
      </w:r>
    </w:p>
    <w:p w:rsidR="006A62D1" w:rsidRPr="005B3139" w:rsidRDefault="006A62D1" w:rsidP="006A62D1">
      <w:pPr>
        <w:spacing w:after="0" w:line="360" w:lineRule="auto"/>
        <w:jc w:val="center"/>
        <w:rPr>
          <w:rFonts w:ascii="Times New Roman" w:eastAsia="Calibri" w:hAnsi="Times New Roman" w:cs="Times New Roman"/>
        </w:rPr>
      </w:pPr>
    </w:p>
    <w:p w:rsidR="006A62D1" w:rsidRPr="005B3139" w:rsidRDefault="006A62D1" w:rsidP="006A62D1">
      <w:pPr>
        <w:spacing w:after="0" w:line="360" w:lineRule="auto"/>
        <w:jc w:val="center"/>
        <w:rPr>
          <w:rFonts w:ascii="Times New Roman" w:eastAsia="Calibri" w:hAnsi="Times New Roman" w:cs="Times New Roman"/>
        </w:rPr>
      </w:pPr>
    </w:p>
    <w:p w:rsidR="00F94A92" w:rsidRDefault="00F94A92" w:rsidP="00F94A92">
      <w:pPr>
        <w:pStyle w:val="Title"/>
        <w:jc w:val="center"/>
        <w:rPr>
          <w:rFonts w:eastAsia="Calibri"/>
          <w:shd w:val="clear" w:color="auto" w:fill="FFFFFF"/>
        </w:rPr>
      </w:pPr>
      <w:r>
        <w:rPr>
          <w:rFonts w:eastAsia="Calibri"/>
          <w:shd w:val="clear" w:color="auto" w:fill="FFFFFF"/>
        </w:rPr>
        <w:t xml:space="preserve">Material Flow Analysis </w:t>
      </w:r>
    </w:p>
    <w:p w:rsidR="00F94A92" w:rsidRDefault="00F94A92" w:rsidP="00F94A92">
      <w:pPr>
        <w:pStyle w:val="Title"/>
        <w:jc w:val="center"/>
        <w:rPr>
          <w:rFonts w:eastAsia="Calibri"/>
          <w:shd w:val="clear" w:color="auto" w:fill="FFFFFF"/>
        </w:rPr>
      </w:pPr>
      <w:r>
        <w:rPr>
          <w:rFonts w:eastAsia="Calibri"/>
          <w:shd w:val="clear" w:color="auto" w:fill="FFFFFF"/>
        </w:rPr>
        <w:t xml:space="preserve">&amp; </w:t>
      </w:r>
    </w:p>
    <w:p w:rsidR="00F94A92" w:rsidRDefault="00F94A92" w:rsidP="00F94A92">
      <w:pPr>
        <w:pStyle w:val="Title"/>
        <w:jc w:val="center"/>
        <w:rPr>
          <w:rFonts w:eastAsia="Calibri"/>
          <w:shd w:val="clear" w:color="auto" w:fill="FFFFFF"/>
        </w:rPr>
      </w:pPr>
      <w:r>
        <w:rPr>
          <w:rFonts w:eastAsia="Calibri"/>
          <w:shd w:val="clear" w:color="auto" w:fill="FFFFFF"/>
        </w:rPr>
        <w:t xml:space="preserve">Life Cycle Assessment </w:t>
      </w:r>
    </w:p>
    <w:p w:rsidR="00F94A92" w:rsidRDefault="00B37976" w:rsidP="00F94A92">
      <w:pPr>
        <w:pStyle w:val="Title"/>
        <w:jc w:val="center"/>
        <w:rPr>
          <w:rFonts w:eastAsia="Calibri"/>
          <w:shd w:val="clear" w:color="auto" w:fill="FFFFFF"/>
        </w:rPr>
      </w:pPr>
      <w:r>
        <w:rPr>
          <w:rFonts w:eastAsia="Calibri"/>
          <w:shd w:val="clear" w:color="auto" w:fill="FFFFFF"/>
        </w:rPr>
        <w:t>O</w:t>
      </w:r>
      <w:r w:rsidR="00F94A92">
        <w:rPr>
          <w:rFonts w:eastAsia="Calibri"/>
          <w:shd w:val="clear" w:color="auto" w:fill="FFFFFF"/>
        </w:rPr>
        <w:t>f</w:t>
      </w:r>
    </w:p>
    <w:p w:rsidR="006A62D1" w:rsidRPr="005B3139" w:rsidRDefault="00B37976" w:rsidP="00F94A92">
      <w:pPr>
        <w:pStyle w:val="Title"/>
        <w:jc w:val="center"/>
        <w:rPr>
          <w:rFonts w:eastAsia="Calibri"/>
          <w:shd w:val="clear" w:color="auto" w:fill="FFFFFF"/>
        </w:rPr>
      </w:pPr>
      <w:r>
        <w:rPr>
          <w:rFonts w:eastAsia="Calibri"/>
          <w:shd w:val="clear" w:color="auto" w:fill="FFFFFF"/>
        </w:rPr>
        <w:t xml:space="preserve"> C</w:t>
      </w:r>
      <w:r w:rsidR="005E701E">
        <w:rPr>
          <w:rFonts w:eastAsia="Calibri"/>
          <w:shd w:val="clear" w:color="auto" w:fill="FFFFFF"/>
        </w:rPr>
        <w:t>ritical a</w:t>
      </w:r>
      <w:r w:rsidR="00A23BEF">
        <w:rPr>
          <w:rFonts w:eastAsia="Calibri"/>
          <w:shd w:val="clear" w:color="auto" w:fill="FFFFFF"/>
        </w:rPr>
        <w:t>lloys in the S</w:t>
      </w:r>
      <w:r w:rsidR="00F94A92" w:rsidRPr="00F94A92">
        <w:rPr>
          <w:rFonts w:eastAsia="Calibri"/>
          <w:shd w:val="clear" w:color="auto" w:fill="FFFFFF"/>
        </w:rPr>
        <w:t>teel industry</w:t>
      </w:r>
    </w:p>
    <w:p w:rsidR="006A62D1" w:rsidRPr="005B3139" w:rsidRDefault="006A62D1" w:rsidP="00D21CD4">
      <w:pPr>
        <w:spacing w:after="0" w:line="360" w:lineRule="auto"/>
        <w:rPr>
          <w:rFonts w:ascii="Times New Roman" w:eastAsia="Calibri" w:hAnsi="Times New Roman" w:cs="Times New Roman"/>
        </w:rPr>
      </w:pPr>
    </w:p>
    <w:p w:rsidR="006A62D1" w:rsidRPr="005B3139" w:rsidRDefault="006A62D1" w:rsidP="006A62D1">
      <w:pPr>
        <w:spacing w:after="0" w:line="360" w:lineRule="auto"/>
        <w:jc w:val="center"/>
        <w:rPr>
          <w:rFonts w:ascii="Times New Roman" w:eastAsia="Calibri" w:hAnsi="Times New Roman" w:cs="Times New Roman"/>
          <w:b/>
        </w:rPr>
      </w:pPr>
      <w:r w:rsidRPr="005B3139">
        <w:rPr>
          <w:rFonts w:ascii="Times New Roman" w:eastAsia="Calibri" w:hAnsi="Times New Roman" w:cs="Times New Roman"/>
          <w:b/>
        </w:rPr>
        <w:t>By:</w:t>
      </w:r>
    </w:p>
    <w:p w:rsidR="006A62D1" w:rsidRPr="005B3139" w:rsidRDefault="006A62D1" w:rsidP="006A62D1">
      <w:pPr>
        <w:spacing w:after="0" w:line="360" w:lineRule="auto"/>
        <w:jc w:val="center"/>
        <w:rPr>
          <w:rFonts w:ascii="Times New Roman" w:eastAsia="Calibri" w:hAnsi="Times New Roman" w:cs="Times New Roman"/>
        </w:rPr>
      </w:pPr>
    </w:p>
    <w:p w:rsidR="006A62D1" w:rsidRPr="005B3139" w:rsidRDefault="00AD5957" w:rsidP="00D21CD4">
      <w:pPr>
        <w:spacing w:after="0" w:line="360" w:lineRule="auto"/>
        <w:jc w:val="center"/>
        <w:rPr>
          <w:rFonts w:ascii="Times New Roman" w:eastAsia="Calibri" w:hAnsi="Times New Roman" w:cs="Times New Roman"/>
        </w:rPr>
      </w:pPr>
      <w:r>
        <w:rPr>
          <w:rFonts w:ascii="Times New Roman" w:eastAsia="Calibri" w:hAnsi="Times New Roman" w:cs="Times New Roman"/>
        </w:rPr>
        <w:t>Muhamme</w:t>
      </w:r>
      <w:r w:rsidR="00D21CD4">
        <w:rPr>
          <w:rFonts w:ascii="Times New Roman" w:eastAsia="Calibri" w:hAnsi="Times New Roman" w:cs="Times New Roman"/>
        </w:rPr>
        <w:t>d Raheel Afzal</w:t>
      </w:r>
    </w:p>
    <w:p w:rsidR="006A62D1" w:rsidRPr="005B3139" w:rsidRDefault="006A62D1" w:rsidP="006A62D1">
      <w:pPr>
        <w:spacing w:after="0" w:line="360" w:lineRule="auto"/>
        <w:rPr>
          <w:rFonts w:ascii="Times New Roman" w:eastAsia="Calibri" w:hAnsi="Times New Roman" w:cs="Times New Roman"/>
        </w:rPr>
      </w:pPr>
    </w:p>
    <w:p w:rsidR="006A62D1" w:rsidRPr="005B3139" w:rsidRDefault="006A62D1" w:rsidP="006A62D1">
      <w:pPr>
        <w:spacing w:after="0" w:line="360" w:lineRule="auto"/>
        <w:rPr>
          <w:rFonts w:ascii="Times New Roman" w:eastAsia="Calibri" w:hAnsi="Times New Roman" w:cs="Times New Roman"/>
        </w:rPr>
      </w:pPr>
    </w:p>
    <w:p w:rsidR="006A62D1" w:rsidRPr="005B3139" w:rsidRDefault="006A62D1" w:rsidP="006A62D1">
      <w:pPr>
        <w:spacing w:after="0" w:line="360" w:lineRule="auto"/>
        <w:jc w:val="center"/>
        <w:rPr>
          <w:rFonts w:ascii="Times New Roman" w:eastAsia="Calibri" w:hAnsi="Times New Roman" w:cs="Times New Roman"/>
        </w:rPr>
      </w:pPr>
      <w:r w:rsidRPr="005B3139">
        <w:rPr>
          <w:rFonts w:ascii="Times New Roman" w:eastAsia="Calibri" w:hAnsi="Times New Roman" w:cs="Times New Roman"/>
        </w:rPr>
        <w:t>A thesis submitted in partial fulfilment of the requirements for the degree of</w:t>
      </w:r>
    </w:p>
    <w:p w:rsidR="006A62D1" w:rsidRPr="005B3139" w:rsidRDefault="006A62D1" w:rsidP="006A62D1">
      <w:pPr>
        <w:spacing w:line="360" w:lineRule="auto"/>
        <w:jc w:val="center"/>
        <w:rPr>
          <w:rFonts w:ascii="Times New Roman" w:eastAsia="Calibri" w:hAnsi="Times New Roman" w:cs="Times New Roman"/>
        </w:rPr>
      </w:pPr>
      <w:r w:rsidRPr="005B3139">
        <w:rPr>
          <w:rFonts w:ascii="Times New Roman" w:eastAsia="Calibri" w:hAnsi="Times New Roman" w:cs="Times New Roman"/>
        </w:rPr>
        <w:t xml:space="preserve">Doctor of Philosophy </w:t>
      </w:r>
    </w:p>
    <w:p w:rsidR="006A62D1" w:rsidRPr="005B3139" w:rsidRDefault="006A62D1" w:rsidP="006A62D1">
      <w:pPr>
        <w:spacing w:line="360" w:lineRule="auto"/>
        <w:rPr>
          <w:rFonts w:ascii="Times New Roman" w:eastAsia="Calibri" w:hAnsi="Times New Roman" w:cs="Times New Roman"/>
        </w:rPr>
      </w:pPr>
    </w:p>
    <w:p w:rsidR="006A62D1" w:rsidRPr="005B3139" w:rsidRDefault="006A62D1" w:rsidP="006A62D1">
      <w:pPr>
        <w:spacing w:after="0" w:line="360" w:lineRule="auto"/>
        <w:jc w:val="center"/>
        <w:rPr>
          <w:rFonts w:ascii="Times New Roman" w:eastAsia="Calibri" w:hAnsi="Times New Roman" w:cs="Times New Roman"/>
        </w:rPr>
      </w:pPr>
      <w:r w:rsidRPr="005B3139">
        <w:rPr>
          <w:rFonts w:ascii="Times New Roman" w:eastAsia="Calibri" w:hAnsi="Times New Roman" w:cs="Times New Roman"/>
        </w:rPr>
        <w:t>The University of Sheffield</w:t>
      </w:r>
    </w:p>
    <w:p w:rsidR="006A62D1" w:rsidRPr="005B3139" w:rsidRDefault="006A62D1" w:rsidP="006A62D1">
      <w:pPr>
        <w:spacing w:after="0" w:line="360" w:lineRule="auto"/>
        <w:jc w:val="center"/>
        <w:rPr>
          <w:rFonts w:ascii="Times New Roman" w:eastAsia="Calibri" w:hAnsi="Times New Roman" w:cs="Times New Roman"/>
        </w:rPr>
      </w:pPr>
      <w:r w:rsidRPr="005B3139">
        <w:rPr>
          <w:rFonts w:ascii="Times New Roman" w:eastAsia="Calibri" w:hAnsi="Times New Roman" w:cs="Times New Roman"/>
        </w:rPr>
        <w:t>Faculty of Engineering</w:t>
      </w:r>
    </w:p>
    <w:p w:rsidR="006A62D1" w:rsidRPr="005B3139" w:rsidRDefault="00AD5957" w:rsidP="006A62D1">
      <w:pPr>
        <w:spacing w:line="360" w:lineRule="auto"/>
        <w:jc w:val="center"/>
        <w:rPr>
          <w:rFonts w:ascii="Times New Roman" w:eastAsia="Calibri" w:hAnsi="Times New Roman" w:cs="Times New Roman"/>
        </w:rPr>
      </w:pPr>
      <w:r>
        <w:rPr>
          <w:rFonts w:ascii="Times New Roman" w:eastAsia="Calibri" w:hAnsi="Times New Roman" w:cs="Times New Roman"/>
        </w:rPr>
        <w:t xml:space="preserve"> Department</w:t>
      </w:r>
      <w:r w:rsidR="006A62D1" w:rsidRPr="005B3139">
        <w:rPr>
          <w:rFonts w:ascii="Times New Roman" w:eastAsia="Calibri" w:hAnsi="Times New Roman" w:cs="Times New Roman"/>
        </w:rPr>
        <w:t xml:space="preserve"> of Materials Science</w:t>
      </w:r>
    </w:p>
    <w:p w:rsidR="006A62D1" w:rsidRPr="005B3139" w:rsidRDefault="006A62D1" w:rsidP="006A62D1">
      <w:pPr>
        <w:spacing w:line="360" w:lineRule="auto"/>
        <w:jc w:val="center"/>
        <w:rPr>
          <w:rFonts w:ascii="Times New Roman" w:eastAsia="Calibri" w:hAnsi="Times New Roman" w:cs="Times New Roman"/>
        </w:rPr>
      </w:pPr>
    </w:p>
    <w:p w:rsidR="005F4FED" w:rsidRDefault="005F4FED" w:rsidP="005F4FED">
      <w:pPr>
        <w:spacing w:line="360" w:lineRule="auto"/>
        <w:jc w:val="center"/>
        <w:rPr>
          <w:rFonts w:ascii="Times New Roman" w:eastAsia="Calibri" w:hAnsi="Times New Roman" w:cs="Times New Roman"/>
        </w:rPr>
      </w:pPr>
    </w:p>
    <w:p w:rsidR="00987AE7" w:rsidRPr="005F4FED" w:rsidRDefault="00AD5957" w:rsidP="005F4FED">
      <w:pPr>
        <w:spacing w:line="360" w:lineRule="auto"/>
        <w:jc w:val="center"/>
        <w:rPr>
          <w:rFonts w:ascii="Times New Roman" w:eastAsia="Calibri" w:hAnsi="Times New Roman" w:cs="Times New Roman"/>
        </w:rPr>
      </w:pPr>
      <w:r>
        <w:rPr>
          <w:rFonts w:ascii="Times New Roman" w:eastAsia="Calibri" w:hAnsi="Times New Roman" w:cs="Times New Roman"/>
        </w:rPr>
        <w:t>Submission Date: 28-02-2017</w:t>
      </w:r>
    </w:p>
    <w:p w:rsidR="006A62D1" w:rsidRPr="00F94A92" w:rsidRDefault="006A62D1" w:rsidP="00F94A92">
      <w:pPr>
        <w:pStyle w:val="Heading1"/>
      </w:pPr>
      <w:r w:rsidRPr="00F94A92">
        <w:lastRenderedPageBreak/>
        <w:t xml:space="preserve">Abstract </w:t>
      </w:r>
    </w:p>
    <w:p w:rsidR="00BE325C" w:rsidRPr="00CB44A3" w:rsidRDefault="00BE325C" w:rsidP="00BE325C">
      <w:pPr>
        <w:spacing w:after="0" w:line="360" w:lineRule="auto"/>
        <w:ind w:firstLine="720"/>
        <w:jc w:val="both"/>
        <w:rPr>
          <w:rFonts w:ascii="Times New Roman" w:eastAsia="Calibri Light" w:hAnsi="Times New Roman" w:cs="Times New Roman"/>
        </w:rPr>
      </w:pPr>
      <w:r w:rsidRPr="00CB44A3">
        <w:rPr>
          <w:rFonts w:ascii="Times New Roman" w:eastAsia="Calibri Light" w:hAnsi="Times New Roman" w:cs="Times New Roman"/>
        </w:rPr>
        <w:t>Ferro-alloys are essential in the steel making process and also play a pivotal role in the practical performance of steel products. Despite the significance of the ferro-alloy industry, a number of knowledge gaps exist. These include: definition of criticality, Material Flow Analysis (MFA) of critical elements and Life Cycle Assessment (LCA) of electricity and ferro-alloys.</w:t>
      </w:r>
    </w:p>
    <w:p w:rsidR="00BE325C" w:rsidRPr="00CB44A3" w:rsidRDefault="00BE325C" w:rsidP="00BE325C">
      <w:pPr>
        <w:spacing w:after="0" w:line="360" w:lineRule="auto"/>
        <w:ind w:firstLine="720"/>
        <w:jc w:val="both"/>
        <w:rPr>
          <w:rFonts w:ascii="Times New Roman" w:eastAsia="Calibri" w:hAnsi="Times New Roman" w:cs="Times New Roman"/>
        </w:rPr>
      </w:pPr>
      <w:r w:rsidRPr="00CB44A3">
        <w:rPr>
          <w:rFonts w:ascii="Times New Roman" w:eastAsia="Calibri Light" w:hAnsi="Times New Roman" w:cs="Times New Roman"/>
        </w:rPr>
        <w:t xml:space="preserve">The objective of this thesis was to address these knowledge gaps and make an original contribution. In order to fulfil this, </w:t>
      </w:r>
      <w:r w:rsidRPr="00CB44A3">
        <w:rPr>
          <w:rFonts w:ascii="Times New Roman" w:eastAsia="Calibri" w:hAnsi="Times New Roman" w:cs="Times New Roman"/>
        </w:rPr>
        <w:t>a comprehensive literature review was conducted which would help assess criticality as well as populating MFA and LCA models.</w:t>
      </w:r>
    </w:p>
    <w:p w:rsidR="00BE325C" w:rsidRPr="00CB44A3" w:rsidRDefault="00BE325C" w:rsidP="00BE325C">
      <w:pPr>
        <w:spacing w:after="0" w:line="360" w:lineRule="auto"/>
        <w:ind w:firstLine="720"/>
        <w:jc w:val="both"/>
        <w:rPr>
          <w:rFonts w:ascii="Times New Roman" w:eastAsia="Calibri Light" w:hAnsi="Times New Roman" w:cs="Times New Roman"/>
        </w:rPr>
      </w:pPr>
      <w:r w:rsidRPr="00CB44A3">
        <w:rPr>
          <w:rFonts w:ascii="Times New Roman" w:eastAsia="Calibri" w:hAnsi="Times New Roman" w:cs="Times New Roman"/>
        </w:rPr>
        <w:t>Noteworthy findings of this thesis include:</w:t>
      </w:r>
      <w:r w:rsidRPr="00CB44A3">
        <w:rPr>
          <w:rFonts w:ascii="Times New Roman" w:eastAsia="Calibri Light" w:hAnsi="Times New Roman" w:cs="Times New Roman"/>
        </w:rPr>
        <w:t xml:space="preserve"> there was no single definition of criticality and it was strongly dependant on the perspective from which it was conducted and on the purpose of its use.</w:t>
      </w:r>
    </w:p>
    <w:p w:rsidR="00BE325C" w:rsidRPr="00CB44A3" w:rsidRDefault="00BE325C" w:rsidP="00BE325C">
      <w:pPr>
        <w:spacing w:after="0" w:line="360" w:lineRule="auto"/>
        <w:jc w:val="both"/>
        <w:rPr>
          <w:rFonts w:ascii="Times New Roman" w:eastAsia="Calibri" w:hAnsi="Times New Roman" w:cs="Times New Roman"/>
        </w:rPr>
      </w:pPr>
      <w:r w:rsidRPr="00CB44A3">
        <w:rPr>
          <w:rFonts w:ascii="Times New Roman" w:eastAsia="Calibri Light" w:hAnsi="Times New Roman" w:cs="Times New Roman"/>
        </w:rPr>
        <w:t xml:space="preserve">In term of MFA, </w:t>
      </w:r>
      <w:r w:rsidRPr="00CB44A3">
        <w:rPr>
          <w:rFonts w:ascii="Times New Roman" w:hAnsi="Times New Roman"/>
        </w:rPr>
        <w:t>this thesis managed to produce five Sankey diagrams mapp</w:t>
      </w:r>
      <w:r>
        <w:rPr>
          <w:rFonts w:ascii="Times New Roman" w:hAnsi="Times New Roman"/>
        </w:rPr>
        <w:t xml:space="preserve">ing the flows of: </w:t>
      </w:r>
      <w:r w:rsidRPr="00CB44A3">
        <w:rPr>
          <w:rFonts w:ascii="Times New Roman" w:hAnsi="Times New Roman"/>
        </w:rPr>
        <w:t xml:space="preserve">steel, chromium, molybdenum, niobium and vanadium. </w:t>
      </w:r>
      <w:r>
        <w:rPr>
          <w:rFonts w:ascii="Times New Roman" w:hAnsi="Times New Roman"/>
        </w:rPr>
        <w:t>Of particular interest were</w:t>
      </w:r>
      <w:r w:rsidRPr="00CB44A3">
        <w:rPr>
          <w:rFonts w:ascii="Times New Roman" w:hAnsi="Times New Roman"/>
        </w:rPr>
        <w:t xml:space="preserve"> niobium and vanadium global flows, which provide a more up to date view with respect to current literature. With respect to LCA of electricity, a novel method was developed resulting in the creation of average electricity models based on global ferro-alloy production for five ferro-alloys (Fe-Cr, Fe-Mn, Fe-Ni, Fe-Si and Si-Mn). In terms of ferro-alloys, an overview of </w:t>
      </w:r>
      <w:r w:rsidRPr="00CB44A3">
        <w:rPr>
          <w:rFonts w:ascii="Times New Roman" w:eastAsia="Calibri" w:hAnsi="Times New Roman" w:cs="Times New Roman"/>
        </w:rPr>
        <w:t xml:space="preserve">existing literature resulted in the creation of ten ferro-alloys, including the more exotic alloys (i.e. Fe-B, Fe-Mo, F-Nb, Fe-Ti and Fe-V). These ferro-alloy models were then utilised in eight </w:t>
      </w:r>
      <w:r>
        <w:rPr>
          <w:rFonts w:ascii="Times New Roman" w:eastAsia="Calibri" w:hAnsi="Times New Roman" w:cs="Times New Roman"/>
        </w:rPr>
        <w:t>steel grades</w:t>
      </w:r>
      <w:r w:rsidRPr="00CB44A3">
        <w:rPr>
          <w:rFonts w:ascii="Times New Roman" w:eastAsia="Calibri" w:hAnsi="Times New Roman" w:cs="Times New Roman"/>
        </w:rPr>
        <w:t xml:space="preserve"> (i.e. Boron, DP800, DP600, S450, S390, S355, XF400 and IF grades) to reveal alloying additions produce significant additional CO</w:t>
      </w:r>
      <w:r w:rsidRPr="00CB44A3">
        <w:rPr>
          <w:rFonts w:ascii="Times New Roman" w:eastAsia="Calibri" w:hAnsi="Times New Roman" w:cs="Times New Roman"/>
          <w:vertAlign w:val="subscript"/>
        </w:rPr>
        <w:t>2</w:t>
      </w:r>
      <w:r w:rsidRPr="00CB44A3">
        <w:rPr>
          <w:rFonts w:ascii="Times New Roman" w:eastAsia="Calibri" w:hAnsi="Times New Roman" w:cs="Times New Roman"/>
        </w:rPr>
        <w:t xml:space="preserve"> impacts especially for dual phase steel grades.</w:t>
      </w:r>
    </w:p>
    <w:p w:rsidR="00BE325C" w:rsidRPr="004156AB" w:rsidRDefault="00BE325C" w:rsidP="00BE325C">
      <w:pPr>
        <w:spacing w:after="0" w:line="360" w:lineRule="auto"/>
        <w:ind w:firstLine="720"/>
        <w:jc w:val="both"/>
        <w:rPr>
          <w:rFonts w:ascii="Times New Roman" w:eastAsia="Calibri" w:hAnsi="Times New Roman" w:cs="Times New Roman"/>
        </w:rPr>
      </w:pPr>
      <w:r w:rsidRPr="00CB44A3">
        <w:rPr>
          <w:rFonts w:ascii="Times New Roman" w:eastAsia="Calibri" w:hAnsi="Times New Roman" w:cs="Times New Roman"/>
        </w:rPr>
        <w:t>In summary this thesis has made a number of original contributions to literature and results applied to real life applications in terms of steel grades.</w:t>
      </w:r>
    </w:p>
    <w:p w:rsidR="00BE325C" w:rsidRDefault="00BE325C" w:rsidP="00BE325C"/>
    <w:p w:rsidR="00BD4F13" w:rsidRDefault="00BD4F13" w:rsidP="005F4FED">
      <w:pPr>
        <w:sectPr w:rsidR="00BD4F13" w:rsidSect="00EB75C9">
          <w:headerReference w:type="default" r:id="rId9"/>
          <w:footerReference w:type="default" r:id="rId10"/>
          <w:headerReference w:type="first" r:id="rId11"/>
          <w:footerReference w:type="first" r:id="rId12"/>
          <w:pgSz w:w="11906" w:h="16838"/>
          <w:pgMar w:top="1440" w:right="1440" w:bottom="1440" w:left="1440" w:header="708" w:footer="708" w:gutter="0"/>
          <w:cols w:space="708"/>
          <w:docGrid w:linePitch="360"/>
        </w:sectPr>
      </w:pPr>
    </w:p>
    <w:p w:rsidR="006A62D1" w:rsidRPr="005B3139" w:rsidRDefault="006A62D1" w:rsidP="006A62D1">
      <w:pPr>
        <w:pStyle w:val="Heading1"/>
        <w:spacing w:line="360" w:lineRule="auto"/>
        <w:rPr>
          <w:rFonts w:ascii="Times New Roman" w:eastAsia="Calibri Light" w:hAnsi="Times New Roman" w:cs="Times New Roman"/>
          <w:sz w:val="22"/>
          <w:szCs w:val="22"/>
        </w:rPr>
      </w:pPr>
      <w:r w:rsidRPr="00F94A92">
        <w:lastRenderedPageBreak/>
        <w:t>Acknowledgements</w:t>
      </w:r>
      <w:r w:rsidRPr="005B3139">
        <w:rPr>
          <w:rFonts w:ascii="Times New Roman" w:eastAsia="Calibri Light" w:hAnsi="Times New Roman" w:cs="Times New Roman"/>
          <w:sz w:val="22"/>
          <w:szCs w:val="22"/>
        </w:rPr>
        <w:t xml:space="preserve"> </w:t>
      </w:r>
    </w:p>
    <w:p w:rsidR="009A54BB" w:rsidRDefault="00BD4F13" w:rsidP="009A54BB">
      <w:pPr>
        <w:spacing w:line="360" w:lineRule="auto"/>
        <w:ind w:firstLine="720"/>
        <w:contextualSpacing/>
        <w:jc w:val="both"/>
        <w:rPr>
          <w:rFonts w:ascii="Times New Roman" w:eastAsia="Calibri" w:hAnsi="Times New Roman" w:cs="Times New Roman"/>
        </w:rPr>
      </w:pPr>
      <w:r w:rsidRPr="00BD4F13">
        <w:rPr>
          <w:rFonts w:ascii="Times New Roman" w:eastAsia="Calibri" w:hAnsi="Times New Roman" w:cs="Times New Roman"/>
        </w:rPr>
        <w:t>I gratefully acknowledge the financial support of the Engineering and Physical Sciences Research Council UK (EPSRC) through the Centre for Doctoral Training in Advanced Metallic Systems.</w:t>
      </w:r>
      <w:r>
        <w:rPr>
          <w:rFonts w:ascii="Times New Roman" w:eastAsia="Calibri" w:hAnsi="Times New Roman" w:cs="Times New Roman"/>
        </w:rPr>
        <w:t xml:space="preserve">  I would</w:t>
      </w:r>
      <w:r w:rsidR="00615205">
        <w:rPr>
          <w:rFonts w:ascii="Times New Roman" w:eastAsia="Calibri" w:hAnsi="Times New Roman" w:cs="Times New Roman"/>
        </w:rPr>
        <w:t xml:space="preserve"> also like to thank Tata Steel </w:t>
      </w:r>
      <w:r>
        <w:rPr>
          <w:rFonts w:ascii="Times New Roman" w:eastAsia="Calibri" w:hAnsi="Times New Roman" w:cs="Times New Roman"/>
        </w:rPr>
        <w:t>Group Environmental</w:t>
      </w:r>
      <w:r w:rsidR="00615205">
        <w:rPr>
          <w:rFonts w:ascii="Times New Roman" w:eastAsia="Calibri" w:hAnsi="Times New Roman" w:cs="Times New Roman"/>
        </w:rPr>
        <w:t xml:space="preserve"> in particul</w:t>
      </w:r>
      <w:r w:rsidR="009A54BB">
        <w:rPr>
          <w:rFonts w:ascii="Times New Roman" w:eastAsia="Calibri" w:hAnsi="Times New Roman" w:cs="Times New Roman"/>
        </w:rPr>
        <w:t xml:space="preserve">ar, </w:t>
      </w:r>
      <w:r w:rsidR="00615205">
        <w:rPr>
          <w:rFonts w:ascii="Times New Roman" w:eastAsia="Calibri" w:hAnsi="Times New Roman" w:cs="Times New Roman"/>
        </w:rPr>
        <w:t>Dr Nick Coleman, Dr Pe</w:t>
      </w:r>
      <w:r w:rsidR="009A54BB">
        <w:rPr>
          <w:rFonts w:ascii="Times New Roman" w:eastAsia="Calibri" w:hAnsi="Times New Roman" w:cs="Times New Roman"/>
        </w:rPr>
        <w:t>ter Hodgson, and Mr Iain Miller</w:t>
      </w:r>
      <w:r w:rsidRPr="00BD4F13">
        <w:rPr>
          <w:rFonts w:ascii="Times New Roman" w:eastAsia="Calibri" w:hAnsi="Times New Roman" w:cs="Times New Roman"/>
        </w:rPr>
        <w:t xml:space="preserve"> for providing </w:t>
      </w:r>
      <w:r>
        <w:rPr>
          <w:rFonts w:ascii="Times New Roman" w:eastAsia="Calibri" w:hAnsi="Times New Roman" w:cs="Times New Roman"/>
        </w:rPr>
        <w:t>training in</w:t>
      </w:r>
      <w:r w:rsidR="009A54BB">
        <w:rPr>
          <w:rFonts w:ascii="Times New Roman" w:eastAsia="Calibri" w:hAnsi="Times New Roman" w:cs="Times New Roman"/>
        </w:rPr>
        <w:t xml:space="preserve"> use of LCA software as well as explaining the principles behind</w:t>
      </w:r>
      <w:r>
        <w:rPr>
          <w:rFonts w:ascii="Times New Roman" w:eastAsia="Calibri" w:hAnsi="Times New Roman" w:cs="Times New Roman"/>
        </w:rPr>
        <w:t xml:space="preserve"> LCA</w:t>
      </w:r>
      <w:r w:rsidR="009A54BB">
        <w:rPr>
          <w:rFonts w:ascii="Times New Roman" w:eastAsia="Calibri" w:hAnsi="Times New Roman" w:cs="Times New Roman"/>
        </w:rPr>
        <w:t xml:space="preserve">. Additionally I would also like to acknowledge my supervisors </w:t>
      </w:r>
      <w:r w:rsidR="008F124C">
        <w:rPr>
          <w:rFonts w:ascii="Times New Roman" w:eastAsia="Calibri" w:hAnsi="Times New Roman" w:cs="Times New Roman"/>
        </w:rPr>
        <w:t>at Tata Steel</w:t>
      </w:r>
      <w:r w:rsidR="009A54BB">
        <w:rPr>
          <w:rFonts w:ascii="Times New Roman" w:eastAsia="Calibri" w:hAnsi="Times New Roman" w:cs="Times New Roman"/>
        </w:rPr>
        <w:t xml:space="preserve"> Dr Paul </w:t>
      </w:r>
      <w:proofErr w:type="spellStart"/>
      <w:r w:rsidR="009A54BB">
        <w:rPr>
          <w:rFonts w:ascii="Times New Roman" w:eastAsia="Calibri" w:hAnsi="Times New Roman" w:cs="Times New Roman"/>
        </w:rPr>
        <w:t>Bruton</w:t>
      </w:r>
      <w:proofErr w:type="spellEnd"/>
      <w:r w:rsidR="009A54BB">
        <w:rPr>
          <w:rFonts w:ascii="Times New Roman" w:eastAsia="Calibri" w:hAnsi="Times New Roman" w:cs="Times New Roman"/>
        </w:rPr>
        <w:t xml:space="preserve"> and Dr Andrew Davies for their support and encouragement whilst simultaneously working at Tata Steel and finishing my PhD.</w:t>
      </w:r>
    </w:p>
    <w:p w:rsidR="009A54BB" w:rsidRDefault="00BD4F13" w:rsidP="009A54BB">
      <w:pPr>
        <w:spacing w:line="360" w:lineRule="auto"/>
        <w:ind w:firstLine="720"/>
        <w:contextualSpacing/>
        <w:jc w:val="both"/>
        <w:rPr>
          <w:rFonts w:ascii="Times New Roman" w:eastAsia="Calibri" w:hAnsi="Times New Roman" w:cs="Times New Roman"/>
        </w:rPr>
      </w:pPr>
      <w:r w:rsidRPr="00BD4F13">
        <w:rPr>
          <w:rFonts w:ascii="Times New Roman" w:eastAsia="Calibri" w:hAnsi="Times New Roman" w:cs="Times New Roman"/>
        </w:rPr>
        <w:t xml:space="preserve">I would like to </w:t>
      </w:r>
      <w:r w:rsidR="009A54BB" w:rsidRPr="00BD4F13">
        <w:rPr>
          <w:rFonts w:ascii="Times New Roman" w:eastAsia="Calibri" w:hAnsi="Times New Roman" w:cs="Times New Roman"/>
        </w:rPr>
        <w:t>show my appreciation to</w:t>
      </w:r>
      <w:r w:rsidR="009A54BB">
        <w:rPr>
          <w:rFonts w:ascii="Times New Roman" w:eastAsia="Calibri" w:hAnsi="Times New Roman" w:cs="Times New Roman"/>
        </w:rPr>
        <w:t xml:space="preserve"> my peers in the CDT cohort 2016 and </w:t>
      </w:r>
      <w:r w:rsidRPr="00BD4F13">
        <w:rPr>
          <w:rFonts w:ascii="Times New Roman" w:eastAsia="Calibri" w:hAnsi="Times New Roman" w:cs="Times New Roman"/>
        </w:rPr>
        <w:t xml:space="preserve">express my special thanks </w:t>
      </w:r>
      <w:r w:rsidR="00615205">
        <w:rPr>
          <w:rFonts w:ascii="Times New Roman" w:eastAsia="Calibri" w:hAnsi="Times New Roman" w:cs="Times New Roman"/>
        </w:rPr>
        <w:t>to</w:t>
      </w:r>
      <w:r w:rsidR="009A54BB">
        <w:rPr>
          <w:rFonts w:ascii="Times New Roman" w:eastAsia="Calibri" w:hAnsi="Times New Roman" w:cs="Times New Roman"/>
        </w:rPr>
        <w:t xml:space="preserve"> my University of Sheffield supervisor</w:t>
      </w:r>
      <w:r w:rsidR="00615205">
        <w:rPr>
          <w:rFonts w:ascii="Times New Roman" w:eastAsia="Calibri" w:hAnsi="Times New Roman" w:cs="Times New Roman"/>
        </w:rPr>
        <w:t xml:space="preserve"> Dr</w:t>
      </w:r>
      <w:r>
        <w:rPr>
          <w:rFonts w:ascii="Times New Roman" w:eastAsia="Calibri" w:hAnsi="Times New Roman" w:cs="Times New Roman"/>
        </w:rPr>
        <w:t xml:space="preserve"> Richard Thackray</w:t>
      </w:r>
      <w:r w:rsidR="009A54BB">
        <w:rPr>
          <w:rFonts w:ascii="Times New Roman" w:eastAsia="Calibri" w:hAnsi="Times New Roman" w:cs="Times New Roman"/>
        </w:rPr>
        <w:t>,</w:t>
      </w:r>
      <w:r>
        <w:rPr>
          <w:rFonts w:ascii="Times New Roman" w:eastAsia="Calibri" w:hAnsi="Times New Roman" w:cs="Times New Roman"/>
        </w:rPr>
        <w:t xml:space="preserve"> for his guidance and support. </w:t>
      </w:r>
    </w:p>
    <w:p w:rsidR="006A62D1" w:rsidRPr="005B3139" w:rsidRDefault="00BD4F13" w:rsidP="009A54BB">
      <w:pPr>
        <w:spacing w:line="360" w:lineRule="auto"/>
        <w:ind w:firstLine="720"/>
        <w:contextualSpacing/>
        <w:jc w:val="both"/>
        <w:rPr>
          <w:rFonts w:ascii="Times New Roman" w:eastAsia="Calibri" w:hAnsi="Times New Roman" w:cs="Times New Roman"/>
        </w:rPr>
      </w:pPr>
      <w:r>
        <w:rPr>
          <w:rFonts w:ascii="Times New Roman" w:eastAsia="Calibri" w:hAnsi="Times New Roman" w:cs="Times New Roman"/>
        </w:rPr>
        <w:t>Lastly I would like to thank my</w:t>
      </w:r>
      <w:r w:rsidR="009A54BB">
        <w:rPr>
          <w:rFonts w:ascii="Times New Roman" w:eastAsia="Calibri" w:hAnsi="Times New Roman" w:cs="Times New Roman"/>
        </w:rPr>
        <w:t xml:space="preserve"> frie</w:t>
      </w:r>
      <w:r w:rsidR="001419C8">
        <w:rPr>
          <w:rFonts w:ascii="Times New Roman" w:eastAsia="Calibri" w:hAnsi="Times New Roman" w:cs="Times New Roman"/>
        </w:rPr>
        <w:t>nds (</w:t>
      </w:r>
      <w:r w:rsidR="009A54BB">
        <w:rPr>
          <w:rFonts w:ascii="Times New Roman" w:eastAsia="Calibri" w:hAnsi="Times New Roman" w:cs="Times New Roman"/>
        </w:rPr>
        <w:t>Jamal Miah, Kamal Miah</w:t>
      </w:r>
      <w:r w:rsidR="001419C8">
        <w:rPr>
          <w:rFonts w:ascii="Times New Roman" w:eastAsia="Calibri" w:hAnsi="Times New Roman" w:cs="Times New Roman"/>
        </w:rPr>
        <w:t>, Maz Nayyar, Chung To</w:t>
      </w:r>
      <w:r w:rsidR="003B2D14">
        <w:rPr>
          <w:rFonts w:ascii="Times New Roman" w:eastAsia="Calibri" w:hAnsi="Times New Roman" w:cs="Times New Roman"/>
        </w:rPr>
        <w:t xml:space="preserve"> &amp;</w:t>
      </w:r>
      <w:r w:rsidR="009A54BB">
        <w:rPr>
          <w:rFonts w:ascii="Times New Roman" w:eastAsia="Calibri" w:hAnsi="Times New Roman" w:cs="Times New Roman"/>
        </w:rPr>
        <w:t xml:space="preserve"> Suleman Rana) and</w:t>
      </w:r>
      <w:r w:rsidR="003B2D14">
        <w:rPr>
          <w:rFonts w:ascii="Times New Roman" w:eastAsia="Calibri" w:hAnsi="Times New Roman" w:cs="Times New Roman"/>
        </w:rPr>
        <w:t xml:space="preserve"> my</w:t>
      </w:r>
      <w:r>
        <w:rPr>
          <w:rFonts w:ascii="Times New Roman" w:eastAsia="Calibri" w:hAnsi="Times New Roman" w:cs="Times New Roman"/>
        </w:rPr>
        <w:t xml:space="preserve"> family</w:t>
      </w:r>
      <w:r w:rsidR="002E54AF">
        <w:rPr>
          <w:rFonts w:ascii="Times New Roman" w:eastAsia="Calibri" w:hAnsi="Times New Roman" w:cs="Times New Roman"/>
        </w:rPr>
        <w:t xml:space="preserve"> (Mum, Dad</w:t>
      </w:r>
      <w:r w:rsidR="003B2D14">
        <w:rPr>
          <w:rFonts w:ascii="Times New Roman" w:eastAsia="Calibri" w:hAnsi="Times New Roman" w:cs="Times New Roman"/>
        </w:rPr>
        <w:t xml:space="preserve">, Dr </w:t>
      </w:r>
      <w:proofErr w:type="spellStart"/>
      <w:r w:rsidR="003B2D14">
        <w:rPr>
          <w:rFonts w:ascii="Times New Roman" w:eastAsia="Calibri" w:hAnsi="Times New Roman" w:cs="Times New Roman"/>
        </w:rPr>
        <w:t>Fazil</w:t>
      </w:r>
      <w:proofErr w:type="spellEnd"/>
      <w:r w:rsidR="003B2D14">
        <w:rPr>
          <w:rFonts w:ascii="Times New Roman" w:eastAsia="Calibri" w:hAnsi="Times New Roman" w:cs="Times New Roman"/>
        </w:rPr>
        <w:t xml:space="preserve"> Afzal &amp; </w:t>
      </w:r>
      <w:proofErr w:type="spellStart"/>
      <w:r w:rsidR="003B2D14">
        <w:rPr>
          <w:rFonts w:ascii="Times New Roman" w:eastAsia="Calibri" w:hAnsi="Times New Roman" w:cs="Times New Roman"/>
        </w:rPr>
        <w:t>Saira</w:t>
      </w:r>
      <w:proofErr w:type="spellEnd"/>
      <w:r w:rsidR="003B2D14">
        <w:rPr>
          <w:rFonts w:ascii="Times New Roman" w:eastAsia="Calibri" w:hAnsi="Times New Roman" w:cs="Times New Roman"/>
        </w:rPr>
        <w:t xml:space="preserve"> Afzal)</w:t>
      </w:r>
      <w:r>
        <w:rPr>
          <w:rFonts w:ascii="Times New Roman" w:eastAsia="Calibri" w:hAnsi="Times New Roman" w:cs="Times New Roman"/>
        </w:rPr>
        <w:t xml:space="preserve"> for continually supporting me physically, spiritually and emotionally through this </w:t>
      </w:r>
      <w:r w:rsidR="009A54BB">
        <w:rPr>
          <w:rFonts w:ascii="Times New Roman" w:eastAsia="Calibri" w:hAnsi="Times New Roman" w:cs="Times New Roman"/>
        </w:rPr>
        <w:t xml:space="preserve">life altering </w:t>
      </w:r>
      <w:r>
        <w:rPr>
          <w:rFonts w:ascii="Times New Roman" w:eastAsia="Calibri" w:hAnsi="Times New Roman" w:cs="Times New Roman"/>
        </w:rPr>
        <w:t>journey.</w:t>
      </w:r>
    </w:p>
    <w:p w:rsidR="006A62D1" w:rsidRPr="005B3139" w:rsidRDefault="006A62D1" w:rsidP="009A54BB">
      <w:pPr>
        <w:spacing w:line="360" w:lineRule="auto"/>
        <w:ind w:firstLine="720"/>
        <w:contextualSpacing/>
        <w:rPr>
          <w:rFonts w:ascii="Times New Roman" w:eastAsia="Calibri" w:hAnsi="Times New Roman" w:cs="Times New Roman"/>
          <w:b/>
        </w:rPr>
      </w:pPr>
    </w:p>
    <w:p w:rsidR="00BD4F13" w:rsidRDefault="00BD4F13" w:rsidP="009A54BB">
      <w:pPr>
        <w:spacing w:line="360" w:lineRule="auto"/>
        <w:ind w:firstLine="720"/>
        <w:contextualSpacing/>
        <w:rPr>
          <w:rFonts w:ascii="Times New Roman" w:eastAsia="Calibri" w:hAnsi="Times New Roman" w:cs="Times New Roman"/>
          <w:b/>
        </w:rPr>
        <w:sectPr w:rsidR="00BD4F13">
          <w:pgSz w:w="11906" w:h="16838"/>
          <w:pgMar w:top="1440" w:right="1440" w:bottom="1440" w:left="1440" w:header="708" w:footer="708" w:gutter="0"/>
          <w:cols w:space="708"/>
          <w:docGrid w:linePitch="360"/>
        </w:sectPr>
      </w:pPr>
    </w:p>
    <w:p w:rsidR="006A62D1" w:rsidRPr="005B3139" w:rsidRDefault="006A62D1" w:rsidP="006A62D1">
      <w:pPr>
        <w:pStyle w:val="Heading1"/>
        <w:spacing w:line="360" w:lineRule="auto"/>
        <w:rPr>
          <w:rFonts w:ascii="Times New Roman" w:eastAsia="Calibri Light" w:hAnsi="Times New Roman" w:cs="Times New Roman"/>
          <w:sz w:val="22"/>
          <w:szCs w:val="22"/>
        </w:rPr>
      </w:pPr>
      <w:r w:rsidRPr="00F94A92">
        <w:lastRenderedPageBreak/>
        <w:t>List of Figures</w:t>
      </w:r>
    </w:p>
    <w:p w:rsidR="002016F1" w:rsidRPr="009F35F9" w:rsidRDefault="009A0ED7">
      <w:pPr>
        <w:pStyle w:val="TableofFigures"/>
        <w:tabs>
          <w:tab w:val="right" w:leader="dot" w:pos="9016"/>
        </w:tabs>
        <w:rPr>
          <w:rFonts w:ascii="Times New Roman" w:hAnsi="Times New Roman" w:cs="Times New Roman"/>
          <w:noProof/>
        </w:rPr>
      </w:pPr>
      <w:r w:rsidRPr="00C126D3">
        <w:rPr>
          <w:rFonts w:ascii="Times New Roman" w:eastAsia="Calibri" w:hAnsi="Times New Roman" w:cs="Times New Roman"/>
        </w:rPr>
        <w:fldChar w:fldCharType="begin"/>
      </w:r>
      <w:r w:rsidR="003B4319" w:rsidRPr="00C126D3">
        <w:rPr>
          <w:rFonts w:ascii="Times New Roman" w:eastAsia="Calibri" w:hAnsi="Times New Roman" w:cs="Times New Roman"/>
        </w:rPr>
        <w:instrText xml:space="preserve"> TOC \h \z \c "Figure" </w:instrText>
      </w:r>
      <w:r w:rsidRPr="00C126D3">
        <w:rPr>
          <w:rFonts w:ascii="Times New Roman" w:eastAsia="Calibri" w:hAnsi="Times New Roman" w:cs="Times New Roman"/>
        </w:rPr>
        <w:fldChar w:fldCharType="separate"/>
      </w:r>
      <w:hyperlink w:anchor="_Toc495848334" w:history="1">
        <w:r w:rsidR="002016F1" w:rsidRPr="009F35F9">
          <w:rPr>
            <w:rStyle w:val="Hyperlink"/>
            <w:rFonts w:ascii="Times New Roman" w:hAnsi="Times New Roman" w:cs="Times New Roman"/>
            <w:noProof/>
            <w:u w:val="none"/>
          </w:rPr>
          <w:t xml:space="preserve">Figure 1. </w:t>
        </w:r>
        <w:r w:rsidR="002016F1" w:rsidRPr="009F35F9">
          <w:rPr>
            <w:rStyle w:val="Hyperlink"/>
            <w:rFonts w:ascii="Times New Roman" w:eastAsia="Calibri" w:hAnsi="Times New Roman" w:cs="Times New Roman"/>
            <w:noProof/>
            <w:u w:val="none"/>
          </w:rPr>
          <w:t>Basic Concept of Material Flow Analysis (Rodrigues &amp; Giljum 2004).</w:t>
        </w:r>
        <w:r w:rsidR="002016F1" w:rsidRPr="009F35F9">
          <w:rPr>
            <w:rFonts w:ascii="Times New Roman" w:hAnsi="Times New Roman" w:cs="Times New Roman"/>
            <w:noProof/>
            <w:webHidden/>
          </w:rPr>
          <w:tab/>
        </w:r>
        <w:r w:rsidR="002016F1" w:rsidRPr="009F35F9">
          <w:rPr>
            <w:rFonts w:ascii="Times New Roman" w:hAnsi="Times New Roman" w:cs="Times New Roman"/>
            <w:noProof/>
            <w:webHidden/>
          </w:rPr>
          <w:fldChar w:fldCharType="begin"/>
        </w:r>
        <w:r w:rsidR="002016F1" w:rsidRPr="009F35F9">
          <w:rPr>
            <w:rFonts w:ascii="Times New Roman" w:hAnsi="Times New Roman" w:cs="Times New Roman"/>
            <w:noProof/>
            <w:webHidden/>
          </w:rPr>
          <w:instrText xml:space="preserve"> PAGEREF _Toc495848334 \h </w:instrText>
        </w:r>
        <w:r w:rsidR="002016F1" w:rsidRPr="009F35F9">
          <w:rPr>
            <w:rFonts w:ascii="Times New Roman" w:hAnsi="Times New Roman" w:cs="Times New Roman"/>
            <w:noProof/>
            <w:webHidden/>
          </w:rPr>
        </w:r>
        <w:r w:rsidR="002016F1" w:rsidRPr="009F35F9">
          <w:rPr>
            <w:rFonts w:ascii="Times New Roman" w:hAnsi="Times New Roman" w:cs="Times New Roman"/>
            <w:noProof/>
            <w:webHidden/>
          </w:rPr>
          <w:fldChar w:fldCharType="separate"/>
        </w:r>
        <w:r w:rsidR="009F5483" w:rsidRPr="009F35F9">
          <w:rPr>
            <w:rFonts w:ascii="Times New Roman" w:hAnsi="Times New Roman" w:cs="Times New Roman"/>
            <w:noProof/>
            <w:webHidden/>
          </w:rPr>
          <w:t>17</w:t>
        </w:r>
        <w:r w:rsidR="002016F1" w:rsidRPr="009F35F9">
          <w:rPr>
            <w:rFonts w:ascii="Times New Roman" w:hAnsi="Times New Roman" w:cs="Times New Roman"/>
            <w:noProof/>
            <w:webHidden/>
          </w:rPr>
          <w:fldChar w:fldCharType="end"/>
        </w:r>
      </w:hyperlink>
    </w:p>
    <w:p w:rsidR="002016F1" w:rsidRPr="009F35F9" w:rsidRDefault="008F124C">
      <w:pPr>
        <w:pStyle w:val="TableofFigures"/>
        <w:tabs>
          <w:tab w:val="right" w:leader="dot" w:pos="9016"/>
        </w:tabs>
        <w:rPr>
          <w:rFonts w:ascii="Times New Roman" w:hAnsi="Times New Roman" w:cs="Times New Roman"/>
          <w:noProof/>
        </w:rPr>
      </w:pPr>
      <w:hyperlink w:anchor="_Toc495848335" w:history="1">
        <w:r w:rsidR="002016F1" w:rsidRPr="009F35F9">
          <w:rPr>
            <w:rStyle w:val="Hyperlink"/>
            <w:rFonts w:ascii="Times New Roman" w:hAnsi="Times New Roman" w:cs="Times New Roman"/>
            <w:noProof/>
            <w:u w:val="none"/>
          </w:rPr>
          <w:t xml:space="preserve">Figure 2. </w:t>
        </w:r>
        <w:r w:rsidR="002016F1" w:rsidRPr="009F35F9">
          <w:rPr>
            <w:rStyle w:val="Hyperlink"/>
            <w:rFonts w:ascii="Times New Roman" w:eastAsia="Calibri" w:hAnsi="Times New Roman" w:cs="Times New Roman"/>
            <w:noProof/>
            <w:u w:val="none"/>
          </w:rPr>
          <w:t>Types of Material Flow-Related Analysis (Gregory 2006).</w:t>
        </w:r>
        <w:r w:rsidR="002016F1" w:rsidRPr="009F35F9">
          <w:rPr>
            <w:rFonts w:ascii="Times New Roman" w:hAnsi="Times New Roman" w:cs="Times New Roman"/>
            <w:noProof/>
            <w:webHidden/>
          </w:rPr>
          <w:tab/>
        </w:r>
        <w:r w:rsidR="002016F1" w:rsidRPr="009F35F9">
          <w:rPr>
            <w:rFonts w:ascii="Times New Roman" w:hAnsi="Times New Roman" w:cs="Times New Roman"/>
            <w:noProof/>
            <w:webHidden/>
          </w:rPr>
          <w:fldChar w:fldCharType="begin"/>
        </w:r>
        <w:r w:rsidR="002016F1" w:rsidRPr="009F35F9">
          <w:rPr>
            <w:rFonts w:ascii="Times New Roman" w:hAnsi="Times New Roman" w:cs="Times New Roman"/>
            <w:noProof/>
            <w:webHidden/>
          </w:rPr>
          <w:instrText xml:space="preserve"> PAGEREF _Toc495848335 \h </w:instrText>
        </w:r>
        <w:r w:rsidR="002016F1" w:rsidRPr="009F35F9">
          <w:rPr>
            <w:rFonts w:ascii="Times New Roman" w:hAnsi="Times New Roman" w:cs="Times New Roman"/>
            <w:noProof/>
            <w:webHidden/>
          </w:rPr>
        </w:r>
        <w:r w:rsidR="002016F1" w:rsidRPr="009F35F9">
          <w:rPr>
            <w:rFonts w:ascii="Times New Roman" w:hAnsi="Times New Roman" w:cs="Times New Roman"/>
            <w:noProof/>
            <w:webHidden/>
          </w:rPr>
          <w:fldChar w:fldCharType="separate"/>
        </w:r>
        <w:r w:rsidR="009F5483" w:rsidRPr="009F35F9">
          <w:rPr>
            <w:rFonts w:ascii="Times New Roman" w:hAnsi="Times New Roman" w:cs="Times New Roman"/>
            <w:noProof/>
            <w:webHidden/>
          </w:rPr>
          <w:t>19</w:t>
        </w:r>
        <w:r w:rsidR="002016F1" w:rsidRPr="009F35F9">
          <w:rPr>
            <w:rFonts w:ascii="Times New Roman" w:hAnsi="Times New Roman" w:cs="Times New Roman"/>
            <w:noProof/>
            <w:webHidden/>
          </w:rPr>
          <w:fldChar w:fldCharType="end"/>
        </w:r>
      </w:hyperlink>
    </w:p>
    <w:p w:rsidR="002016F1" w:rsidRPr="009F35F9" w:rsidRDefault="008F124C">
      <w:pPr>
        <w:pStyle w:val="TableofFigures"/>
        <w:tabs>
          <w:tab w:val="right" w:leader="dot" w:pos="9016"/>
        </w:tabs>
        <w:rPr>
          <w:rFonts w:ascii="Times New Roman" w:hAnsi="Times New Roman" w:cs="Times New Roman"/>
          <w:noProof/>
        </w:rPr>
      </w:pPr>
      <w:hyperlink w:anchor="_Toc495848336" w:history="1">
        <w:r w:rsidR="002016F1" w:rsidRPr="009F35F9">
          <w:rPr>
            <w:rStyle w:val="Hyperlink"/>
            <w:rFonts w:ascii="Times New Roman" w:hAnsi="Times New Roman" w:cs="Times New Roman"/>
            <w:noProof/>
            <w:u w:val="none"/>
          </w:rPr>
          <w:t xml:space="preserve">Figure 3. </w:t>
        </w:r>
        <w:r w:rsidR="002016F1" w:rsidRPr="009F35F9">
          <w:rPr>
            <w:rStyle w:val="Hyperlink"/>
            <w:rFonts w:ascii="Times New Roman" w:eastAsia="Calibri" w:hAnsi="Times New Roman" w:cs="Times New Roman"/>
            <w:noProof/>
            <w:u w:val="none"/>
          </w:rPr>
          <w:t>LCA framework according to ISO 14040 (ISO 14040. 2006).</w:t>
        </w:r>
        <w:r w:rsidR="002016F1" w:rsidRPr="009F35F9">
          <w:rPr>
            <w:rFonts w:ascii="Times New Roman" w:hAnsi="Times New Roman" w:cs="Times New Roman"/>
            <w:noProof/>
            <w:webHidden/>
          </w:rPr>
          <w:tab/>
        </w:r>
        <w:r w:rsidR="002016F1" w:rsidRPr="009F35F9">
          <w:rPr>
            <w:rFonts w:ascii="Times New Roman" w:hAnsi="Times New Roman" w:cs="Times New Roman"/>
            <w:noProof/>
            <w:webHidden/>
          </w:rPr>
          <w:fldChar w:fldCharType="begin"/>
        </w:r>
        <w:r w:rsidR="002016F1" w:rsidRPr="009F35F9">
          <w:rPr>
            <w:rFonts w:ascii="Times New Roman" w:hAnsi="Times New Roman" w:cs="Times New Roman"/>
            <w:noProof/>
            <w:webHidden/>
          </w:rPr>
          <w:instrText xml:space="preserve"> PAGEREF _Toc495848336 \h </w:instrText>
        </w:r>
        <w:r w:rsidR="002016F1" w:rsidRPr="009F35F9">
          <w:rPr>
            <w:rFonts w:ascii="Times New Roman" w:hAnsi="Times New Roman" w:cs="Times New Roman"/>
            <w:noProof/>
            <w:webHidden/>
          </w:rPr>
        </w:r>
        <w:r w:rsidR="002016F1" w:rsidRPr="009F35F9">
          <w:rPr>
            <w:rFonts w:ascii="Times New Roman" w:hAnsi="Times New Roman" w:cs="Times New Roman"/>
            <w:noProof/>
            <w:webHidden/>
          </w:rPr>
          <w:fldChar w:fldCharType="separate"/>
        </w:r>
        <w:r w:rsidR="009F5483" w:rsidRPr="009F35F9">
          <w:rPr>
            <w:rFonts w:ascii="Times New Roman" w:hAnsi="Times New Roman" w:cs="Times New Roman"/>
            <w:noProof/>
            <w:webHidden/>
          </w:rPr>
          <w:t>22</w:t>
        </w:r>
        <w:r w:rsidR="002016F1" w:rsidRPr="009F35F9">
          <w:rPr>
            <w:rFonts w:ascii="Times New Roman" w:hAnsi="Times New Roman" w:cs="Times New Roman"/>
            <w:noProof/>
            <w:webHidden/>
          </w:rPr>
          <w:fldChar w:fldCharType="end"/>
        </w:r>
      </w:hyperlink>
    </w:p>
    <w:p w:rsidR="002016F1" w:rsidRPr="009F35F9" w:rsidRDefault="008F124C">
      <w:pPr>
        <w:pStyle w:val="TableofFigures"/>
        <w:tabs>
          <w:tab w:val="right" w:leader="dot" w:pos="9016"/>
        </w:tabs>
        <w:rPr>
          <w:rFonts w:ascii="Times New Roman" w:hAnsi="Times New Roman" w:cs="Times New Roman"/>
          <w:noProof/>
        </w:rPr>
      </w:pPr>
      <w:hyperlink w:anchor="_Toc495848337" w:history="1">
        <w:r w:rsidR="002016F1" w:rsidRPr="009F35F9">
          <w:rPr>
            <w:rStyle w:val="Hyperlink"/>
            <w:rFonts w:ascii="Times New Roman" w:hAnsi="Times New Roman" w:cs="Times New Roman"/>
            <w:noProof/>
            <w:u w:val="none"/>
          </w:rPr>
          <w:t xml:space="preserve">Figure 4. </w:t>
        </w:r>
        <w:r w:rsidR="002016F1" w:rsidRPr="009F35F9">
          <w:rPr>
            <w:rStyle w:val="Hyperlink"/>
            <w:rFonts w:ascii="Times New Roman" w:eastAsia="Calibri" w:hAnsi="Times New Roman" w:cs="Times New Roman"/>
            <w:noProof/>
            <w:u w:val="none"/>
          </w:rPr>
          <w:t>Life Cycle Sustainable Assessment framework (Guinee et al., 2010).</w:t>
        </w:r>
        <w:r w:rsidR="002016F1" w:rsidRPr="009F35F9">
          <w:rPr>
            <w:rFonts w:ascii="Times New Roman" w:hAnsi="Times New Roman" w:cs="Times New Roman"/>
            <w:noProof/>
            <w:webHidden/>
          </w:rPr>
          <w:tab/>
        </w:r>
        <w:r w:rsidR="002016F1" w:rsidRPr="009F35F9">
          <w:rPr>
            <w:rFonts w:ascii="Times New Roman" w:hAnsi="Times New Roman" w:cs="Times New Roman"/>
            <w:noProof/>
            <w:webHidden/>
          </w:rPr>
          <w:fldChar w:fldCharType="begin"/>
        </w:r>
        <w:r w:rsidR="002016F1" w:rsidRPr="009F35F9">
          <w:rPr>
            <w:rFonts w:ascii="Times New Roman" w:hAnsi="Times New Roman" w:cs="Times New Roman"/>
            <w:noProof/>
            <w:webHidden/>
          </w:rPr>
          <w:instrText xml:space="preserve"> PAGEREF _Toc495848337 \h </w:instrText>
        </w:r>
        <w:r w:rsidR="002016F1" w:rsidRPr="009F35F9">
          <w:rPr>
            <w:rFonts w:ascii="Times New Roman" w:hAnsi="Times New Roman" w:cs="Times New Roman"/>
            <w:noProof/>
            <w:webHidden/>
          </w:rPr>
        </w:r>
        <w:r w:rsidR="002016F1" w:rsidRPr="009F35F9">
          <w:rPr>
            <w:rFonts w:ascii="Times New Roman" w:hAnsi="Times New Roman" w:cs="Times New Roman"/>
            <w:noProof/>
            <w:webHidden/>
          </w:rPr>
          <w:fldChar w:fldCharType="separate"/>
        </w:r>
        <w:r w:rsidR="009F5483" w:rsidRPr="009F35F9">
          <w:rPr>
            <w:rFonts w:ascii="Times New Roman" w:hAnsi="Times New Roman" w:cs="Times New Roman"/>
            <w:noProof/>
            <w:webHidden/>
          </w:rPr>
          <w:t>22</w:t>
        </w:r>
        <w:r w:rsidR="002016F1" w:rsidRPr="009F35F9">
          <w:rPr>
            <w:rFonts w:ascii="Times New Roman" w:hAnsi="Times New Roman" w:cs="Times New Roman"/>
            <w:noProof/>
            <w:webHidden/>
          </w:rPr>
          <w:fldChar w:fldCharType="end"/>
        </w:r>
      </w:hyperlink>
    </w:p>
    <w:p w:rsidR="002016F1" w:rsidRPr="009F35F9" w:rsidRDefault="008F124C">
      <w:pPr>
        <w:pStyle w:val="TableofFigures"/>
        <w:tabs>
          <w:tab w:val="right" w:leader="dot" w:pos="9016"/>
        </w:tabs>
        <w:rPr>
          <w:rFonts w:ascii="Times New Roman" w:hAnsi="Times New Roman" w:cs="Times New Roman"/>
          <w:noProof/>
        </w:rPr>
      </w:pPr>
      <w:hyperlink w:anchor="_Toc495848338" w:history="1">
        <w:r w:rsidR="002016F1" w:rsidRPr="009F35F9">
          <w:rPr>
            <w:rStyle w:val="Hyperlink"/>
            <w:rFonts w:ascii="Times New Roman" w:hAnsi="Times New Roman" w:cs="Times New Roman"/>
            <w:noProof/>
            <w:u w:val="none"/>
          </w:rPr>
          <w:t>Figure 5. Examples of the three types of scoring methods utilised in criticality assessments.</w:t>
        </w:r>
        <w:r w:rsidR="002016F1" w:rsidRPr="009F35F9">
          <w:rPr>
            <w:rFonts w:ascii="Times New Roman" w:hAnsi="Times New Roman" w:cs="Times New Roman"/>
            <w:noProof/>
            <w:webHidden/>
          </w:rPr>
          <w:tab/>
        </w:r>
        <w:r w:rsidR="002016F1" w:rsidRPr="009F35F9">
          <w:rPr>
            <w:rFonts w:ascii="Times New Roman" w:hAnsi="Times New Roman" w:cs="Times New Roman"/>
            <w:noProof/>
            <w:webHidden/>
          </w:rPr>
          <w:fldChar w:fldCharType="begin"/>
        </w:r>
        <w:r w:rsidR="002016F1" w:rsidRPr="009F35F9">
          <w:rPr>
            <w:rFonts w:ascii="Times New Roman" w:hAnsi="Times New Roman" w:cs="Times New Roman"/>
            <w:noProof/>
            <w:webHidden/>
          </w:rPr>
          <w:instrText xml:space="preserve"> PAGEREF _Toc495848338 \h </w:instrText>
        </w:r>
        <w:r w:rsidR="002016F1" w:rsidRPr="009F35F9">
          <w:rPr>
            <w:rFonts w:ascii="Times New Roman" w:hAnsi="Times New Roman" w:cs="Times New Roman"/>
            <w:noProof/>
            <w:webHidden/>
          </w:rPr>
        </w:r>
        <w:r w:rsidR="002016F1" w:rsidRPr="009F35F9">
          <w:rPr>
            <w:rFonts w:ascii="Times New Roman" w:hAnsi="Times New Roman" w:cs="Times New Roman"/>
            <w:noProof/>
            <w:webHidden/>
          </w:rPr>
          <w:fldChar w:fldCharType="separate"/>
        </w:r>
        <w:r w:rsidR="009F5483" w:rsidRPr="009F35F9">
          <w:rPr>
            <w:rFonts w:ascii="Times New Roman" w:hAnsi="Times New Roman" w:cs="Times New Roman"/>
            <w:noProof/>
            <w:webHidden/>
          </w:rPr>
          <w:t>25</w:t>
        </w:r>
        <w:r w:rsidR="002016F1" w:rsidRPr="009F35F9">
          <w:rPr>
            <w:rFonts w:ascii="Times New Roman" w:hAnsi="Times New Roman" w:cs="Times New Roman"/>
            <w:noProof/>
            <w:webHidden/>
          </w:rPr>
          <w:fldChar w:fldCharType="end"/>
        </w:r>
      </w:hyperlink>
    </w:p>
    <w:p w:rsidR="002016F1" w:rsidRPr="009F35F9" w:rsidRDefault="008F124C">
      <w:pPr>
        <w:pStyle w:val="TableofFigures"/>
        <w:tabs>
          <w:tab w:val="right" w:leader="dot" w:pos="9016"/>
        </w:tabs>
        <w:rPr>
          <w:rFonts w:ascii="Times New Roman" w:hAnsi="Times New Roman" w:cs="Times New Roman"/>
          <w:noProof/>
        </w:rPr>
      </w:pPr>
      <w:hyperlink w:anchor="_Toc495848339" w:history="1">
        <w:r w:rsidR="002016F1" w:rsidRPr="009F35F9">
          <w:rPr>
            <w:rStyle w:val="Hyperlink"/>
            <w:rFonts w:ascii="Times New Roman" w:hAnsi="Times New Roman" w:cs="Times New Roman"/>
            <w:noProof/>
            <w:u w:val="none"/>
          </w:rPr>
          <w:t>Figure 6. Graph representing the three dimensional criticality devised by Graedel, which utilises the aforementioned supply risk and impact of supply risk factors, in addition to the expected environmental impact of a material scarcity.</w:t>
        </w:r>
        <w:r w:rsidR="002016F1" w:rsidRPr="009F35F9">
          <w:rPr>
            <w:rFonts w:ascii="Times New Roman" w:hAnsi="Times New Roman" w:cs="Times New Roman"/>
            <w:noProof/>
            <w:webHidden/>
          </w:rPr>
          <w:tab/>
        </w:r>
        <w:r w:rsidR="002016F1" w:rsidRPr="009F35F9">
          <w:rPr>
            <w:rFonts w:ascii="Times New Roman" w:hAnsi="Times New Roman" w:cs="Times New Roman"/>
            <w:noProof/>
            <w:webHidden/>
          </w:rPr>
          <w:fldChar w:fldCharType="begin"/>
        </w:r>
        <w:r w:rsidR="002016F1" w:rsidRPr="009F35F9">
          <w:rPr>
            <w:rFonts w:ascii="Times New Roman" w:hAnsi="Times New Roman" w:cs="Times New Roman"/>
            <w:noProof/>
            <w:webHidden/>
          </w:rPr>
          <w:instrText xml:space="preserve"> PAGEREF _Toc495848339 \h </w:instrText>
        </w:r>
        <w:r w:rsidR="002016F1" w:rsidRPr="009F35F9">
          <w:rPr>
            <w:rFonts w:ascii="Times New Roman" w:hAnsi="Times New Roman" w:cs="Times New Roman"/>
            <w:noProof/>
            <w:webHidden/>
          </w:rPr>
        </w:r>
        <w:r w:rsidR="002016F1" w:rsidRPr="009F35F9">
          <w:rPr>
            <w:rFonts w:ascii="Times New Roman" w:hAnsi="Times New Roman" w:cs="Times New Roman"/>
            <w:noProof/>
            <w:webHidden/>
          </w:rPr>
          <w:fldChar w:fldCharType="separate"/>
        </w:r>
        <w:r w:rsidR="009F5483" w:rsidRPr="009F35F9">
          <w:rPr>
            <w:rFonts w:ascii="Times New Roman" w:hAnsi="Times New Roman" w:cs="Times New Roman"/>
            <w:noProof/>
            <w:webHidden/>
          </w:rPr>
          <w:t>26</w:t>
        </w:r>
        <w:r w:rsidR="002016F1" w:rsidRPr="009F35F9">
          <w:rPr>
            <w:rFonts w:ascii="Times New Roman" w:hAnsi="Times New Roman" w:cs="Times New Roman"/>
            <w:noProof/>
            <w:webHidden/>
          </w:rPr>
          <w:fldChar w:fldCharType="end"/>
        </w:r>
      </w:hyperlink>
    </w:p>
    <w:p w:rsidR="002016F1" w:rsidRPr="009F35F9" w:rsidRDefault="008F124C">
      <w:pPr>
        <w:pStyle w:val="TableofFigures"/>
        <w:tabs>
          <w:tab w:val="right" w:leader="dot" w:pos="9016"/>
        </w:tabs>
        <w:rPr>
          <w:rFonts w:ascii="Times New Roman" w:hAnsi="Times New Roman" w:cs="Times New Roman"/>
          <w:noProof/>
        </w:rPr>
      </w:pPr>
      <w:hyperlink w:anchor="_Toc495848340" w:history="1">
        <w:r w:rsidR="002016F1" w:rsidRPr="009F35F9">
          <w:rPr>
            <w:rStyle w:val="Hyperlink"/>
            <w:rFonts w:ascii="Times New Roman" w:hAnsi="Times New Roman" w:cs="Times New Roman"/>
            <w:noProof/>
            <w:u w:val="none"/>
          </w:rPr>
          <w:t xml:space="preserve">Figure 7. </w:t>
        </w:r>
        <w:r w:rsidR="002016F1" w:rsidRPr="009F35F9">
          <w:rPr>
            <w:rStyle w:val="Hyperlink"/>
            <w:rFonts w:ascii="Times New Roman" w:eastAsia="Calibri" w:hAnsi="Times New Roman" w:cs="Times New Roman"/>
            <w:noProof/>
            <w:u w:val="none"/>
          </w:rPr>
          <w:t>List of the factors included in the criticality assessment of 10 studies.</w:t>
        </w:r>
        <w:r w:rsidR="002016F1" w:rsidRPr="009F35F9">
          <w:rPr>
            <w:rFonts w:ascii="Times New Roman" w:hAnsi="Times New Roman" w:cs="Times New Roman"/>
            <w:noProof/>
            <w:webHidden/>
          </w:rPr>
          <w:tab/>
        </w:r>
        <w:r w:rsidR="002016F1" w:rsidRPr="009F35F9">
          <w:rPr>
            <w:rFonts w:ascii="Times New Roman" w:hAnsi="Times New Roman" w:cs="Times New Roman"/>
            <w:noProof/>
            <w:webHidden/>
          </w:rPr>
          <w:fldChar w:fldCharType="begin"/>
        </w:r>
        <w:r w:rsidR="002016F1" w:rsidRPr="009F35F9">
          <w:rPr>
            <w:rFonts w:ascii="Times New Roman" w:hAnsi="Times New Roman" w:cs="Times New Roman"/>
            <w:noProof/>
            <w:webHidden/>
          </w:rPr>
          <w:instrText xml:space="preserve"> PAGEREF _Toc495848340 \h </w:instrText>
        </w:r>
        <w:r w:rsidR="002016F1" w:rsidRPr="009F35F9">
          <w:rPr>
            <w:rFonts w:ascii="Times New Roman" w:hAnsi="Times New Roman" w:cs="Times New Roman"/>
            <w:noProof/>
            <w:webHidden/>
          </w:rPr>
        </w:r>
        <w:r w:rsidR="002016F1" w:rsidRPr="009F35F9">
          <w:rPr>
            <w:rFonts w:ascii="Times New Roman" w:hAnsi="Times New Roman" w:cs="Times New Roman"/>
            <w:noProof/>
            <w:webHidden/>
          </w:rPr>
          <w:fldChar w:fldCharType="separate"/>
        </w:r>
        <w:r w:rsidR="009F5483" w:rsidRPr="009F35F9">
          <w:rPr>
            <w:rFonts w:ascii="Times New Roman" w:hAnsi="Times New Roman" w:cs="Times New Roman"/>
            <w:noProof/>
            <w:webHidden/>
          </w:rPr>
          <w:t>29</w:t>
        </w:r>
        <w:r w:rsidR="002016F1" w:rsidRPr="009F35F9">
          <w:rPr>
            <w:rFonts w:ascii="Times New Roman" w:hAnsi="Times New Roman" w:cs="Times New Roman"/>
            <w:noProof/>
            <w:webHidden/>
          </w:rPr>
          <w:fldChar w:fldCharType="end"/>
        </w:r>
      </w:hyperlink>
    </w:p>
    <w:p w:rsidR="002016F1" w:rsidRPr="009F35F9" w:rsidRDefault="008F124C">
      <w:pPr>
        <w:pStyle w:val="TableofFigures"/>
        <w:tabs>
          <w:tab w:val="right" w:leader="dot" w:pos="9016"/>
        </w:tabs>
        <w:rPr>
          <w:rFonts w:ascii="Times New Roman" w:hAnsi="Times New Roman" w:cs="Times New Roman"/>
          <w:noProof/>
        </w:rPr>
      </w:pPr>
      <w:hyperlink w:anchor="_Toc495848341" w:history="1">
        <w:r w:rsidR="002016F1" w:rsidRPr="009F35F9">
          <w:rPr>
            <w:rStyle w:val="Hyperlink"/>
            <w:rFonts w:ascii="Times New Roman" w:hAnsi="Times New Roman" w:cs="Times New Roman"/>
            <w:noProof/>
            <w:u w:val="none"/>
          </w:rPr>
          <w:t>Figure 8. Flowchart from EU critical materials report displaying the assessment criteria used to determine the economic impact of material scarcity, as determined by the EU expert panel (European Commission 2014).</w:t>
        </w:r>
        <w:r w:rsidR="002016F1" w:rsidRPr="009F35F9">
          <w:rPr>
            <w:rFonts w:ascii="Times New Roman" w:hAnsi="Times New Roman" w:cs="Times New Roman"/>
            <w:noProof/>
            <w:webHidden/>
          </w:rPr>
          <w:tab/>
        </w:r>
        <w:r w:rsidR="002016F1" w:rsidRPr="009F35F9">
          <w:rPr>
            <w:rFonts w:ascii="Times New Roman" w:hAnsi="Times New Roman" w:cs="Times New Roman"/>
            <w:noProof/>
            <w:webHidden/>
          </w:rPr>
          <w:fldChar w:fldCharType="begin"/>
        </w:r>
        <w:r w:rsidR="002016F1" w:rsidRPr="009F35F9">
          <w:rPr>
            <w:rFonts w:ascii="Times New Roman" w:hAnsi="Times New Roman" w:cs="Times New Roman"/>
            <w:noProof/>
            <w:webHidden/>
          </w:rPr>
          <w:instrText xml:space="preserve"> PAGEREF _Toc495848341 \h </w:instrText>
        </w:r>
        <w:r w:rsidR="002016F1" w:rsidRPr="009F35F9">
          <w:rPr>
            <w:rFonts w:ascii="Times New Roman" w:hAnsi="Times New Roman" w:cs="Times New Roman"/>
            <w:noProof/>
            <w:webHidden/>
          </w:rPr>
        </w:r>
        <w:r w:rsidR="002016F1" w:rsidRPr="009F35F9">
          <w:rPr>
            <w:rFonts w:ascii="Times New Roman" w:hAnsi="Times New Roman" w:cs="Times New Roman"/>
            <w:noProof/>
            <w:webHidden/>
          </w:rPr>
          <w:fldChar w:fldCharType="separate"/>
        </w:r>
        <w:r w:rsidR="009F5483" w:rsidRPr="009F35F9">
          <w:rPr>
            <w:rFonts w:ascii="Times New Roman" w:hAnsi="Times New Roman" w:cs="Times New Roman"/>
            <w:noProof/>
            <w:webHidden/>
          </w:rPr>
          <w:t>38</w:t>
        </w:r>
        <w:r w:rsidR="002016F1" w:rsidRPr="009F35F9">
          <w:rPr>
            <w:rFonts w:ascii="Times New Roman" w:hAnsi="Times New Roman" w:cs="Times New Roman"/>
            <w:noProof/>
            <w:webHidden/>
          </w:rPr>
          <w:fldChar w:fldCharType="end"/>
        </w:r>
      </w:hyperlink>
    </w:p>
    <w:p w:rsidR="002016F1" w:rsidRPr="009F35F9" w:rsidRDefault="008F124C">
      <w:pPr>
        <w:pStyle w:val="TableofFigures"/>
        <w:tabs>
          <w:tab w:val="right" w:leader="dot" w:pos="9016"/>
        </w:tabs>
        <w:rPr>
          <w:rFonts w:ascii="Times New Roman" w:hAnsi="Times New Roman" w:cs="Times New Roman"/>
          <w:noProof/>
        </w:rPr>
      </w:pPr>
      <w:hyperlink w:anchor="_Toc495848342" w:history="1">
        <w:r w:rsidR="002016F1" w:rsidRPr="009F35F9">
          <w:rPr>
            <w:rStyle w:val="Hyperlink"/>
            <w:rFonts w:ascii="Times New Roman" w:hAnsi="Times New Roman" w:cs="Times New Roman"/>
            <w:noProof/>
            <w:u w:val="none"/>
          </w:rPr>
          <w:t>Figure 9. System boundary for ferro-alloy study.</w:t>
        </w:r>
        <w:r w:rsidR="002016F1" w:rsidRPr="009F35F9">
          <w:rPr>
            <w:rFonts w:ascii="Times New Roman" w:hAnsi="Times New Roman" w:cs="Times New Roman"/>
            <w:noProof/>
            <w:webHidden/>
          </w:rPr>
          <w:tab/>
        </w:r>
        <w:r w:rsidR="002016F1" w:rsidRPr="009F35F9">
          <w:rPr>
            <w:rFonts w:ascii="Times New Roman" w:hAnsi="Times New Roman" w:cs="Times New Roman"/>
            <w:noProof/>
            <w:webHidden/>
          </w:rPr>
          <w:fldChar w:fldCharType="begin"/>
        </w:r>
        <w:r w:rsidR="002016F1" w:rsidRPr="009F35F9">
          <w:rPr>
            <w:rFonts w:ascii="Times New Roman" w:hAnsi="Times New Roman" w:cs="Times New Roman"/>
            <w:noProof/>
            <w:webHidden/>
          </w:rPr>
          <w:instrText xml:space="preserve"> PAGEREF _Toc495848342 \h </w:instrText>
        </w:r>
        <w:r w:rsidR="002016F1" w:rsidRPr="009F35F9">
          <w:rPr>
            <w:rFonts w:ascii="Times New Roman" w:hAnsi="Times New Roman" w:cs="Times New Roman"/>
            <w:noProof/>
            <w:webHidden/>
          </w:rPr>
        </w:r>
        <w:r w:rsidR="002016F1" w:rsidRPr="009F35F9">
          <w:rPr>
            <w:rFonts w:ascii="Times New Roman" w:hAnsi="Times New Roman" w:cs="Times New Roman"/>
            <w:noProof/>
            <w:webHidden/>
          </w:rPr>
          <w:fldChar w:fldCharType="separate"/>
        </w:r>
        <w:r w:rsidR="009F5483" w:rsidRPr="009F35F9">
          <w:rPr>
            <w:rFonts w:ascii="Times New Roman" w:hAnsi="Times New Roman" w:cs="Times New Roman"/>
            <w:noProof/>
            <w:webHidden/>
          </w:rPr>
          <w:t>86</w:t>
        </w:r>
        <w:r w:rsidR="002016F1" w:rsidRPr="009F35F9">
          <w:rPr>
            <w:rFonts w:ascii="Times New Roman" w:hAnsi="Times New Roman" w:cs="Times New Roman"/>
            <w:noProof/>
            <w:webHidden/>
          </w:rPr>
          <w:fldChar w:fldCharType="end"/>
        </w:r>
      </w:hyperlink>
    </w:p>
    <w:p w:rsidR="002016F1" w:rsidRPr="009F35F9" w:rsidRDefault="008F124C">
      <w:pPr>
        <w:pStyle w:val="TableofFigures"/>
        <w:tabs>
          <w:tab w:val="right" w:leader="dot" w:pos="9016"/>
        </w:tabs>
        <w:rPr>
          <w:rFonts w:ascii="Times New Roman" w:hAnsi="Times New Roman" w:cs="Times New Roman"/>
          <w:noProof/>
        </w:rPr>
      </w:pPr>
      <w:hyperlink w:anchor="_Toc495848343" w:history="1">
        <w:r w:rsidR="002016F1" w:rsidRPr="009F35F9">
          <w:rPr>
            <w:rStyle w:val="Hyperlink"/>
            <w:rFonts w:ascii="Times New Roman" w:hAnsi="Times New Roman" w:cs="Times New Roman"/>
            <w:noProof/>
            <w:u w:val="none"/>
          </w:rPr>
          <w:t xml:space="preserve">Figure 10. </w:t>
        </w:r>
        <w:r w:rsidR="002016F1" w:rsidRPr="009F35F9">
          <w:rPr>
            <w:rStyle w:val="Hyperlink"/>
            <w:rFonts w:ascii="Times New Roman" w:eastAsia="Calibri" w:hAnsi="Times New Roman" w:cs="Times New Roman"/>
            <w:noProof/>
            <w:u w:val="none"/>
          </w:rPr>
          <w:t>Utilisation of data from literature to create Fe-Cr.</w:t>
        </w:r>
        <w:r w:rsidR="002016F1" w:rsidRPr="009F35F9">
          <w:rPr>
            <w:rFonts w:ascii="Times New Roman" w:hAnsi="Times New Roman" w:cs="Times New Roman"/>
            <w:noProof/>
            <w:webHidden/>
          </w:rPr>
          <w:tab/>
        </w:r>
        <w:r w:rsidR="002016F1" w:rsidRPr="009F35F9">
          <w:rPr>
            <w:rFonts w:ascii="Times New Roman" w:hAnsi="Times New Roman" w:cs="Times New Roman"/>
            <w:noProof/>
            <w:webHidden/>
          </w:rPr>
          <w:fldChar w:fldCharType="begin"/>
        </w:r>
        <w:r w:rsidR="002016F1" w:rsidRPr="009F35F9">
          <w:rPr>
            <w:rFonts w:ascii="Times New Roman" w:hAnsi="Times New Roman" w:cs="Times New Roman"/>
            <w:noProof/>
            <w:webHidden/>
          </w:rPr>
          <w:instrText xml:space="preserve"> PAGEREF _Toc495848343 \h </w:instrText>
        </w:r>
        <w:r w:rsidR="002016F1" w:rsidRPr="009F35F9">
          <w:rPr>
            <w:rFonts w:ascii="Times New Roman" w:hAnsi="Times New Roman" w:cs="Times New Roman"/>
            <w:noProof/>
            <w:webHidden/>
          </w:rPr>
        </w:r>
        <w:r w:rsidR="002016F1" w:rsidRPr="009F35F9">
          <w:rPr>
            <w:rFonts w:ascii="Times New Roman" w:hAnsi="Times New Roman" w:cs="Times New Roman"/>
            <w:noProof/>
            <w:webHidden/>
          </w:rPr>
          <w:fldChar w:fldCharType="separate"/>
        </w:r>
        <w:r w:rsidR="009F5483" w:rsidRPr="009F35F9">
          <w:rPr>
            <w:rFonts w:ascii="Times New Roman" w:hAnsi="Times New Roman" w:cs="Times New Roman"/>
            <w:noProof/>
            <w:webHidden/>
          </w:rPr>
          <w:t>87</w:t>
        </w:r>
        <w:r w:rsidR="002016F1" w:rsidRPr="009F35F9">
          <w:rPr>
            <w:rFonts w:ascii="Times New Roman" w:hAnsi="Times New Roman" w:cs="Times New Roman"/>
            <w:noProof/>
            <w:webHidden/>
          </w:rPr>
          <w:fldChar w:fldCharType="end"/>
        </w:r>
      </w:hyperlink>
    </w:p>
    <w:p w:rsidR="002016F1" w:rsidRPr="009F35F9" w:rsidRDefault="008F124C">
      <w:pPr>
        <w:pStyle w:val="TableofFigures"/>
        <w:tabs>
          <w:tab w:val="right" w:leader="dot" w:pos="9016"/>
        </w:tabs>
        <w:rPr>
          <w:rFonts w:ascii="Times New Roman" w:hAnsi="Times New Roman" w:cs="Times New Roman"/>
          <w:noProof/>
        </w:rPr>
      </w:pPr>
      <w:hyperlink w:anchor="_Toc495848344" w:history="1">
        <w:r w:rsidR="002016F1" w:rsidRPr="009F35F9">
          <w:rPr>
            <w:rStyle w:val="Hyperlink"/>
            <w:rFonts w:ascii="Times New Roman" w:hAnsi="Times New Roman" w:cs="Times New Roman"/>
            <w:noProof/>
            <w:u w:val="none"/>
          </w:rPr>
          <w:t xml:space="preserve">Figure 11. </w:t>
        </w:r>
        <w:r w:rsidR="002016F1" w:rsidRPr="009F35F9">
          <w:rPr>
            <w:rStyle w:val="Hyperlink"/>
            <w:rFonts w:ascii="Times New Roman" w:eastAsia="Calibri" w:hAnsi="Times New Roman" w:cs="Times New Roman"/>
            <w:noProof/>
            <w:u w:val="none"/>
          </w:rPr>
          <w:t>Sankey diagram representing the estimated global flow of steel for the year 2008.</w:t>
        </w:r>
        <w:r w:rsidR="002016F1" w:rsidRPr="009F35F9">
          <w:rPr>
            <w:rFonts w:ascii="Times New Roman" w:hAnsi="Times New Roman" w:cs="Times New Roman"/>
            <w:noProof/>
            <w:webHidden/>
          </w:rPr>
          <w:tab/>
        </w:r>
        <w:r w:rsidR="002016F1" w:rsidRPr="009F35F9">
          <w:rPr>
            <w:rFonts w:ascii="Times New Roman" w:hAnsi="Times New Roman" w:cs="Times New Roman"/>
            <w:noProof/>
            <w:webHidden/>
          </w:rPr>
          <w:fldChar w:fldCharType="begin"/>
        </w:r>
        <w:r w:rsidR="002016F1" w:rsidRPr="009F35F9">
          <w:rPr>
            <w:rFonts w:ascii="Times New Roman" w:hAnsi="Times New Roman" w:cs="Times New Roman"/>
            <w:noProof/>
            <w:webHidden/>
          </w:rPr>
          <w:instrText xml:space="preserve"> PAGEREF _Toc495848344 \h </w:instrText>
        </w:r>
        <w:r w:rsidR="002016F1" w:rsidRPr="009F35F9">
          <w:rPr>
            <w:rFonts w:ascii="Times New Roman" w:hAnsi="Times New Roman" w:cs="Times New Roman"/>
            <w:noProof/>
            <w:webHidden/>
          </w:rPr>
        </w:r>
        <w:r w:rsidR="002016F1" w:rsidRPr="009F35F9">
          <w:rPr>
            <w:rFonts w:ascii="Times New Roman" w:hAnsi="Times New Roman" w:cs="Times New Roman"/>
            <w:noProof/>
            <w:webHidden/>
          </w:rPr>
          <w:fldChar w:fldCharType="separate"/>
        </w:r>
        <w:r w:rsidR="009F5483" w:rsidRPr="009F35F9">
          <w:rPr>
            <w:rFonts w:ascii="Times New Roman" w:hAnsi="Times New Roman" w:cs="Times New Roman"/>
            <w:noProof/>
            <w:webHidden/>
          </w:rPr>
          <w:t>88</w:t>
        </w:r>
        <w:r w:rsidR="002016F1" w:rsidRPr="009F35F9">
          <w:rPr>
            <w:rFonts w:ascii="Times New Roman" w:hAnsi="Times New Roman" w:cs="Times New Roman"/>
            <w:noProof/>
            <w:webHidden/>
          </w:rPr>
          <w:fldChar w:fldCharType="end"/>
        </w:r>
      </w:hyperlink>
    </w:p>
    <w:p w:rsidR="002016F1" w:rsidRDefault="008F124C">
      <w:pPr>
        <w:pStyle w:val="TableofFigures"/>
        <w:tabs>
          <w:tab w:val="right" w:leader="dot" w:pos="9016"/>
        </w:tabs>
        <w:rPr>
          <w:noProof/>
        </w:rPr>
      </w:pPr>
      <w:hyperlink w:anchor="_Toc495848345" w:history="1">
        <w:r w:rsidR="002016F1" w:rsidRPr="009F35F9">
          <w:rPr>
            <w:rStyle w:val="Hyperlink"/>
            <w:rFonts w:ascii="Times New Roman" w:hAnsi="Times New Roman" w:cs="Times New Roman"/>
            <w:noProof/>
          </w:rPr>
          <w:t xml:space="preserve">Figure 12. </w:t>
        </w:r>
        <w:r w:rsidR="002016F1" w:rsidRPr="009F35F9">
          <w:rPr>
            <w:rStyle w:val="Hyperlink"/>
            <w:rFonts w:ascii="Times New Roman" w:eastAsia="Calibri" w:hAnsi="Times New Roman" w:cs="Times New Roman"/>
            <w:noProof/>
          </w:rPr>
          <w:t>Sankey diagram representing the estimated material flow of chromium within global industry as of 2014.</w:t>
        </w:r>
        <w:r w:rsidR="002016F1" w:rsidRPr="009F35F9">
          <w:rPr>
            <w:rFonts w:ascii="Times New Roman" w:hAnsi="Times New Roman" w:cs="Times New Roman"/>
            <w:noProof/>
            <w:webHidden/>
          </w:rPr>
          <w:tab/>
        </w:r>
        <w:r w:rsidR="002016F1" w:rsidRPr="009F35F9">
          <w:rPr>
            <w:rFonts w:ascii="Times New Roman" w:hAnsi="Times New Roman" w:cs="Times New Roman"/>
            <w:noProof/>
            <w:webHidden/>
          </w:rPr>
          <w:fldChar w:fldCharType="begin"/>
        </w:r>
        <w:r w:rsidR="002016F1" w:rsidRPr="009F35F9">
          <w:rPr>
            <w:rFonts w:ascii="Times New Roman" w:hAnsi="Times New Roman" w:cs="Times New Roman"/>
            <w:noProof/>
            <w:webHidden/>
          </w:rPr>
          <w:instrText xml:space="preserve"> PAGEREF _Toc495848345 \h </w:instrText>
        </w:r>
        <w:r w:rsidR="002016F1" w:rsidRPr="009F35F9">
          <w:rPr>
            <w:rFonts w:ascii="Times New Roman" w:hAnsi="Times New Roman" w:cs="Times New Roman"/>
            <w:noProof/>
            <w:webHidden/>
          </w:rPr>
        </w:r>
        <w:r w:rsidR="002016F1" w:rsidRPr="009F35F9">
          <w:rPr>
            <w:rFonts w:ascii="Times New Roman" w:hAnsi="Times New Roman" w:cs="Times New Roman"/>
            <w:noProof/>
            <w:webHidden/>
          </w:rPr>
          <w:fldChar w:fldCharType="separate"/>
        </w:r>
        <w:r w:rsidR="009F5483" w:rsidRPr="009F35F9">
          <w:rPr>
            <w:rFonts w:ascii="Times New Roman" w:hAnsi="Times New Roman" w:cs="Times New Roman"/>
            <w:noProof/>
            <w:webHidden/>
          </w:rPr>
          <w:t>91</w:t>
        </w:r>
        <w:r w:rsidR="002016F1" w:rsidRPr="009F35F9">
          <w:rPr>
            <w:rFonts w:ascii="Times New Roman" w:hAnsi="Times New Roman" w:cs="Times New Roman"/>
            <w:noProof/>
            <w:webHidden/>
          </w:rPr>
          <w:fldChar w:fldCharType="end"/>
        </w:r>
      </w:hyperlink>
    </w:p>
    <w:p w:rsidR="002016F1" w:rsidRDefault="008F124C">
      <w:pPr>
        <w:pStyle w:val="TableofFigures"/>
        <w:tabs>
          <w:tab w:val="right" w:leader="dot" w:pos="9016"/>
        </w:tabs>
        <w:rPr>
          <w:noProof/>
        </w:rPr>
      </w:pPr>
      <w:hyperlink w:anchor="_Toc495848346" w:history="1">
        <w:r w:rsidR="002016F1" w:rsidRPr="00820DD7">
          <w:rPr>
            <w:rStyle w:val="Hyperlink"/>
            <w:rFonts w:ascii="Times New Roman" w:hAnsi="Times New Roman" w:cs="Times New Roman"/>
            <w:noProof/>
          </w:rPr>
          <w:t xml:space="preserve">Figure 13. Periodic table, from UNEP </w:t>
        </w:r>
        <w:r w:rsidR="002016F1" w:rsidRPr="00820DD7">
          <w:rPr>
            <w:rStyle w:val="Hyperlink"/>
            <w:rFonts w:ascii="Times New Roman" w:hAnsi="Times New Roman" w:cs="Times New Roman"/>
            <w:noProof/>
            <w:lang w:eastAsia="ja-JP"/>
          </w:rPr>
          <w:t xml:space="preserve">Recycling Rates of Metals: A Status Report, displaying the EOL RR of metals </w:t>
        </w:r>
        <w:r w:rsidR="002016F1" w:rsidRPr="00820DD7">
          <w:rPr>
            <w:rStyle w:val="Hyperlink"/>
            <w:rFonts w:ascii="Times New Roman" w:eastAsia="Calibri" w:hAnsi="Times New Roman"/>
            <w:noProof/>
          </w:rPr>
          <w:t>(Graedel et al. 2011)</w:t>
        </w:r>
        <w:r w:rsidR="002016F1" w:rsidRPr="00820DD7">
          <w:rPr>
            <w:rStyle w:val="Hyperlink"/>
            <w:rFonts w:ascii="Times New Roman" w:hAnsi="Times New Roman" w:cs="Times New Roman"/>
            <w:noProof/>
            <w:lang w:eastAsia="ja-JP"/>
          </w:rPr>
          <w:t>.</w:t>
        </w:r>
        <w:r w:rsidR="002016F1">
          <w:rPr>
            <w:noProof/>
            <w:webHidden/>
          </w:rPr>
          <w:tab/>
        </w:r>
        <w:r w:rsidR="002016F1">
          <w:rPr>
            <w:noProof/>
            <w:webHidden/>
          </w:rPr>
          <w:fldChar w:fldCharType="begin"/>
        </w:r>
        <w:r w:rsidR="002016F1">
          <w:rPr>
            <w:noProof/>
            <w:webHidden/>
          </w:rPr>
          <w:instrText xml:space="preserve"> PAGEREF _Toc495848346 \h </w:instrText>
        </w:r>
        <w:r w:rsidR="002016F1">
          <w:rPr>
            <w:noProof/>
            <w:webHidden/>
          </w:rPr>
        </w:r>
        <w:r w:rsidR="002016F1">
          <w:rPr>
            <w:noProof/>
            <w:webHidden/>
          </w:rPr>
          <w:fldChar w:fldCharType="separate"/>
        </w:r>
        <w:r w:rsidR="009F5483">
          <w:rPr>
            <w:noProof/>
            <w:webHidden/>
          </w:rPr>
          <w:t>93</w:t>
        </w:r>
        <w:r w:rsidR="002016F1">
          <w:rPr>
            <w:noProof/>
            <w:webHidden/>
          </w:rPr>
          <w:fldChar w:fldCharType="end"/>
        </w:r>
      </w:hyperlink>
    </w:p>
    <w:p w:rsidR="002016F1" w:rsidRDefault="008F124C">
      <w:pPr>
        <w:pStyle w:val="TableofFigures"/>
        <w:tabs>
          <w:tab w:val="right" w:leader="dot" w:pos="9016"/>
        </w:tabs>
        <w:rPr>
          <w:noProof/>
        </w:rPr>
      </w:pPr>
      <w:hyperlink w:anchor="_Toc495848347" w:history="1">
        <w:r w:rsidR="002016F1" w:rsidRPr="00820DD7">
          <w:rPr>
            <w:rStyle w:val="Hyperlink"/>
            <w:rFonts w:ascii="Times New Roman" w:hAnsi="Times New Roman" w:cs="Times New Roman"/>
            <w:noProof/>
          </w:rPr>
          <w:t xml:space="preserve">Figure 14. </w:t>
        </w:r>
        <w:r w:rsidR="002016F1" w:rsidRPr="00820DD7">
          <w:rPr>
            <w:rStyle w:val="Hyperlink"/>
            <w:rFonts w:ascii="Times New Roman" w:eastAsia="Calibri" w:hAnsi="Times New Roman" w:cs="Times New Roman"/>
            <w:noProof/>
          </w:rPr>
          <w:t>Sankey diagram representing the estimated material flow of molybdenum within global industry as of 2014.</w:t>
        </w:r>
        <w:r w:rsidR="002016F1">
          <w:rPr>
            <w:noProof/>
            <w:webHidden/>
          </w:rPr>
          <w:tab/>
        </w:r>
        <w:r w:rsidR="002016F1">
          <w:rPr>
            <w:noProof/>
            <w:webHidden/>
          </w:rPr>
          <w:fldChar w:fldCharType="begin"/>
        </w:r>
        <w:r w:rsidR="002016F1">
          <w:rPr>
            <w:noProof/>
            <w:webHidden/>
          </w:rPr>
          <w:instrText xml:space="preserve"> PAGEREF _Toc495848347 \h </w:instrText>
        </w:r>
        <w:r w:rsidR="002016F1">
          <w:rPr>
            <w:noProof/>
            <w:webHidden/>
          </w:rPr>
        </w:r>
        <w:r w:rsidR="002016F1">
          <w:rPr>
            <w:noProof/>
            <w:webHidden/>
          </w:rPr>
          <w:fldChar w:fldCharType="separate"/>
        </w:r>
        <w:r w:rsidR="009F5483">
          <w:rPr>
            <w:noProof/>
            <w:webHidden/>
          </w:rPr>
          <w:t>95</w:t>
        </w:r>
        <w:r w:rsidR="002016F1">
          <w:rPr>
            <w:noProof/>
            <w:webHidden/>
          </w:rPr>
          <w:fldChar w:fldCharType="end"/>
        </w:r>
      </w:hyperlink>
    </w:p>
    <w:p w:rsidR="002016F1" w:rsidRDefault="008F124C">
      <w:pPr>
        <w:pStyle w:val="TableofFigures"/>
        <w:tabs>
          <w:tab w:val="right" w:leader="dot" w:pos="9016"/>
        </w:tabs>
        <w:rPr>
          <w:noProof/>
        </w:rPr>
      </w:pPr>
      <w:hyperlink w:anchor="_Toc495848348" w:history="1">
        <w:r w:rsidR="002016F1" w:rsidRPr="00820DD7">
          <w:rPr>
            <w:rStyle w:val="Hyperlink"/>
            <w:rFonts w:ascii="Times New Roman" w:hAnsi="Times New Roman" w:cs="Times New Roman"/>
            <w:noProof/>
          </w:rPr>
          <w:t xml:space="preserve">Figure 15. </w:t>
        </w:r>
        <w:r w:rsidR="002016F1" w:rsidRPr="00820DD7">
          <w:rPr>
            <w:rStyle w:val="Hyperlink"/>
            <w:rFonts w:ascii="Times New Roman" w:eastAsia="Calibri" w:hAnsi="Times New Roman" w:cs="Times New Roman"/>
            <w:noProof/>
          </w:rPr>
          <w:t>Sankey diagram representing the estimated material flow of niobium within global industry as of 2013.</w:t>
        </w:r>
        <w:r w:rsidR="002016F1">
          <w:rPr>
            <w:noProof/>
            <w:webHidden/>
          </w:rPr>
          <w:tab/>
        </w:r>
        <w:r w:rsidR="002016F1">
          <w:rPr>
            <w:noProof/>
            <w:webHidden/>
          </w:rPr>
          <w:fldChar w:fldCharType="begin"/>
        </w:r>
        <w:r w:rsidR="002016F1">
          <w:rPr>
            <w:noProof/>
            <w:webHidden/>
          </w:rPr>
          <w:instrText xml:space="preserve"> PAGEREF _Toc495848348 \h </w:instrText>
        </w:r>
        <w:r w:rsidR="002016F1">
          <w:rPr>
            <w:noProof/>
            <w:webHidden/>
          </w:rPr>
        </w:r>
        <w:r w:rsidR="002016F1">
          <w:rPr>
            <w:noProof/>
            <w:webHidden/>
          </w:rPr>
          <w:fldChar w:fldCharType="separate"/>
        </w:r>
        <w:r w:rsidR="009F5483">
          <w:rPr>
            <w:noProof/>
            <w:webHidden/>
          </w:rPr>
          <w:t>98</w:t>
        </w:r>
        <w:r w:rsidR="002016F1">
          <w:rPr>
            <w:noProof/>
            <w:webHidden/>
          </w:rPr>
          <w:fldChar w:fldCharType="end"/>
        </w:r>
      </w:hyperlink>
    </w:p>
    <w:p w:rsidR="002016F1" w:rsidRDefault="008F124C">
      <w:pPr>
        <w:pStyle w:val="TableofFigures"/>
        <w:tabs>
          <w:tab w:val="right" w:leader="dot" w:pos="9016"/>
        </w:tabs>
        <w:rPr>
          <w:noProof/>
        </w:rPr>
      </w:pPr>
      <w:hyperlink w:anchor="_Toc495848349" w:history="1">
        <w:r w:rsidR="002016F1" w:rsidRPr="00820DD7">
          <w:rPr>
            <w:rStyle w:val="Hyperlink"/>
            <w:rFonts w:ascii="Times New Roman" w:hAnsi="Times New Roman" w:cs="Times New Roman"/>
            <w:noProof/>
          </w:rPr>
          <w:t xml:space="preserve">Figure 16. </w:t>
        </w:r>
        <w:r w:rsidR="002016F1" w:rsidRPr="00820DD7">
          <w:rPr>
            <w:rStyle w:val="Hyperlink"/>
            <w:rFonts w:ascii="Times New Roman" w:eastAsia="Calibri" w:hAnsi="Times New Roman" w:cs="Times New Roman"/>
            <w:noProof/>
          </w:rPr>
          <w:t>Sankey diagram representing the estimated material flow of vanadium within global industry as of 2014.</w:t>
        </w:r>
        <w:r w:rsidR="002016F1">
          <w:rPr>
            <w:noProof/>
            <w:webHidden/>
          </w:rPr>
          <w:tab/>
        </w:r>
        <w:r w:rsidR="002016F1">
          <w:rPr>
            <w:noProof/>
            <w:webHidden/>
          </w:rPr>
          <w:fldChar w:fldCharType="begin"/>
        </w:r>
        <w:r w:rsidR="002016F1">
          <w:rPr>
            <w:noProof/>
            <w:webHidden/>
          </w:rPr>
          <w:instrText xml:space="preserve"> PAGEREF _Toc495848349 \h </w:instrText>
        </w:r>
        <w:r w:rsidR="002016F1">
          <w:rPr>
            <w:noProof/>
            <w:webHidden/>
          </w:rPr>
        </w:r>
        <w:r w:rsidR="002016F1">
          <w:rPr>
            <w:noProof/>
            <w:webHidden/>
          </w:rPr>
          <w:fldChar w:fldCharType="separate"/>
        </w:r>
        <w:r w:rsidR="009F5483">
          <w:rPr>
            <w:noProof/>
            <w:webHidden/>
          </w:rPr>
          <w:t>101</w:t>
        </w:r>
        <w:r w:rsidR="002016F1">
          <w:rPr>
            <w:noProof/>
            <w:webHidden/>
          </w:rPr>
          <w:fldChar w:fldCharType="end"/>
        </w:r>
      </w:hyperlink>
    </w:p>
    <w:p w:rsidR="002016F1" w:rsidRDefault="008F124C">
      <w:pPr>
        <w:pStyle w:val="TableofFigures"/>
        <w:tabs>
          <w:tab w:val="right" w:leader="dot" w:pos="9016"/>
        </w:tabs>
        <w:rPr>
          <w:noProof/>
        </w:rPr>
      </w:pPr>
      <w:hyperlink w:anchor="_Toc495848350" w:history="1">
        <w:r w:rsidR="002016F1" w:rsidRPr="00820DD7">
          <w:rPr>
            <w:rStyle w:val="Hyperlink"/>
            <w:rFonts w:ascii="Times New Roman" w:hAnsi="Times New Roman" w:cs="Times New Roman"/>
            <w:noProof/>
          </w:rPr>
          <w:t xml:space="preserve">Figure 17. </w:t>
        </w:r>
        <w:r w:rsidR="002016F1" w:rsidRPr="00820DD7">
          <w:rPr>
            <w:rStyle w:val="Hyperlink"/>
            <w:rFonts w:ascii="Times New Roman" w:eastAsia="Calibri" w:hAnsi="Times New Roman" w:cs="Times New Roman"/>
            <w:noProof/>
          </w:rPr>
          <w:t>A comparison in terms of GWP of breakdown of electricity by fuel source for India, Japan and Norway via GaBi and IEA databases for the year 2011.</w:t>
        </w:r>
        <w:r w:rsidR="002016F1">
          <w:rPr>
            <w:noProof/>
            <w:webHidden/>
          </w:rPr>
          <w:tab/>
        </w:r>
        <w:r w:rsidR="002016F1">
          <w:rPr>
            <w:noProof/>
            <w:webHidden/>
          </w:rPr>
          <w:fldChar w:fldCharType="begin"/>
        </w:r>
        <w:r w:rsidR="002016F1">
          <w:rPr>
            <w:noProof/>
            <w:webHidden/>
          </w:rPr>
          <w:instrText xml:space="preserve"> PAGEREF _Toc495848350 \h </w:instrText>
        </w:r>
        <w:r w:rsidR="002016F1">
          <w:rPr>
            <w:noProof/>
            <w:webHidden/>
          </w:rPr>
        </w:r>
        <w:r w:rsidR="002016F1">
          <w:rPr>
            <w:noProof/>
            <w:webHidden/>
          </w:rPr>
          <w:fldChar w:fldCharType="separate"/>
        </w:r>
        <w:r w:rsidR="009F5483">
          <w:rPr>
            <w:noProof/>
            <w:webHidden/>
          </w:rPr>
          <w:t>110</w:t>
        </w:r>
        <w:r w:rsidR="002016F1">
          <w:rPr>
            <w:noProof/>
            <w:webHidden/>
          </w:rPr>
          <w:fldChar w:fldCharType="end"/>
        </w:r>
      </w:hyperlink>
    </w:p>
    <w:p w:rsidR="002016F1" w:rsidRDefault="008F124C">
      <w:pPr>
        <w:pStyle w:val="TableofFigures"/>
        <w:tabs>
          <w:tab w:val="right" w:leader="dot" w:pos="9016"/>
        </w:tabs>
        <w:rPr>
          <w:noProof/>
        </w:rPr>
      </w:pPr>
      <w:hyperlink w:anchor="_Toc495848351" w:history="1">
        <w:r w:rsidR="002016F1" w:rsidRPr="00820DD7">
          <w:rPr>
            <w:rStyle w:val="Hyperlink"/>
            <w:rFonts w:ascii="Times New Roman" w:hAnsi="Times New Roman" w:cs="Times New Roman"/>
            <w:noProof/>
          </w:rPr>
          <w:t xml:space="preserve">Figure 18. </w:t>
        </w:r>
        <w:r w:rsidR="002016F1" w:rsidRPr="00820DD7">
          <w:rPr>
            <w:rStyle w:val="Hyperlink"/>
            <w:rFonts w:ascii="Times New Roman" w:eastAsia="Calibri" w:hAnsi="Times New Roman" w:cs="Times New Roman"/>
            <w:noProof/>
          </w:rPr>
          <w:t>GaBi model of average electricity for global Fe-Cr production.</w:t>
        </w:r>
        <w:r w:rsidR="002016F1">
          <w:rPr>
            <w:noProof/>
            <w:webHidden/>
          </w:rPr>
          <w:tab/>
        </w:r>
        <w:r w:rsidR="002016F1">
          <w:rPr>
            <w:noProof/>
            <w:webHidden/>
          </w:rPr>
          <w:fldChar w:fldCharType="begin"/>
        </w:r>
        <w:r w:rsidR="002016F1">
          <w:rPr>
            <w:noProof/>
            <w:webHidden/>
          </w:rPr>
          <w:instrText xml:space="preserve"> PAGEREF _Toc495848351 \h </w:instrText>
        </w:r>
        <w:r w:rsidR="002016F1">
          <w:rPr>
            <w:noProof/>
            <w:webHidden/>
          </w:rPr>
        </w:r>
        <w:r w:rsidR="002016F1">
          <w:rPr>
            <w:noProof/>
            <w:webHidden/>
          </w:rPr>
          <w:fldChar w:fldCharType="separate"/>
        </w:r>
        <w:r w:rsidR="009F5483">
          <w:rPr>
            <w:noProof/>
            <w:webHidden/>
          </w:rPr>
          <w:t>112</w:t>
        </w:r>
        <w:r w:rsidR="002016F1">
          <w:rPr>
            <w:noProof/>
            <w:webHidden/>
          </w:rPr>
          <w:fldChar w:fldCharType="end"/>
        </w:r>
      </w:hyperlink>
    </w:p>
    <w:p w:rsidR="002016F1" w:rsidRDefault="008F124C">
      <w:pPr>
        <w:pStyle w:val="TableofFigures"/>
        <w:tabs>
          <w:tab w:val="right" w:leader="dot" w:pos="9016"/>
        </w:tabs>
        <w:rPr>
          <w:noProof/>
        </w:rPr>
      </w:pPr>
      <w:hyperlink w:anchor="_Toc495848352" w:history="1">
        <w:r w:rsidR="002016F1" w:rsidRPr="00820DD7">
          <w:rPr>
            <w:rStyle w:val="Hyperlink"/>
            <w:rFonts w:ascii="Times New Roman" w:hAnsi="Times New Roman" w:cs="Times New Roman"/>
            <w:noProof/>
          </w:rPr>
          <w:t xml:space="preserve">Figure 19. </w:t>
        </w:r>
        <w:r w:rsidR="002016F1" w:rsidRPr="00820DD7">
          <w:rPr>
            <w:rStyle w:val="Hyperlink"/>
            <w:rFonts w:ascii="Times New Roman" w:eastAsia="Calibri" w:hAnsi="Times New Roman" w:cs="Times New Roman"/>
            <w:noProof/>
          </w:rPr>
          <w:t>GaBi model of average electricity for global Fe-Mn production</w:t>
        </w:r>
        <w:r w:rsidR="002016F1">
          <w:rPr>
            <w:noProof/>
            <w:webHidden/>
          </w:rPr>
          <w:tab/>
        </w:r>
        <w:r w:rsidR="002016F1">
          <w:rPr>
            <w:noProof/>
            <w:webHidden/>
          </w:rPr>
          <w:fldChar w:fldCharType="begin"/>
        </w:r>
        <w:r w:rsidR="002016F1">
          <w:rPr>
            <w:noProof/>
            <w:webHidden/>
          </w:rPr>
          <w:instrText xml:space="preserve"> PAGEREF _Toc495848352 \h </w:instrText>
        </w:r>
        <w:r w:rsidR="002016F1">
          <w:rPr>
            <w:noProof/>
            <w:webHidden/>
          </w:rPr>
        </w:r>
        <w:r w:rsidR="002016F1">
          <w:rPr>
            <w:noProof/>
            <w:webHidden/>
          </w:rPr>
          <w:fldChar w:fldCharType="separate"/>
        </w:r>
        <w:r w:rsidR="009F5483">
          <w:rPr>
            <w:noProof/>
            <w:webHidden/>
          </w:rPr>
          <w:t>114</w:t>
        </w:r>
        <w:r w:rsidR="002016F1">
          <w:rPr>
            <w:noProof/>
            <w:webHidden/>
          </w:rPr>
          <w:fldChar w:fldCharType="end"/>
        </w:r>
      </w:hyperlink>
    </w:p>
    <w:p w:rsidR="002016F1" w:rsidRDefault="008F124C">
      <w:pPr>
        <w:pStyle w:val="TableofFigures"/>
        <w:tabs>
          <w:tab w:val="right" w:leader="dot" w:pos="9016"/>
        </w:tabs>
        <w:rPr>
          <w:noProof/>
        </w:rPr>
      </w:pPr>
      <w:hyperlink w:anchor="_Toc495848353" w:history="1">
        <w:r w:rsidR="002016F1" w:rsidRPr="00820DD7">
          <w:rPr>
            <w:rStyle w:val="Hyperlink"/>
            <w:rFonts w:ascii="Times New Roman" w:hAnsi="Times New Roman" w:cs="Times New Roman"/>
            <w:noProof/>
          </w:rPr>
          <w:t xml:space="preserve">Figure 20. </w:t>
        </w:r>
        <w:r w:rsidR="002016F1" w:rsidRPr="00820DD7">
          <w:rPr>
            <w:rStyle w:val="Hyperlink"/>
            <w:rFonts w:ascii="Times New Roman" w:eastAsia="Calibri" w:hAnsi="Times New Roman" w:cs="Times New Roman"/>
            <w:noProof/>
          </w:rPr>
          <w:t>GaBi model of average electricity for global Fe-Ni production.</w:t>
        </w:r>
        <w:r w:rsidR="002016F1">
          <w:rPr>
            <w:noProof/>
            <w:webHidden/>
          </w:rPr>
          <w:tab/>
        </w:r>
        <w:r w:rsidR="002016F1">
          <w:rPr>
            <w:noProof/>
            <w:webHidden/>
          </w:rPr>
          <w:fldChar w:fldCharType="begin"/>
        </w:r>
        <w:r w:rsidR="002016F1">
          <w:rPr>
            <w:noProof/>
            <w:webHidden/>
          </w:rPr>
          <w:instrText xml:space="preserve"> PAGEREF _Toc495848353 \h </w:instrText>
        </w:r>
        <w:r w:rsidR="002016F1">
          <w:rPr>
            <w:noProof/>
            <w:webHidden/>
          </w:rPr>
        </w:r>
        <w:r w:rsidR="002016F1">
          <w:rPr>
            <w:noProof/>
            <w:webHidden/>
          </w:rPr>
          <w:fldChar w:fldCharType="separate"/>
        </w:r>
        <w:r w:rsidR="009F5483">
          <w:rPr>
            <w:noProof/>
            <w:webHidden/>
          </w:rPr>
          <w:t>116</w:t>
        </w:r>
        <w:r w:rsidR="002016F1">
          <w:rPr>
            <w:noProof/>
            <w:webHidden/>
          </w:rPr>
          <w:fldChar w:fldCharType="end"/>
        </w:r>
      </w:hyperlink>
    </w:p>
    <w:p w:rsidR="002016F1" w:rsidRDefault="008F124C">
      <w:pPr>
        <w:pStyle w:val="TableofFigures"/>
        <w:tabs>
          <w:tab w:val="right" w:leader="dot" w:pos="9016"/>
        </w:tabs>
        <w:rPr>
          <w:noProof/>
        </w:rPr>
      </w:pPr>
      <w:hyperlink w:anchor="_Toc495848354" w:history="1">
        <w:r w:rsidR="002016F1" w:rsidRPr="00820DD7">
          <w:rPr>
            <w:rStyle w:val="Hyperlink"/>
            <w:rFonts w:ascii="Times New Roman" w:hAnsi="Times New Roman" w:cs="Times New Roman"/>
            <w:noProof/>
          </w:rPr>
          <w:t xml:space="preserve">Figure 21. </w:t>
        </w:r>
        <w:r w:rsidR="002016F1" w:rsidRPr="00820DD7">
          <w:rPr>
            <w:rStyle w:val="Hyperlink"/>
            <w:rFonts w:ascii="Times New Roman" w:eastAsia="Calibri" w:hAnsi="Times New Roman" w:cs="Times New Roman"/>
            <w:noProof/>
          </w:rPr>
          <w:t>GaBi model of average electricity for global Fe-Si production.</w:t>
        </w:r>
        <w:r w:rsidR="002016F1">
          <w:rPr>
            <w:noProof/>
            <w:webHidden/>
          </w:rPr>
          <w:tab/>
        </w:r>
        <w:r w:rsidR="002016F1">
          <w:rPr>
            <w:noProof/>
            <w:webHidden/>
          </w:rPr>
          <w:fldChar w:fldCharType="begin"/>
        </w:r>
        <w:r w:rsidR="002016F1">
          <w:rPr>
            <w:noProof/>
            <w:webHidden/>
          </w:rPr>
          <w:instrText xml:space="preserve"> PAGEREF _Toc495848354 \h </w:instrText>
        </w:r>
        <w:r w:rsidR="002016F1">
          <w:rPr>
            <w:noProof/>
            <w:webHidden/>
          </w:rPr>
        </w:r>
        <w:r w:rsidR="002016F1">
          <w:rPr>
            <w:noProof/>
            <w:webHidden/>
          </w:rPr>
          <w:fldChar w:fldCharType="separate"/>
        </w:r>
        <w:r w:rsidR="009F5483">
          <w:rPr>
            <w:noProof/>
            <w:webHidden/>
          </w:rPr>
          <w:t>118</w:t>
        </w:r>
        <w:r w:rsidR="002016F1">
          <w:rPr>
            <w:noProof/>
            <w:webHidden/>
          </w:rPr>
          <w:fldChar w:fldCharType="end"/>
        </w:r>
      </w:hyperlink>
    </w:p>
    <w:p w:rsidR="002016F1" w:rsidRDefault="008F124C">
      <w:pPr>
        <w:pStyle w:val="TableofFigures"/>
        <w:tabs>
          <w:tab w:val="right" w:leader="dot" w:pos="9016"/>
        </w:tabs>
        <w:rPr>
          <w:noProof/>
        </w:rPr>
      </w:pPr>
      <w:hyperlink w:anchor="_Toc495848355" w:history="1">
        <w:r w:rsidR="002016F1" w:rsidRPr="00820DD7">
          <w:rPr>
            <w:rStyle w:val="Hyperlink"/>
            <w:rFonts w:ascii="Times New Roman" w:hAnsi="Times New Roman" w:cs="Times New Roman"/>
            <w:noProof/>
          </w:rPr>
          <w:t xml:space="preserve">Figure 22. </w:t>
        </w:r>
        <w:r w:rsidR="002016F1" w:rsidRPr="00820DD7">
          <w:rPr>
            <w:rStyle w:val="Hyperlink"/>
            <w:rFonts w:ascii="Times New Roman" w:eastAsia="Calibri" w:hAnsi="Times New Roman" w:cs="Times New Roman"/>
            <w:noProof/>
          </w:rPr>
          <w:t>GaBi model of average electricity for global Si-Mn production.</w:t>
        </w:r>
        <w:r w:rsidR="002016F1">
          <w:rPr>
            <w:noProof/>
            <w:webHidden/>
          </w:rPr>
          <w:tab/>
        </w:r>
        <w:r w:rsidR="002016F1">
          <w:rPr>
            <w:noProof/>
            <w:webHidden/>
          </w:rPr>
          <w:fldChar w:fldCharType="begin"/>
        </w:r>
        <w:r w:rsidR="002016F1">
          <w:rPr>
            <w:noProof/>
            <w:webHidden/>
          </w:rPr>
          <w:instrText xml:space="preserve"> PAGEREF _Toc495848355 \h </w:instrText>
        </w:r>
        <w:r w:rsidR="002016F1">
          <w:rPr>
            <w:noProof/>
            <w:webHidden/>
          </w:rPr>
        </w:r>
        <w:r w:rsidR="002016F1">
          <w:rPr>
            <w:noProof/>
            <w:webHidden/>
          </w:rPr>
          <w:fldChar w:fldCharType="separate"/>
        </w:r>
        <w:r w:rsidR="009F5483">
          <w:rPr>
            <w:noProof/>
            <w:webHidden/>
          </w:rPr>
          <w:t>120</w:t>
        </w:r>
        <w:r w:rsidR="002016F1">
          <w:rPr>
            <w:noProof/>
            <w:webHidden/>
          </w:rPr>
          <w:fldChar w:fldCharType="end"/>
        </w:r>
      </w:hyperlink>
    </w:p>
    <w:p w:rsidR="002016F1" w:rsidRDefault="008F124C">
      <w:pPr>
        <w:pStyle w:val="TableofFigures"/>
        <w:tabs>
          <w:tab w:val="right" w:leader="dot" w:pos="9016"/>
        </w:tabs>
        <w:rPr>
          <w:noProof/>
        </w:rPr>
      </w:pPr>
      <w:hyperlink w:anchor="_Toc495848356" w:history="1">
        <w:r w:rsidR="002016F1" w:rsidRPr="00820DD7">
          <w:rPr>
            <w:rStyle w:val="Hyperlink"/>
            <w:rFonts w:ascii="Times New Roman" w:hAnsi="Times New Roman" w:cs="Times New Roman"/>
            <w:noProof/>
          </w:rPr>
          <w:t xml:space="preserve">Figure 23. </w:t>
        </w:r>
        <w:r w:rsidR="002016F1" w:rsidRPr="00820DD7">
          <w:rPr>
            <w:rStyle w:val="Hyperlink"/>
            <w:rFonts w:ascii="Times New Roman" w:eastAsia="Calibri" w:hAnsi="Times New Roman" w:cs="Times New Roman"/>
            <w:noProof/>
          </w:rPr>
          <w:t>GWP values across all five ferro-alloys comprising of the average electricity grid mixes.</w:t>
        </w:r>
        <w:r w:rsidR="002016F1">
          <w:rPr>
            <w:noProof/>
            <w:webHidden/>
          </w:rPr>
          <w:tab/>
        </w:r>
        <w:r w:rsidR="002016F1">
          <w:rPr>
            <w:noProof/>
            <w:webHidden/>
          </w:rPr>
          <w:fldChar w:fldCharType="begin"/>
        </w:r>
        <w:r w:rsidR="002016F1">
          <w:rPr>
            <w:noProof/>
            <w:webHidden/>
          </w:rPr>
          <w:instrText xml:space="preserve"> PAGEREF _Toc495848356 \h </w:instrText>
        </w:r>
        <w:r w:rsidR="002016F1">
          <w:rPr>
            <w:noProof/>
            <w:webHidden/>
          </w:rPr>
        </w:r>
        <w:r w:rsidR="002016F1">
          <w:rPr>
            <w:noProof/>
            <w:webHidden/>
          </w:rPr>
          <w:fldChar w:fldCharType="separate"/>
        </w:r>
        <w:r w:rsidR="009F5483">
          <w:rPr>
            <w:noProof/>
            <w:webHidden/>
          </w:rPr>
          <w:t>121</w:t>
        </w:r>
        <w:r w:rsidR="002016F1">
          <w:rPr>
            <w:noProof/>
            <w:webHidden/>
          </w:rPr>
          <w:fldChar w:fldCharType="end"/>
        </w:r>
      </w:hyperlink>
    </w:p>
    <w:p w:rsidR="002016F1" w:rsidRDefault="008F124C">
      <w:pPr>
        <w:pStyle w:val="TableofFigures"/>
        <w:tabs>
          <w:tab w:val="right" w:leader="dot" w:pos="9016"/>
        </w:tabs>
        <w:rPr>
          <w:noProof/>
        </w:rPr>
      </w:pPr>
      <w:hyperlink w:anchor="_Toc495848357" w:history="1">
        <w:r w:rsidR="002016F1" w:rsidRPr="00820DD7">
          <w:rPr>
            <w:rStyle w:val="Hyperlink"/>
            <w:rFonts w:ascii="Times New Roman" w:hAnsi="Times New Roman" w:cs="Times New Roman"/>
            <w:noProof/>
          </w:rPr>
          <w:t xml:space="preserve">Figure 24. </w:t>
        </w:r>
        <w:r w:rsidR="002016F1" w:rsidRPr="00820DD7">
          <w:rPr>
            <w:rStyle w:val="Hyperlink"/>
            <w:rFonts w:ascii="Times New Roman" w:eastAsia="Calibri" w:hAnsi="Times New Roman" w:cs="Times New Roman"/>
            <w:noProof/>
          </w:rPr>
          <w:t>Make up of top three global producers for Fe-Cr, Fe-Mn, Fe-Ni, Fe-Si and Si-Mn.</w:t>
        </w:r>
        <w:r w:rsidR="002016F1">
          <w:rPr>
            <w:noProof/>
            <w:webHidden/>
          </w:rPr>
          <w:tab/>
        </w:r>
        <w:r w:rsidR="002016F1">
          <w:rPr>
            <w:noProof/>
            <w:webHidden/>
          </w:rPr>
          <w:fldChar w:fldCharType="begin"/>
        </w:r>
        <w:r w:rsidR="002016F1">
          <w:rPr>
            <w:noProof/>
            <w:webHidden/>
          </w:rPr>
          <w:instrText xml:space="preserve"> PAGEREF _Toc495848357 \h </w:instrText>
        </w:r>
        <w:r w:rsidR="002016F1">
          <w:rPr>
            <w:noProof/>
            <w:webHidden/>
          </w:rPr>
        </w:r>
        <w:r w:rsidR="002016F1">
          <w:rPr>
            <w:noProof/>
            <w:webHidden/>
          </w:rPr>
          <w:fldChar w:fldCharType="separate"/>
        </w:r>
        <w:r w:rsidR="009F5483">
          <w:rPr>
            <w:noProof/>
            <w:webHidden/>
          </w:rPr>
          <w:t>122</w:t>
        </w:r>
        <w:r w:rsidR="002016F1">
          <w:rPr>
            <w:noProof/>
            <w:webHidden/>
          </w:rPr>
          <w:fldChar w:fldCharType="end"/>
        </w:r>
      </w:hyperlink>
    </w:p>
    <w:p w:rsidR="002016F1" w:rsidRDefault="008F124C">
      <w:pPr>
        <w:pStyle w:val="TableofFigures"/>
        <w:tabs>
          <w:tab w:val="right" w:leader="dot" w:pos="9016"/>
        </w:tabs>
        <w:rPr>
          <w:noProof/>
        </w:rPr>
      </w:pPr>
      <w:hyperlink w:anchor="_Toc495848358" w:history="1">
        <w:r w:rsidR="002016F1" w:rsidRPr="00820DD7">
          <w:rPr>
            <w:rStyle w:val="Hyperlink"/>
            <w:rFonts w:ascii="Times New Roman" w:hAnsi="Times New Roman" w:cs="Times New Roman"/>
            <w:noProof/>
          </w:rPr>
          <w:t xml:space="preserve">Figure 25. </w:t>
        </w:r>
        <w:r w:rsidR="002016F1" w:rsidRPr="00820DD7">
          <w:rPr>
            <w:rStyle w:val="Hyperlink"/>
            <w:rFonts w:ascii="Times New Roman" w:eastAsia="Calibri" w:hAnsi="Times New Roman" w:cs="Times New Roman"/>
            <w:noProof/>
          </w:rPr>
          <w:t>Country specific GWP from GaBi based on the functional unit 1MJ.</w:t>
        </w:r>
        <w:r w:rsidR="002016F1">
          <w:rPr>
            <w:noProof/>
            <w:webHidden/>
          </w:rPr>
          <w:tab/>
        </w:r>
        <w:r w:rsidR="002016F1">
          <w:rPr>
            <w:noProof/>
            <w:webHidden/>
          </w:rPr>
          <w:fldChar w:fldCharType="begin"/>
        </w:r>
        <w:r w:rsidR="002016F1">
          <w:rPr>
            <w:noProof/>
            <w:webHidden/>
          </w:rPr>
          <w:instrText xml:space="preserve"> PAGEREF _Toc495848358 \h </w:instrText>
        </w:r>
        <w:r w:rsidR="002016F1">
          <w:rPr>
            <w:noProof/>
            <w:webHidden/>
          </w:rPr>
        </w:r>
        <w:r w:rsidR="002016F1">
          <w:rPr>
            <w:noProof/>
            <w:webHidden/>
          </w:rPr>
          <w:fldChar w:fldCharType="separate"/>
        </w:r>
        <w:r w:rsidR="009F5483">
          <w:rPr>
            <w:noProof/>
            <w:webHidden/>
          </w:rPr>
          <w:t>123</w:t>
        </w:r>
        <w:r w:rsidR="002016F1">
          <w:rPr>
            <w:noProof/>
            <w:webHidden/>
          </w:rPr>
          <w:fldChar w:fldCharType="end"/>
        </w:r>
      </w:hyperlink>
    </w:p>
    <w:p w:rsidR="002016F1" w:rsidRDefault="008F124C">
      <w:pPr>
        <w:pStyle w:val="TableofFigures"/>
        <w:tabs>
          <w:tab w:val="right" w:leader="dot" w:pos="9016"/>
        </w:tabs>
        <w:rPr>
          <w:noProof/>
        </w:rPr>
      </w:pPr>
      <w:hyperlink w:anchor="_Toc495848359" w:history="1">
        <w:r w:rsidR="002016F1" w:rsidRPr="00820DD7">
          <w:rPr>
            <w:rStyle w:val="Hyperlink"/>
            <w:rFonts w:ascii="Times New Roman" w:hAnsi="Times New Roman" w:cs="Times New Roman"/>
            <w:noProof/>
          </w:rPr>
          <w:t xml:space="preserve">Figure 26. </w:t>
        </w:r>
        <w:r w:rsidR="002016F1" w:rsidRPr="00820DD7">
          <w:rPr>
            <w:rStyle w:val="Hyperlink"/>
            <w:rFonts w:ascii="Times New Roman" w:eastAsia="Calibri" w:hAnsi="Times New Roman" w:cs="Times New Roman"/>
            <w:noProof/>
          </w:rPr>
          <w:t>Comparison of different literature sources for Fe-B production via GWP.</w:t>
        </w:r>
        <w:r w:rsidR="002016F1">
          <w:rPr>
            <w:noProof/>
            <w:webHidden/>
          </w:rPr>
          <w:tab/>
        </w:r>
        <w:r w:rsidR="002016F1">
          <w:rPr>
            <w:noProof/>
            <w:webHidden/>
          </w:rPr>
          <w:fldChar w:fldCharType="begin"/>
        </w:r>
        <w:r w:rsidR="002016F1">
          <w:rPr>
            <w:noProof/>
            <w:webHidden/>
          </w:rPr>
          <w:instrText xml:space="preserve"> PAGEREF _Toc495848359 \h </w:instrText>
        </w:r>
        <w:r w:rsidR="002016F1">
          <w:rPr>
            <w:noProof/>
            <w:webHidden/>
          </w:rPr>
        </w:r>
        <w:r w:rsidR="002016F1">
          <w:rPr>
            <w:noProof/>
            <w:webHidden/>
          </w:rPr>
          <w:fldChar w:fldCharType="separate"/>
        </w:r>
        <w:r w:rsidR="009F5483">
          <w:rPr>
            <w:noProof/>
            <w:webHidden/>
          </w:rPr>
          <w:t>126</w:t>
        </w:r>
        <w:r w:rsidR="002016F1">
          <w:rPr>
            <w:noProof/>
            <w:webHidden/>
          </w:rPr>
          <w:fldChar w:fldCharType="end"/>
        </w:r>
      </w:hyperlink>
    </w:p>
    <w:p w:rsidR="002016F1" w:rsidRDefault="008F124C">
      <w:pPr>
        <w:pStyle w:val="TableofFigures"/>
        <w:tabs>
          <w:tab w:val="right" w:leader="dot" w:pos="9016"/>
        </w:tabs>
        <w:rPr>
          <w:noProof/>
        </w:rPr>
      </w:pPr>
      <w:hyperlink w:anchor="_Toc495848360" w:history="1">
        <w:r w:rsidR="002016F1" w:rsidRPr="00820DD7">
          <w:rPr>
            <w:rStyle w:val="Hyperlink"/>
            <w:rFonts w:ascii="Times New Roman" w:hAnsi="Times New Roman" w:cs="Times New Roman"/>
            <w:noProof/>
          </w:rPr>
          <w:t xml:space="preserve">Figure 27. </w:t>
        </w:r>
        <w:r w:rsidR="002016F1" w:rsidRPr="00820DD7">
          <w:rPr>
            <w:rStyle w:val="Hyperlink"/>
            <w:rFonts w:ascii="Times New Roman" w:eastAsia="Calibri" w:hAnsi="Times New Roman" w:cs="Times New Roman"/>
            <w:noProof/>
          </w:rPr>
          <w:t>Comparison of boric oxide and borates in terms of energy.</w:t>
        </w:r>
        <w:r w:rsidR="002016F1">
          <w:rPr>
            <w:noProof/>
            <w:webHidden/>
          </w:rPr>
          <w:tab/>
        </w:r>
        <w:r w:rsidR="002016F1">
          <w:rPr>
            <w:noProof/>
            <w:webHidden/>
          </w:rPr>
          <w:fldChar w:fldCharType="begin"/>
        </w:r>
        <w:r w:rsidR="002016F1">
          <w:rPr>
            <w:noProof/>
            <w:webHidden/>
          </w:rPr>
          <w:instrText xml:space="preserve"> PAGEREF _Toc495848360 \h </w:instrText>
        </w:r>
        <w:r w:rsidR="002016F1">
          <w:rPr>
            <w:noProof/>
            <w:webHidden/>
          </w:rPr>
        </w:r>
        <w:r w:rsidR="002016F1">
          <w:rPr>
            <w:noProof/>
            <w:webHidden/>
          </w:rPr>
          <w:fldChar w:fldCharType="separate"/>
        </w:r>
        <w:r w:rsidR="009F5483">
          <w:rPr>
            <w:noProof/>
            <w:webHidden/>
          </w:rPr>
          <w:t>127</w:t>
        </w:r>
        <w:r w:rsidR="002016F1">
          <w:rPr>
            <w:noProof/>
            <w:webHidden/>
          </w:rPr>
          <w:fldChar w:fldCharType="end"/>
        </w:r>
      </w:hyperlink>
    </w:p>
    <w:p w:rsidR="002016F1" w:rsidRDefault="008F124C">
      <w:pPr>
        <w:pStyle w:val="TableofFigures"/>
        <w:tabs>
          <w:tab w:val="right" w:leader="dot" w:pos="9016"/>
        </w:tabs>
        <w:rPr>
          <w:noProof/>
        </w:rPr>
      </w:pPr>
      <w:hyperlink w:anchor="_Toc495848361" w:history="1">
        <w:r w:rsidR="002016F1" w:rsidRPr="00820DD7">
          <w:rPr>
            <w:rStyle w:val="Hyperlink"/>
            <w:noProof/>
          </w:rPr>
          <w:t xml:space="preserve">Figure 28. </w:t>
        </w:r>
        <w:r w:rsidR="002016F1" w:rsidRPr="00820DD7">
          <w:rPr>
            <w:rStyle w:val="Hyperlink"/>
            <w:rFonts w:ascii="Times New Roman" w:eastAsia="Calibri" w:hAnsi="Times New Roman" w:cs="Times New Roman"/>
            <w:noProof/>
          </w:rPr>
          <w:t>Fe-B modelled using borates.</w:t>
        </w:r>
        <w:r w:rsidR="002016F1">
          <w:rPr>
            <w:noProof/>
            <w:webHidden/>
          </w:rPr>
          <w:tab/>
        </w:r>
        <w:r w:rsidR="002016F1">
          <w:rPr>
            <w:noProof/>
            <w:webHidden/>
          </w:rPr>
          <w:fldChar w:fldCharType="begin"/>
        </w:r>
        <w:r w:rsidR="002016F1">
          <w:rPr>
            <w:noProof/>
            <w:webHidden/>
          </w:rPr>
          <w:instrText xml:space="preserve"> PAGEREF _Toc495848361 \h </w:instrText>
        </w:r>
        <w:r w:rsidR="002016F1">
          <w:rPr>
            <w:noProof/>
            <w:webHidden/>
          </w:rPr>
        </w:r>
        <w:r w:rsidR="002016F1">
          <w:rPr>
            <w:noProof/>
            <w:webHidden/>
          </w:rPr>
          <w:fldChar w:fldCharType="separate"/>
        </w:r>
        <w:r w:rsidR="009F5483">
          <w:rPr>
            <w:noProof/>
            <w:webHidden/>
          </w:rPr>
          <w:t>128</w:t>
        </w:r>
        <w:r w:rsidR="002016F1">
          <w:rPr>
            <w:noProof/>
            <w:webHidden/>
          </w:rPr>
          <w:fldChar w:fldCharType="end"/>
        </w:r>
      </w:hyperlink>
    </w:p>
    <w:p w:rsidR="002016F1" w:rsidRDefault="008F124C">
      <w:pPr>
        <w:pStyle w:val="TableofFigures"/>
        <w:tabs>
          <w:tab w:val="right" w:leader="dot" w:pos="9016"/>
        </w:tabs>
        <w:rPr>
          <w:noProof/>
        </w:rPr>
      </w:pPr>
      <w:hyperlink w:anchor="_Toc495848362" w:history="1">
        <w:r w:rsidR="002016F1" w:rsidRPr="00820DD7">
          <w:rPr>
            <w:rStyle w:val="Hyperlink"/>
            <w:rFonts w:ascii="Times New Roman" w:hAnsi="Times New Roman" w:cs="Times New Roman"/>
            <w:noProof/>
          </w:rPr>
          <w:t xml:space="preserve">Figure 29. </w:t>
        </w:r>
        <w:r w:rsidR="002016F1" w:rsidRPr="00820DD7">
          <w:rPr>
            <w:rStyle w:val="Hyperlink"/>
            <w:rFonts w:ascii="Times New Roman" w:eastAsia="Calibri" w:hAnsi="Times New Roman" w:cs="Times New Roman"/>
            <w:noProof/>
          </w:rPr>
          <w:t>Comparison of original literature source for Fe-Cr production via GWP.</w:t>
        </w:r>
        <w:r w:rsidR="002016F1">
          <w:rPr>
            <w:noProof/>
            <w:webHidden/>
          </w:rPr>
          <w:tab/>
        </w:r>
        <w:r w:rsidR="002016F1">
          <w:rPr>
            <w:noProof/>
            <w:webHidden/>
          </w:rPr>
          <w:fldChar w:fldCharType="begin"/>
        </w:r>
        <w:r w:rsidR="002016F1">
          <w:rPr>
            <w:noProof/>
            <w:webHidden/>
          </w:rPr>
          <w:instrText xml:space="preserve"> PAGEREF _Toc495848362 \h </w:instrText>
        </w:r>
        <w:r w:rsidR="002016F1">
          <w:rPr>
            <w:noProof/>
            <w:webHidden/>
          </w:rPr>
        </w:r>
        <w:r w:rsidR="002016F1">
          <w:rPr>
            <w:noProof/>
            <w:webHidden/>
          </w:rPr>
          <w:fldChar w:fldCharType="separate"/>
        </w:r>
        <w:r w:rsidR="009F5483">
          <w:rPr>
            <w:noProof/>
            <w:webHidden/>
          </w:rPr>
          <w:t>129</w:t>
        </w:r>
        <w:r w:rsidR="002016F1">
          <w:rPr>
            <w:noProof/>
            <w:webHidden/>
          </w:rPr>
          <w:fldChar w:fldCharType="end"/>
        </w:r>
      </w:hyperlink>
    </w:p>
    <w:p w:rsidR="002016F1" w:rsidRDefault="008F124C">
      <w:pPr>
        <w:pStyle w:val="TableofFigures"/>
        <w:tabs>
          <w:tab w:val="right" w:leader="dot" w:pos="9016"/>
        </w:tabs>
        <w:rPr>
          <w:noProof/>
        </w:rPr>
      </w:pPr>
      <w:hyperlink w:anchor="_Toc495848363" w:history="1">
        <w:r w:rsidR="002016F1" w:rsidRPr="00820DD7">
          <w:rPr>
            <w:rStyle w:val="Hyperlink"/>
            <w:rFonts w:ascii="Times New Roman" w:hAnsi="Times New Roman" w:cs="Times New Roman"/>
            <w:noProof/>
          </w:rPr>
          <w:t xml:space="preserve">Figure 30. </w:t>
        </w:r>
        <w:r w:rsidR="002016F1" w:rsidRPr="00820DD7">
          <w:rPr>
            <w:rStyle w:val="Hyperlink"/>
            <w:rFonts w:ascii="Times New Roman" w:eastAsia="Calibri" w:hAnsi="Times New Roman" w:cs="Times New Roman"/>
            <w:noProof/>
          </w:rPr>
          <w:t>Comparison of Eurometaux and GaBi literature sources for Fe-Cr production via GWP.</w:t>
        </w:r>
        <w:r w:rsidR="002016F1">
          <w:rPr>
            <w:noProof/>
            <w:webHidden/>
          </w:rPr>
          <w:tab/>
        </w:r>
        <w:r w:rsidR="002016F1">
          <w:rPr>
            <w:noProof/>
            <w:webHidden/>
          </w:rPr>
          <w:fldChar w:fldCharType="begin"/>
        </w:r>
        <w:r w:rsidR="002016F1">
          <w:rPr>
            <w:noProof/>
            <w:webHidden/>
          </w:rPr>
          <w:instrText xml:space="preserve"> PAGEREF _Toc495848363 \h </w:instrText>
        </w:r>
        <w:r w:rsidR="002016F1">
          <w:rPr>
            <w:noProof/>
            <w:webHidden/>
          </w:rPr>
        </w:r>
        <w:r w:rsidR="002016F1">
          <w:rPr>
            <w:noProof/>
            <w:webHidden/>
          </w:rPr>
          <w:fldChar w:fldCharType="separate"/>
        </w:r>
        <w:r w:rsidR="009F5483">
          <w:rPr>
            <w:noProof/>
            <w:webHidden/>
          </w:rPr>
          <w:t>131</w:t>
        </w:r>
        <w:r w:rsidR="002016F1">
          <w:rPr>
            <w:noProof/>
            <w:webHidden/>
          </w:rPr>
          <w:fldChar w:fldCharType="end"/>
        </w:r>
      </w:hyperlink>
    </w:p>
    <w:p w:rsidR="002016F1" w:rsidRDefault="008F124C">
      <w:pPr>
        <w:pStyle w:val="TableofFigures"/>
        <w:tabs>
          <w:tab w:val="right" w:leader="dot" w:pos="9016"/>
        </w:tabs>
        <w:rPr>
          <w:noProof/>
        </w:rPr>
      </w:pPr>
      <w:hyperlink w:anchor="_Toc495848364" w:history="1">
        <w:r w:rsidR="002016F1" w:rsidRPr="00820DD7">
          <w:rPr>
            <w:rStyle w:val="Hyperlink"/>
            <w:rFonts w:ascii="Times New Roman" w:hAnsi="Times New Roman" w:cs="Times New Roman"/>
            <w:noProof/>
          </w:rPr>
          <w:t xml:space="preserve">Figure 31. </w:t>
        </w:r>
        <w:r w:rsidR="002016F1" w:rsidRPr="00820DD7">
          <w:rPr>
            <w:rStyle w:val="Hyperlink"/>
            <w:rFonts w:ascii="Times New Roman" w:eastAsia="Calibri" w:hAnsi="Times New Roman" w:cs="Times New Roman"/>
            <w:noProof/>
          </w:rPr>
          <w:t>Global Fe-Cr model utilising data from Haque.</w:t>
        </w:r>
        <w:r w:rsidR="002016F1">
          <w:rPr>
            <w:noProof/>
            <w:webHidden/>
          </w:rPr>
          <w:tab/>
        </w:r>
        <w:r w:rsidR="002016F1">
          <w:rPr>
            <w:noProof/>
            <w:webHidden/>
          </w:rPr>
          <w:fldChar w:fldCharType="begin"/>
        </w:r>
        <w:r w:rsidR="002016F1">
          <w:rPr>
            <w:noProof/>
            <w:webHidden/>
          </w:rPr>
          <w:instrText xml:space="preserve"> PAGEREF _Toc495848364 \h </w:instrText>
        </w:r>
        <w:r w:rsidR="002016F1">
          <w:rPr>
            <w:noProof/>
            <w:webHidden/>
          </w:rPr>
        </w:r>
        <w:r w:rsidR="002016F1">
          <w:rPr>
            <w:noProof/>
            <w:webHidden/>
          </w:rPr>
          <w:fldChar w:fldCharType="separate"/>
        </w:r>
        <w:r w:rsidR="009F5483">
          <w:rPr>
            <w:noProof/>
            <w:webHidden/>
          </w:rPr>
          <w:t>133</w:t>
        </w:r>
        <w:r w:rsidR="002016F1">
          <w:rPr>
            <w:noProof/>
            <w:webHidden/>
          </w:rPr>
          <w:fldChar w:fldCharType="end"/>
        </w:r>
      </w:hyperlink>
    </w:p>
    <w:p w:rsidR="002016F1" w:rsidRDefault="008F124C">
      <w:pPr>
        <w:pStyle w:val="TableofFigures"/>
        <w:tabs>
          <w:tab w:val="right" w:leader="dot" w:pos="9016"/>
        </w:tabs>
        <w:rPr>
          <w:noProof/>
        </w:rPr>
      </w:pPr>
      <w:hyperlink w:anchor="_Toc495848365" w:history="1">
        <w:r w:rsidR="002016F1" w:rsidRPr="00820DD7">
          <w:rPr>
            <w:rStyle w:val="Hyperlink"/>
            <w:rFonts w:ascii="Times New Roman" w:hAnsi="Times New Roman" w:cs="Times New Roman"/>
            <w:noProof/>
          </w:rPr>
          <w:t xml:space="preserve">Figure 32. </w:t>
        </w:r>
        <w:r w:rsidR="002016F1" w:rsidRPr="00820DD7">
          <w:rPr>
            <w:rStyle w:val="Hyperlink"/>
            <w:rFonts w:ascii="Times New Roman" w:eastAsia="Calibri" w:hAnsi="Times New Roman" w:cs="Times New Roman"/>
            <w:noProof/>
          </w:rPr>
          <w:t>GaBi model of LC Fe-Cr (60% Cr, 1%).</w:t>
        </w:r>
        <w:r w:rsidR="002016F1">
          <w:rPr>
            <w:noProof/>
            <w:webHidden/>
          </w:rPr>
          <w:tab/>
        </w:r>
        <w:r w:rsidR="002016F1">
          <w:rPr>
            <w:noProof/>
            <w:webHidden/>
          </w:rPr>
          <w:fldChar w:fldCharType="begin"/>
        </w:r>
        <w:r w:rsidR="002016F1">
          <w:rPr>
            <w:noProof/>
            <w:webHidden/>
          </w:rPr>
          <w:instrText xml:space="preserve"> PAGEREF _Toc495848365 \h </w:instrText>
        </w:r>
        <w:r w:rsidR="002016F1">
          <w:rPr>
            <w:noProof/>
            <w:webHidden/>
          </w:rPr>
        </w:r>
        <w:r w:rsidR="002016F1">
          <w:rPr>
            <w:noProof/>
            <w:webHidden/>
          </w:rPr>
          <w:fldChar w:fldCharType="separate"/>
        </w:r>
        <w:r w:rsidR="009F5483">
          <w:rPr>
            <w:noProof/>
            <w:webHidden/>
          </w:rPr>
          <w:t>134</w:t>
        </w:r>
        <w:r w:rsidR="002016F1">
          <w:rPr>
            <w:noProof/>
            <w:webHidden/>
          </w:rPr>
          <w:fldChar w:fldCharType="end"/>
        </w:r>
      </w:hyperlink>
    </w:p>
    <w:p w:rsidR="002016F1" w:rsidRDefault="008F124C">
      <w:pPr>
        <w:pStyle w:val="TableofFigures"/>
        <w:tabs>
          <w:tab w:val="right" w:leader="dot" w:pos="9016"/>
        </w:tabs>
        <w:rPr>
          <w:noProof/>
        </w:rPr>
      </w:pPr>
      <w:hyperlink w:anchor="_Toc495848366" w:history="1">
        <w:r w:rsidR="002016F1" w:rsidRPr="00820DD7">
          <w:rPr>
            <w:rStyle w:val="Hyperlink"/>
            <w:rFonts w:ascii="Times New Roman" w:hAnsi="Times New Roman" w:cs="Times New Roman"/>
            <w:noProof/>
          </w:rPr>
          <w:t xml:space="preserve">Figure 33. </w:t>
        </w:r>
        <w:r w:rsidR="002016F1" w:rsidRPr="00820DD7">
          <w:rPr>
            <w:rStyle w:val="Hyperlink"/>
            <w:rFonts w:ascii="Times New Roman" w:eastAsia="Calibri" w:hAnsi="Times New Roman" w:cs="Times New Roman"/>
            <w:noProof/>
          </w:rPr>
          <w:t>Comparison of original literature sources for Fe-Mn production via GWP.</w:t>
        </w:r>
        <w:r w:rsidR="002016F1">
          <w:rPr>
            <w:noProof/>
            <w:webHidden/>
          </w:rPr>
          <w:tab/>
        </w:r>
        <w:r w:rsidR="002016F1">
          <w:rPr>
            <w:noProof/>
            <w:webHidden/>
          </w:rPr>
          <w:fldChar w:fldCharType="begin"/>
        </w:r>
        <w:r w:rsidR="002016F1">
          <w:rPr>
            <w:noProof/>
            <w:webHidden/>
          </w:rPr>
          <w:instrText xml:space="preserve"> PAGEREF _Toc495848366 \h </w:instrText>
        </w:r>
        <w:r w:rsidR="002016F1">
          <w:rPr>
            <w:noProof/>
            <w:webHidden/>
          </w:rPr>
        </w:r>
        <w:r w:rsidR="002016F1">
          <w:rPr>
            <w:noProof/>
            <w:webHidden/>
          </w:rPr>
          <w:fldChar w:fldCharType="separate"/>
        </w:r>
        <w:r w:rsidR="009F5483">
          <w:rPr>
            <w:noProof/>
            <w:webHidden/>
          </w:rPr>
          <w:t>135</w:t>
        </w:r>
        <w:r w:rsidR="002016F1">
          <w:rPr>
            <w:noProof/>
            <w:webHidden/>
          </w:rPr>
          <w:fldChar w:fldCharType="end"/>
        </w:r>
      </w:hyperlink>
    </w:p>
    <w:p w:rsidR="002016F1" w:rsidRDefault="008F124C">
      <w:pPr>
        <w:pStyle w:val="TableofFigures"/>
        <w:tabs>
          <w:tab w:val="right" w:leader="dot" w:pos="9016"/>
        </w:tabs>
        <w:rPr>
          <w:noProof/>
        </w:rPr>
      </w:pPr>
      <w:hyperlink w:anchor="_Toc495848367" w:history="1">
        <w:r w:rsidR="002016F1" w:rsidRPr="00820DD7">
          <w:rPr>
            <w:rStyle w:val="Hyperlink"/>
            <w:rFonts w:ascii="Times New Roman" w:hAnsi="Times New Roman" w:cs="Times New Roman"/>
            <w:noProof/>
          </w:rPr>
          <w:t>Figure 34. Comparison of Eurometaux and Gasik literature sources for Fe-Mn production via GWP.</w:t>
        </w:r>
        <w:r w:rsidR="002016F1">
          <w:rPr>
            <w:noProof/>
            <w:webHidden/>
          </w:rPr>
          <w:tab/>
        </w:r>
        <w:r w:rsidR="002016F1">
          <w:rPr>
            <w:noProof/>
            <w:webHidden/>
          </w:rPr>
          <w:fldChar w:fldCharType="begin"/>
        </w:r>
        <w:r w:rsidR="002016F1">
          <w:rPr>
            <w:noProof/>
            <w:webHidden/>
          </w:rPr>
          <w:instrText xml:space="preserve"> PAGEREF _Toc495848367 \h </w:instrText>
        </w:r>
        <w:r w:rsidR="002016F1">
          <w:rPr>
            <w:noProof/>
            <w:webHidden/>
          </w:rPr>
        </w:r>
        <w:r w:rsidR="002016F1">
          <w:rPr>
            <w:noProof/>
            <w:webHidden/>
          </w:rPr>
          <w:fldChar w:fldCharType="separate"/>
        </w:r>
        <w:r w:rsidR="009F5483">
          <w:rPr>
            <w:noProof/>
            <w:webHidden/>
          </w:rPr>
          <w:t>137</w:t>
        </w:r>
        <w:r w:rsidR="002016F1">
          <w:rPr>
            <w:noProof/>
            <w:webHidden/>
          </w:rPr>
          <w:fldChar w:fldCharType="end"/>
        </w:r>
      </w:hyperlink>
    </w:p>
    <w:p w:rsidR="002016F1" w:rsidRDefault="008F124C">
      <w:pPr>
        <w:pStyle w:val="TableofFigures"/>
        <w:tabs>
          <w:tab w:val="right" w:leader="dot" w:pos="9016"/>
        </w:tabs>
        <w:rPr>
          <w:noProof/>
        </w:rPr>
      </w:pPr>
      <w:hyperlink w:anchor="_Toc495848368" w:history="1">
        <w:r w:rsidR="002016F1" w:rsidRPr="00820DD7">
          <w:rPr>
            <w:rStyle w:val="Hyperlink"/>
            <w:rFonts w:ascii="Times New Roman" w:hAnsi="Times New Roman" w:cs="Times New Roman"/>
            <w:noProof/>
          </w:rPr>
          <w:t xml:space="preserve">Figure 35. </w:t>
        </w:r>
        <w:r w:rsidR="002016F1" w:rsidRPr="00820DD7">
          <w:rPr>
            <w:rStyle w:val="Hyperlink"/>
            <w:rFonts w:ascii="Times New Roman" w:eastAsia="Calibri" w:hAnsi="Times New Roman" w:cs="Times New Roman"/>
            <w:noProof/>
          </w:rPr>
          <w:t>Comparison of GaBi Fe-Mn models via GWP.</w:t>
        </w:r>
        <w:r w:rsidR="002016F1">
          <w:rPr>
            <w:noProof/>
            <w:webHidden/>
          </w:rPr>
          <w:tab/>
        </w:r>
        <w:r w:rsidR="002016F1">
          <w:rPr>
            <w:noProof/>
            <w:webHidden/>
          </w:rPr>
          <w:fldChar w:fldCharType="begin"/>
        </w:r>
        <w:r w:rsidR="002016F1">
          <w:rPr>
            <w:noProof/>
            <w:webHidden/>
          </w:rPr>
          <w:instrText xml:space="preserve"> PAGEREF _Toc495848368 \h </w:instrText>
        </w:r>
        <w:r w:rsidR="002016F1">
          <w:rPr>
            <w:noProof/>
            <w:webHidden/>
          </w:rPr>
        </w:r>
        <w:r w:rsidR="002016F1">
          <w:rPr>
            <w:noProof/>
            <w:webHidden/>
          </w:rPr>
          <w:fldChar w:fldCharType="separate"/>
        </w:r>
        <w:r w:rsidR="009F5483">
          <w:rPr>
            <w:noProof/>
            <w:webHidden/>
          </w:rPr>
          <w:t>138</w:t>
        </w:r>
        <w:r w:rsidR="002016F1">
          <w:rPr>
            <w:noProof/>
            <w:webHidden/>
          </w:rPr>
          <w:fldChar w:fldCharType="end"/>
        </w:r>
      </w:hyperlink>
    </w:p>
    <w:p w:rsidR="002016F1" w:rsidRDefault="008F124C">
      <w:pPr>
        <w:pStyle w:val="TableofFigures"/>
        <w:tabs>
          <w:tab w:val="right" w:leader="dot" w:pos="9016"/>
        </w:tabs>
        <w:rPr>
          <w:noProof/>
        </w:rPr>
      </w:pPr>
      <w:hyperlink w:anchor="_Toc495848369" w:history="1">
        <w:r w:rsidR="002016F1" w:rsidRPr="00820DD7">
          <w:rPr>
            <w:rStyle w:val="Hyperlink"/>
            <w:rFonts w:ascii="Times New Roman" w:hAnsi="Times New Roman" w:cs="Times New Roman"/>
            <w:noProof/>
          </w:rPr>
          <w:t xml:space="preserve">Figure 36. </w:t>
        </w:r>
        <w:r w:rsidR="002016F1" w:rsidRPr="00820DD7">
          <w:rPr>
            <w:rStyle w:val="Hyperlink"/>
            <w:rFonts w:ascii="Times New Roman" w:eastAsia="Calibri" w:hAnsi="Times New Roman" w:cs="Times New Roman"/>
            <w:noProof/>
          </w:rPr>
          <w:t>Global Fe-Mn model created from data source Haque.</w:t>
        </w:r>
        <w:r w:rsidR="002016F1">
          <w:rPr>
            <w:noProof/>
            <w:webHidden/>
          </w:rPr>
          <w:tab/>
        </w:r>
        <w:r w:rsidR="002016F1">
          <w:rPr>
            <w:noProof/>
            <w:webHidden/>
          </w:rPr>
          <w:fldChar w:fldCharType="begin"/>
        </w:r>
        <w:r w:rsidR="002016F1">
          <w:rPr>
            <w:noProof/>
            <w:webHidden/>
          </w:rPr>
          <w:instrText xml:space="preserve"> PAGEREF _Toc495848369 \h </w:instrText>
        </w:r>
        <w:r w:rsidR="002016F1">
          <w:rPr>
            <w:noProof/>
            <w:webHidden/>
          </w:rPr>
        </w:r>
        <w:r w:rsidR="002016F1">
          <w:rPr>
            <w:noProof/>
            <w:webHidden/>
          </w:rPr>
          <w:fldChar w:fldCharType="separate"/>
        </w:r>
        <w:r w:rsidR="009F5483">
          <w:rPr>
            <w:noProof/>
            <w:webHidden/>
          </w:rPr>
          <w:t>140</w:t>
        </w:r>
        <w:r w:rsidR="002016F1">
          <w:rPr>
            <w:noProof/>
            <w:webHidden/>
          </w:rPr>
          <w:fldChar w:fldCharType="end"/>
        </w:r>
      </w:hyperlink>
    </w:p>
    <w:p w:rsidR="002016F1" w:rsidRDefault="008F124C">
      <w:pPr>
        <w:pStyle w:val="TableofFigures"/>
        <w:tabs>
          <w:tab w:val="right" w:leader="dot" w:pos="9016"/>
        </w:tabs>
        <w:rPr>
          <w:noProof/>
        </w:rPr>
      </w:pPr>
      <w:hyperlink w:anchor="_Toc495848370" w:history="1">
        <w:r w:rsidR="002016F1" w:rsidRPr="00820DD7">
          <w:rPr>
            <w:rStyle w:val="Hyperlink"/>
            <w:rFonts w:ascii="Times New Roman" w:hAnsi="Times New Roman" w:cs="Times New Roman"/>
            <w:noProof/>
          </w:rPr>
          <w:t xml:space="preserve">Figure 37. </w:t>
        </w:r>
        <w:r w:rsidR="002016F1" w:rsidRPr="00820DD7">
          <w:rPr>
            <w:rStyle w:val="Hyperlink"/>
            <w:rFonts w:ascii="Times New Roman" w:eastAsia="Calibri" w:hAnsi="Times New Roman" w:cs="Times New Roman"/>
            <w:noProof/>
          </w:rPr>
          <w:t>LC Fe-Mn production (Si-Mn Eurometaux) from Eurometaux data.</w:t>
        </w:r>
        <w:r w:rsidR="002016F1">
          <w:rPr>
            <w:noProof/>
            <w:webHidden/>
          </w:rPr>
          <w:tab/>
        </w:r>
        <w:r w:rsidR="002016F1">
          <w:rPr>
            <w:noProof/>
            <w:webHidden/>
          </w:rPr>
          <w:fldChar w:fldCharType="begin"/>
        </w:r>
        <w:r w:rsidR="002016F1">
          <w:rPr>
            <w:noProof/>
            <w:webHidden/>
          </w:rPr>
          <w:instrText xml:space="preserve"> PAGEREF _Toc495848370 \h </w:instrText>
        </w:r>
        <w:r w:rsidR="002016F1">
          <w:rPr>
            <w:noProof/>
            <w:webHidden/>
          </w:rPr>
        </w:r>
        <w:r w:rsidR="002016F1">
          <w:rPr>
            <w:noProof/>
            <w:webHidden/>
          </w:rPr>
          <w:fldChar w:fldCharType="separate"/>
        </w:r>
        <w:r w:rsidR="009F5483">
          <w:rPr>
            <w:noProof/>
            <w:webHidden/>
          </w:rPr>
          <w:t>140</w:t>
        </w:r>
        <w:r w:rsidR="002016F1">
          <w:rPr>
            <w:noProof/>
            <w:webHidden/>
          </w:rPr>
          <w:fldChar w:fldCharType="end"/>
        </w:r>
      </w:hyperlink>
    </w:p>
    <w:p w:rsidR="002016F1" w:rsidRDefault="008F124C">
      <w:pPr>
        <w:pStyle w:val="TableofFigures"/>
        <w:tabs>
          <w:tab w:val="right" w:leader="dot" w:pos="9016"/>
        </w:tabs>
        <w:rPr>
          <w:noProof/>
        </w:rPr>
      </w:pPr>
      <w:hyperlink w:anchor="_Toc495848371" w:history="1">
        <w:r w:rsidR="002016F1" w:rsidRPr="00820DD7">
          <w:rPr>
            <w:rStyle w:val="Hyperlink"/>
            <w:rFonts w:ascii="Times New Roman" w:hAnsi="Times New Roman" w:cs="Times New Roman"/>
            <w:noProof/>
          </w:rPr>
          <w:t xml:space="preserve">Figure 38. </w:t>
        </w:r>
        <w:r w:rsidR="002016F1" w:rsidRPr="00820DD7">
          <w:rPr>
            <w:rStyle w:val="Hyperlink"/>
            <w:rFonts w:ascii="Times New Roman" w:eastAsia="Calibri" w:hAnsi="Times New Roman" w:cs="Times New Roman"/>
            <w:noProof/>
          </w:rPr>
          <w:t>Comparison of Fe-Mo production from both IMOA and GaBi.</w:t>
        </w:r>
        <w:r w:rsidR="002016F1">
          <w:rPr>
            <w:noProof/>
            <w:webHidden/>
          </w:rPr>
          <w:tab/>
        </w:r>
        <w:r w:rsidR="002016F1">
          <w:rPr>
            <w:noProof/>
            <w:webHidden/>
          </w:rPr>
          <w:fldChar w:fldCharType="begin"/>
        </w:r>
        <w:r w:rsidR="002016F1">
          <w:rPr>
            <w:noProof/>
            <w:webHidden/>
          </w:rPr>
          <w:instrText xml:space="preserve"> PAGEREF _Toc495848371 \h </w:instrText>
        </w:r>
        <w:r w:rsidR="002016F1">
          <w:rPr>
            <w:noProof/>
            <w:webHidden/>
          </w:rPr>
        </w:r>
        <w:r w:rsidR="002016F1">
          <w:rPr>
            <w:noProof/>
            <w:webHidden/>
          </w:rPr>
          <w:fldChar w:fldCharType="separate"/>
        </w:r>
        <w:r w:rsidR="009F5483">
          <w:rPr>
            <w:noProof/>
            <w:webHidden/>
          </w:rPr>
          <w:t>141</w:t>
        </w:r>
        <w:r w:rsidR="002016F1">
          <w:rPr>
            <w:noProof/>
            <w:webHidden/>
          </w:rPr>
          <w:fldChar w:fldCharType="end"/>
        </w:r>
      </w:hyperlink>
    </w:p>
    <w:p w:rsidR="002016F1" w:rsidRDefault="008F124C">
      <w:pPr>
        <w:pStyle w:val="TableofFigures"/>
        <w:tabs>
          <w:tab w:val="right" w:leader="dot" w:pos="9016"/>
        </w:tabs>
        <w:rPr>
          <w:noProof/>
        </w:rPr>
      </w:pPr>
      <w:hyperlink w:anchor="_Toc495848372" w:history="1">
        <w:r w:rsidR="002016F1" w:rsidRPr="00820DD7">
          <w:rPr>
            <w:rStyle w:val="Hyperlink"/>
            <w:rFonts w:ascii="Times New Roman" w:hAnsi="Times New Roman" w:cs="Times New Roman"/>
            <w:noProof/>
          </w:rPr>
          <w:t xml:space="preserve">Figure 39. </w:t>
        </w:r>
        <w:r w:rsidR="002016F1" w:rsidRPr="00820DD7">
          <w:rPr>
            <w:rStyle w:val="Hyperlink"/>
            <w:rFonts w:ascii="Times New Roman" w:eastAsia="Calibri" w:hAnsi="Times New Roman" w:cs="Times New Roman"/>
            <w:noProof/>
          </w:rPr>
          <w:t>Comparison of all literature sources for Fe-Ni production.</w:t>
        </w:r>
        <w:r w:rsidR="002016F1">
          <w:rPr>
            <w:noProof/>
            <w:webHidden/>
          </w:rPr>
          <w:tab/>
        </w:r>
        <w:r w:rsidR="002016F1">
          <w:rPr>
            <w:noProof/>
            <w:webHidden/>
          </w:rPr>
          <w:fldChar w:fldCharType="begin"/>
        </w:r>
        <w:r w:rsidR="002016F1">
          <w:rPr>
            <w:noProof/>
            <w:webHidden/>
          </w:rPr>
          <w:instrText xml:space="preserve"> PAGEREF _Toc495848372 \h </w:instrText>
        </w:r>
        <w:r w:rsidR="002016F1">
          <w:rPr>
            <w:noProof/>
            <w:webHidden/>
          </w:rPr>
        </w:r>
        <w:r w:rsidR="002016F1">
          <w:rPr>
            <w:noProof/>
            <w:webHidden/>
          </w:rPr>
          <w:fldChar w:fldCharType="separate"/>
        </w:r>
        <w:r w:rsidR="009F5483">
          <w:rPr>
            <w:noProof/>
            <w:webHidden/>
          </w:rPr>
          <w:t>142</w:t>
        </w:r>
        <w:r w:rsidR="002016F1">
          <w:rPr>
            <w:noProof/>
            <w:webHidden/>
          </w:rPr>
          <w:fldChar w:fldCharType="end"/>
        </w:r>
      </w:hyperlink>
    </w:p>
    <w:p w:rsidR="002016F1" w:rsidRDefault="008F124C">
      <w:pPr>
        <w:pStyle w:val="TableofFigures"/>
        <w:tabs>
          <w:tab w:val="right" w:leader="dot" w:pos="9016"/>
        </w:tabs>
        <w:rPr>
          <w:noProof/>
        </w:rPr>
      </w:pPr>
      <w:hyperlink w:anchor="_Toc495848373" w:history="1">
        <w:r w:rsidR="002016F1" w:rsidRPr="00820DD7">
          <w:rPr>
            <w:rStyle w:val="Hyperlink"/>
            <w:rFonts w:ascii="Times New Roman" w:hAnsi="Times New Roman" w:cs="Times New Roman"/>
            <w:noProof/>
          </w:rPr>
          <w:t xml:space="preserve">Figure 40. </w:t>
        </w:r>
        <w:r w:rsidR="002016F1" w:rsidRPr="00820DD7">
          <w:rPr>
            <w:rStyle w:val="Hyperlink"/>
            <w:rFonts w:ascii="Times New Roman" w:eastAsia="Calibri" w:hAnsi="Times New Roman" w:cs="Times New Roman"/>
            <w:noProof/>
          </w:rPr>
          <w:t>Global Fe-Ni model.</w:t>
        </w:r>
        <w:r w:rsidR="002016F1">
          <w:rPr>
            <w:noProof/>
            <w:webHidden/>
          </w:rPr>
          <w:tab/>
        </w:r>
        <w:r w:rsidR="002016F1">
          <w:rPr>
            <w:noProof/>
            <w:webHidden/>
          </w:rPr>
          <w:fldChar w:fldCharType="begin"/>
        </w:r>
        <w:r w:rsidR="002016F1">
          <w:rPr>
            <w:noProof/>
            <w:webHidden/>
          </w:rPr>
          <w:instrText xml:space="preserve"> PAGEREF _Toc495848373 \h </w:instrText>
        </w:r>
        <w:r w:rsidR="002016F1">
          <w:rPr>
            <w:noProof/>
            <w:webHidden/>
          </w:rPr>
        </w:r>
        <w:r w:rsidR="002016F1">
          <w:rPr>
            <w:noProof/>
            <w:webHidden/>
          </w:rPr>
          <w:fldChar w:fldCharType="separate"/>
        </w:r>
        <w:r w:rsidR="009F5483">
          <w:rPr>
            <w:noProof/>
            <w:webHidden/>
          </w:rPr>
          <w:t>145</w:t>
        </w:r>
        <w:r w:rsidR="002016F1">
          <w:rPr>
            <w:noProof/>
            <w:webHidden/>
          </w:rPr>
          <w:fldChar w:fldCharType="end"/>
        </w:r>
      </w:hyperlink>
    </w:p>
    <w:p w:rsidR="002016F1" w:rsidRDefault="008F124C">
      <w:pPr>
        <w:pStyle w:val="TableofFigures"/>
        <w:tabs>
          <w:tab w:val="right" w:leader="dot" w:pos="9016"/>
        </w:tabs>
        <w:rPr>
          <w:noProof/>
        </w:rPr>
      </w:pPr>
      <w:hyperlink w:anchor="_Toc495848374" w:history="1">
        <w:r w:rsidR="002016F1" w:rsidRPr="00820DD7">
          <w:rPr>
            <w:rStyle w:val="Hyperlink"/>
            <w:rFonts w:ascii="Times New Roman" w:hAnsi="Times New Roman" w:cs="Times New Roman"/>
            <w:noProof/>
          </w:rPr>
          <w:t xml:space="preserve">Figure 41. </w:t>
        </w:r>
        <w:r w:rsidR="002016F1" w:rsidRPr="00820DD7">
          <w:rPr>
            <w:rStyle w:val="Hyperlink"/>
            <w:rFonts w:ascii="Times New Roman" w:eastAsia="Calibri" w:hAnsi="Times New Roman" w:cs="Times New Roman"/>
            <w:noProof/>
          </w:rPr>
          <w:t>Comparison of all literature sources for Fe-Nb production.</w:t>
        </w:r>
        <w:r w:rsidR="002016F1">
          <w:rPr>
            <w:noProof/>
            <w:webHidden/>
          </w:rPr>
          <w:tab/>
        </w:r>
        <w:r w:rsidR="002016F1">
          <w:rPr>
            <w:noProof/>
            <w:webHidden/>
          </w:rPr>
          <w:fldChar w:fldCharType="begin"/>
        </w:r>
        <w:r w:rsidR="002016F1">
          <w:rPr>
            <w:noProof/>
            <w:webHidden/>
          </w:rPr>
          <w:instrText xml:space="preserve"> PAGEREF _Toc495848374 \h </w:instrText>
        </w:r>
        <w:r w:rsidR="002016F1">
          <w:rPr>
            <w:noProof/>
            <w:webHidden/>
          </w:rPr>
        </w:r>
        <w:r w:rsidR="002016F1">
          <w:rPr>
            <w:noProof/>
            <w:webHidden/>
          </w:rPr>
          <w:fldChar w:fldCharType="separate"/>
        </w:r>
        <w:r w:rsidR="009F5483">
          <w:rPr>
            <w:noProof/>
            <w:webHidden/>
          </w:rPr>
          <w:t>146</w:t>
        </w:r>
        <w:r w:rsidR="002016F1">
          <w:rPr>
            <w:noProof/>
            <w:webHidden/>
          </w:rPr>
          <w:fldChar w:fldCharType="end"/>
        </w:r>
      </w:hyperlink>
    </w:p>
    <w:p w:rsidR="002016F1" w:rsidRDefault="008F124C">
      <w:pPr>
        <w:pStyle w:val="TableofFigures"/>
        <w:tabs>
          <w:tab w:val="right" w:leader="dot" w:pos="9016"/>
        </w:tabs>
        <w:rPr>
          <w:noProof/>
        </w:rPr>
      </w:pPr>
      <w:hyperlink w:anchor="_Toc495848375" w:history="1">
        <w:r w:rsidR="002016F1" w:rsidRPr="00820DD7">
          <w:rPr>
            <w:rStyle w:val="Hyperlink"/>
            <w:rFonts w:ascii="Times New Roman" w:hAnsi="Times New Roman" w:cs="Times New Roman"/>
            <w:noProof/>
          </w:rPr>
          <w:t xml:space="preserve">Figure 42. </w:t>
        </w:r>
        <w:r w:rsidR="002016F1" w:rsidRPr="00820DD7">
          <w:rPr>
            <w:rStyle w:val="Hyperlink"/>
            <w:rFonts w:ascii="Times New Roman" w:eastAsia="Calibri" w:hAnsi="Times New Roman" w:cs="Times New Roman"/>
            <w:noProof/>
          </w:rPr>
          <w:t>Fe-Nb production from data source Nuss.</w:t>
        </w:r>
        <w:r w:rsidR="002016F1">
          <w:rPr>
            <w:noProof/>
            <w:webHidden/>
          </w:rPr>
          <w:tab/>
        </w:r>
        <w:r w:rsidR="002016F1">
          <w:rPr>
            <w:noProof/>
            <w:webHidden/>
          </w:rPr>
          <w:fldChar w:fldCharType="begin"/>
        </w:r>
        <w:r w:rsidR="002016F1">
          <w:rPr>
            <w:noProof/>
            <w:webHidden/>
          </w:rPr>
          <w:instrText xml:space="preserve"> PAGEREF _Toc495848375 \h </w:instrText>
        </w:r>
        <w:r w:rsidR="002016F1">
          <w:rPr>
            <w:noProof/>
            <w:webHidden/>
          </w:rPr>
        </w:r>
        <w:r w:rsidR="002016F1">
          <w:rPr>
            <w:noProof/>
            <w:webHidden/>
          </w:rPr>
          <w:fldChar w:fldCharType="separate"/>
        </w:r>
        <w:r w:rsidR="009F5483">
          <w:rPr>
            <w:noProof/>
            <w:webHidden/>
          </w:rPr>
          <w:t>147</w:t>
        </w:r>
        <w:r w:rsidR="002016F1">
          <w:rPr>
            <w:noProof/>
            <w:webHidden/>
          </w:rPr>
          <w:fldChar w:fldCharType="end"/>
        </w:r>
      </w:hyperlink>
    </w:p>
    <w:p w:rsidR="002016F1" w:rsidRDefault="008F124C">
      <w:pPr>
        <w:pStyle w:val="TableofFigures"/>
        <w:tabs>
          <w:tab w:val="right" w:leader="dot" w:pos="9016"/>
        </w:tabs>
        <w:rPr>
          <w:noProof/>
        </w:rPr>
      </w:pPr>
      <w:hyperlink w:anchor="_Toc495848376" w:history="1">
        <w:r w:rsidR="002016F1" w:rsidRPr="00820DD7">
          <w:rPr>
            <w:rStyle w:val="Hyperlink"/>
            <w:rFonts w:ascii="Times New Roman" w:hAnsi="Times New Roman" w:cs="Times New Roman"/>
            <w:noProof/>
          </w:rPr>
          <w:t xml:space="preserve">Figure 43. </w:t>
        </w:r>
        <w:r w:rsidR="002016F1" w:rsidRPr="00820DD7">
          <w:rPr>
            <w:rStyle w:val="Hyperlink"/>
            <w:rFonts w:ascii="Times New Roman" w:eastAsia="Calibri" w:hAnsi="Times New Roman" w:cs="Times New Roman"/>
            <w:noProof/>
          </w:rPr>
          <w:t>Comparison of all literature sources for Fe-Si production.</w:t>
        </w:r>
        <w:r w:rsidR="002016F1">
          <w:rPr>
            <w:noProof/>
            <w:webHidden/>
          </w:rPr>
          <w:tab/>
        </w:r>
        <w:r w:rsidR="002016F1">
          <w:rPr>
            <w:noProof/>
            <w:webHidden/>
          </w:rPr>
          <w:fldChar w:fldCharType="begin"/>
        </w:r>
        <w:r w:rsidR="002016F1">
          <w:rPr>
            <w:noProof/>
            <w:webHidden/>
          </w:rPr>
          <w:instrText xml:space="preserve"> PAGEREF _Toc495848376 \h </w:instrText>
        </w:r>
        <w:r w:rsidR="002016F1">
          <w:rPr>
            <w:noProof/>
            <w:webHidden/>
          </w:rPr>
        </w:r>
        <w:r w:rsidR="002016F1">
          <w:rPr>
            <w:noProof/>
            <w:webHidden/>
          </w:rPr>
          <w:fldChar w:fldCharType="separate"/>
        </w:r>
        <w:r w:rsidR="009F5483">
          <w:rPr>
            <w:noProof/>
            <w:webHidden/>
          </w:rPr>
          <w:t>148</w:t>
        </w:r>
        <w:r w:rsidR="002016F1">
          <w:rPr>
            <w:noProof/>
            <w:webHidden/>
          </w:rPr>
          <w:fldChar w:fldCharType="end"/>
        </w:r>
      </w:hyperlink>
    </w:p>
    <w:p w:rsidR="002016F1" w:rsidRDefault="008F124C">
      <w:pPr>
        <w:pStyle w:val="TableofFigures"/>
        <w:tabs>
          <w:tab w:val="right" w:leader="dot" w:pos="9016"/>
        </w:tabs>
        <w:rPr>
          <w:noProof/>
        </w:rPr>
      </w:pPr>
      <w:hyperlink w:anchor="_Toc495848377" w:history="1">
        <w:r w:rsidR="002016F1" w:rsidRPr="00820DD7">
          <w:rPr>
            <w:rStyle w:val="Hyperlink"/>
            <w:rFonts w:ascii="Times New Roman" w:hAnsi="Times New Roman" w:cs="Times New Roman"/>
            <w:noProof/>
          </w:rPr>
          <w:t xml:space="preserve">Figure 44. </w:t>
        </w:r>
        <w:r w:rsidR="002016F1" w:rsidRPr="00820DD7">
          <w:rPr>
            <w:rStyle w:val="Hyperlink"/>
            <w:rFonts w:ascii="Times New Roman" w:eastAsia="Calibri" w:hAnsi="Times New Roman" w:cs="Times New Roman"/>
            <w:noProof/>
          </w:rPr>
          <w:t>Global Fe-Si model.</w:t>
        </w:r>
        <w:r w:rsidR="002016F1">
          <w:rPr>
            <w:noProof/>
            <w:webHidden/>
          </w:rPr>
          <w:tab/>
        </w:r>
        <w:r w:rsidR="002016F1">
          <w:rPr>
            <w:noProof/>
            <w:webHidden/>
          </w:rPr>
          <w:fldChar w:fldCharType="begin"/>
        </w:r>
        <w:r w:rsidR="002016F1">
          <w:rPr>
            <w:noProof/>
            <w:webHidden/>
          </w:rPr>
          <w:instrText xml:space="preserve"> PAGEREF _Toc495848377 \h </w:instrText>
        </w:r>
        <w:r w:rsidR="002016F1">
          <w:rPr>
            <w:noProof/>
            <w:webHidden/>
          </w:rPr>
        </w:r>
        <w:r w:rsidR="002016F1">
          <w:rPr>
            <w:noProof/>
            <w:webHidden/>
          </w:rPr>
          <w:fldChar w:fldCharType="separate"/>
        </w:r>
        <w:r w:rsidR="009F5483">
          <w:rPr>
            <w:noProof/>
            <w:webHidden/>
          </w:rPr>
          <w:t>150</w:t>
        </w:r>
        <w:r w:rsidR="002016F1">
          <w:rPr>
            <w:noProof/>
            <w:webHidden/>
          </w:rPr>
          <w:fldChar w:fldCharType="end"/>
        </w:r>
      </w:hyperlink>
    </w:p>
    <w:p w:rsidR="002016F1" w:rsidRDefault="008F124C">
      <w:pPr>
        <w:pStyle w:val="TableofFigures"/>
        <w:tabs>
          <w:tab w:val="right" w:leader="dot" w:pos="9016"/>
        </w:tabs>
        <w:rPr>
          <w:noProof/>
        </w:rPr>
      </w:pPr>
      <w:hyperlink w:anchor="_Toc495848378" w:history="1">
        <w:r w:rsidR="002016F1" w:rsidRPr="00820DD7">
          <w:rPr>
            <w:rStyle w:val="Hyperlink"/>
            <w:rFonts w:ascii="Times New Roman" w:hAnsi="Times New Roman" w:cs="Times New Roman"/>
            <w:noProof/>
          </w:rPr>
          <w:t xml:space="preserve">Figure 45. </w:t>
        </w:r>
        <w:r w:rsidR="002016F1" w:rsidRPr="00820DD7">
          <w:rPr>
            <w:rStyle w:val="Hyperlink"/>
            <w:rFonts w:ascii="Times New Roman" w:eastAsia="Calibri" w:hAnsi="Times New Roman" w:cs="Times New Roman"/>
            <w:noProof/>
          </w:rPr>
          <w:t>Comparison of GWP results for Fe-Ti production.</w:t>
        </w:r>
        <w:r w:rsidR="002016F1">
          <w:rPr>
            <w:noProof/>
            <w:webHidden/>
          </w:rPr>
          <w:tab/>
        </w:r>
        <w:r w:rsidR="002016F1">
          <w:rPr>
            <w:noProof/>
            <w:webHidden/>
          </w:rPr>
          <w:fldChar w:fldCharType="begin"/>
        </w:r>
        <w:r w:rsidR="002016F1">
          <w:rPr>
            <w:noProof/>
            <w:webHidden/>
          </w:rPr>
          <w:instrText xml:space="preserve"> PAGEREF _Toc495848378 \h </w:instrText>
        </w:r>
        <w:r w:rsidR="002016F1">
          <w:rPr>
            <w:noProof/>
            <w:webHidden/>
          </w:rPr>
        </w:r>
        <w:r w:rsidR="002016F1">
          <w:rPr>
            <w:noProof/>
            <w:webHidden/>
          </w:rPr>
          <w:fldChar w:fldCharType="separate"/>
        </w:r>
        <w:r w:rsidR="009F5483">
          <w:rPr>
            <w:noProof/>
            <w:webHidden/>
          </w:rPr>
          <w:t>151</w:t>
        </w:r>
        <w:r w:rsidR="002016F1">
          <w:rPr>
            <w:noProof/>
            <w:webHidden/>
          </w:rPr>
          <w:fldChar w:fldCharType="end"/>
        </w:r>
      </w:hyperlink>
    </w:p>
    <w:p w:rsidR="002016F1" w:rsidRDefault="008F124C">
      <w:pPr>
        <w:pStyle w:val="TableofFigures"/>
        <w:tabs>
          <w:tab w:val="right" w:leader="dot" w:pos="9016"/>
        </w:tabs>
        <w:rPr>
          <w:noProof/>
        </w:rPr>
      </w:pPr>
      <w:hyperlink w:anchor="_Toc495848379" w:history="1">
        <w:r w:rsidR="002016F1" w:rsidRPr="00820DD7">
          <w:rPr>
            <w:rStyle w:val="Hyperlink"/>
            <w:rFonts w:ascii="Times New Roman" w:hAnsi="Times New Roman" w:cs="Times New Roman"/>
            <w:noProof/>
          </w:rPr>
          <w:t xml:space="preserve">Figure 46. </w:t>
        </w:r>
        <w:r w:rsidR="002016F1" w:rsidRPr="00820DD7">
          <w:rPr>
            <w:rStyle w:val="Hyperlink"/>
            <w:rFonts w:ascii="Times New Roman" w:eastAsia="Calibri" w:hAnsi="Times New Roman" w:cs="Times New Roman"/>
            <w:noProof/>
          </w:rPr>
          <w:t>Fe-Ti production via Gasik data source.</w:t>
        </w:r>
        <w:r w:rsidR="002016F1">
          <w:rPr>
            <w:noProof/>
            <w:webHidden/>
          </w:rPr>
          <w:tab/>
        </w:r>
        <w:r w:rsidR="002016F1">
          <w:rPr>
            <w:noProof/>
            <w:webHidden/>
          </w:rPr>
          <w:fldChar w:fldCharType="begin"/>
        </w:r>
        <w:r w:rsidR="002016F1">
          <w:rPr>
            <w:noProof/>
            <w:webHidden/>
          </w:rPr>
          <w:instrText xml:space="preserve"> PAGEREF _Toc495848379 \h </w:instrText>
        </w:r>
        <w:r w:rsidR="002016F1">
          <w:rPr>
            <w:noProof/>
            <w:webHidden/>
          </w:rPr>
        </w:r>
        <w:r w:rsidR="002016F1">
          <w:rPr>
            <w:noProof/>
            <w:webHidden/>
          </w:rPr>
          <w:fldChar w:fldCharType="separate"/>
        </w:r>
        <w:r w:rsidR="009F5483">
          <w:rPr>
            <w:noProof/>
            <w:webHidden/>
          </w:rPr>
          <w:t>152</w:t>
        </w:r>
        <w:r w:rsidR="002016F1">
          <w:rPr>
            <w:noProof/>
            <w:webHidden/>
          </w:rPr>
          <w:fldChar w:fldCharType="end"/>
        </w:r>
      </w:hyperlink>
    </w:p>
    <w:p w:rsidR="002016F1" w:rsidRDefault="008F124C">
      <w:pPr>
        <w:pStyle w:val="TableofFigures"/>
        <w:tabs>
          <w:tab w:val="right" w:leader="dot" w:pos="9016"/>
        </w:tabs>
        <w:rPr>
          <w:noProof/>
        </w:rPr>
      </w:pPr>
      <w:hyperlink w:anchor="_Toc495848380" w:history="1">
        <w:r w:rsidR="002016F1" w:rsidRPr="00820DD7">
          <w:rPr>
            <w:rStyle w:val="Hyperlink"/>
            <w:rFonts w:ascii="Times New Roman" w:hAnsi="Times New Roman" w:cs="Times New Roman"/>
            <w:noProof/>
          </w:rPr>
          <w:t xml:space="preserve">Figure 47. </w:t>
        </w:r>
        <w:r w:rsidR="002016F1" w:rsidRPr="00820DD7">
          <w:rPr>
            <w:rStyle w:val="Hyperlink"/>
            <w:rFonts w:ascii="Times New Roman" w:eastAsia="Calibri" w:hAnsi="Times New Roman" w:cs="Times New Roman"/>
            <w:noProof/>
          </w:rPr>
          <w:t>GWP value for Fe-V.</w:t>
        </w:r>
        <w:r w:rsidR="002016F1">
          <w:rPr>
            <w:noProof/>
            <w:webHidden/>
          </w:rPr>
          <w:tab/>
        </w:r>
        <w:r w:rsidR="002016F1">
          <w:rPr>
            <w:noProof/>
            <w:webHidden/>
          </w:rPr>
          <w:fldChar w:fldCharType="begin"/>
        </w:r>
        <w:r w:rsidR="002016F1">
          <w:rPr>
            <w:noProof/>
            <w:webHidden/>
          </w:rPr>
          <w:instrText xml:space="preserve"> PAGEREF _Toc495848380 \h </w:instrText>
        </w:r>
        <w:r w:rsidR="002016F1">
          <w:rPr>
            <w:noProof/>
            <w:webHidden/>
          </w:rPr>
        </w:r>
        <w:r w:rsidR="002016F1">
          <w:rPr>
            <w:noProof/>
            <w:webHidden/>
          </w:rPr>
          <w:fldChar w:fldCharType="separate"/>
        </w:r>
        <w:r w:rsidR="009F5483">
          <w:rPr>
            <w:noProof/>
            <w:webHidden/>
          </w:rPr>
          <w:t>153</w:t>
        </w:r>
        <w:r w:rsidR="002016F1">
          <w:rPr>
            <w:noProof/>
            <w:webHidden/>
          </w:rPr>
          <w:fldChar w:fldCharType="end"/>
        </w:r>
      </w:hyperlink>
    </w:p>
    <w:p w:rsidR="002016F1" w:rsidRDefault="008F124C">
      <w:pPr>
        <w:pStyle w:val="TableofFigures"/>
        <w:tabs>
          <w:tab w:val="right" w:leader="dot" w:pos="9016"/>
        </w:tabs>
        <w:rPr>
          <w:noProof/>
        </w:rPr>
      </w:pPr>
      <w:hyperlink w:anchor="_Toc495848381" w:history="1">
        <w:r w:rsidR="002016F1" w:rsidRPr="00820DD7">
          <w:rPr>
            <w:rStyle w:val="Hyperlink"/>
            <w:rFonts w:ascii="Times New Roman" w:hAnsi="Times New Roman" w:cs="Times New Roman"/>
            <w:noProof/>
          </w:rPr>
          <w:t xml:space="preserve">Figure 48. </w:t>
        </w:r>
        <w:r w:rsidR="002016F1" w:rsidRPr="00820DD7">
          <w:rPr>
            <w:rStyle w:val="Hyperlink"/>
            <w:rFonts w:ascii="Times New Roman" w:eastAsia="Calibri" w:hAnsi="Times New Roman" w:cs="Times New Roman"/>
            <w:noProof/>
          </w:rPr>
          <w:t>Incomplete Fe-V model utilising data from Vanitec.</w:t>
        </w:r>
        <w:r w:rsidR="002016F1">
          <w:rPr>
            <w:noProof/>
            <w:webHidden/>
          </w:rPr>
          <w:tab/>
        </w:r>
        <w:r w:rsidR="002016F1">
          <w:rPr>
            <w:noProof/>
            <w:webHidden/>
          </w:rPr>
          <w:fldChar w:fldCharType="begin"/>
        </w:r>
        <w:r w:rsidR="002016F1">
          <w:rPr>
            <w:noProof/>
            <w:webHidden/>
          </w:rPr>
          <w:instrText xml:space="preserve"> PAGEREF _Toc495848381 \h </w:instrText>
        </w:r>
        <w:r w:rsidR="002016F1">
          <w:rPr>
            <w:noProof/>
            <w:webHidden/>
          </w:rPr>
        </w:r>
        <w:r w:rsidR="002016F1">
          <w:rPr>
            <w:noProof/>
            <w:webHidden/>
          </w:rPr>
          <w:fldChar w:fldCharType="separate"/>
        </w:r>
        <w:r w:rsidR="009F5483">
          <w:rPr>
            <w:noProof/>
            <w:webHidden/>
          </w:rPr>
          <w:t>153</w:t>
        </w:r>
        <w:r w:rsidR="002016F1">
          <w:rPr>
            <w:noProof/>
            <w:webHidden/>
          </w:rPr>
          <w:fldChar w:fldCharType="end"/>
        </w:r>
      </w:hyperlink>
    </w:p>
    <w:p w:rsidR="002016F1" w:rsidRDefault="008F124C">
      <w:pPr>
        <w:pStyle w:val="TableofFigures"/>
        <w:tabs>
          <w:tab w:val="right" w:leader="dot" w:pos="9016"/>
        </w:tabs>
        <w:rPr>
          <w:noProof/>
        </w:rPr>
      </w:pPr>
      <w:hyperlink w:anchor="_Toc495848382" w:history="1">
        <w:r w:rsidR="002016F1" w:rsidRPr="00820DD7">
          <w:rPr>
            <w:rStyle w:val="Hyperlink"/>
            <w:rFonts w:ascii="Times New Roman" w:hAnsi="Times New Roman" w:cs="Times New Roman"/>
            <w:noProof/>
          </w:rPr>
          <w:t xml:space="preserve">Figure 49. </w:t>
        </w:r>
        <w:r w:rsidR="002016F1" w:rsidRPr="00820DD7">
          <w:rPr>
            <w:rStyle w:val="Hyperlink"/>
            <w:rFonts w:ascii="Times New Roman" w:eastAsia="Calibri" w:hAnsi="Times New Roman" w:cs="Times New Roman"/>
            <w:noProof/>
          </w:rPr>
          <w:t>Comparison of all literature sources for Si-Mn production.</w:t>
        </w:r>
        <w:r w:rsidR="002016F1">
          <w:rPr>
            <w:noProof/>
            <w:webHidden/>
          </w:rPr>
          <w:tab/>
        </w:r>
        <w:r w:rsidR="002016F1">
          <w:rPr>
            <w:noProof/>
            <w:webHidden/>
          </w:rPr>
          <w:fldChar w:fldCharType="begin"/>
        </w:r>
        <w:r w:rsidR="002016F1">
          <w:rPr>
            <w:noProof/>
            <w:webHidden/>
          </w:rPr>
          <w:instrText xml:space="preserve"> PAGEREF _Toc495848382 \h </w:instrText>
        </w:r>
        <w:r w:rsidR="002016F1">
          <w:rPr>
            <w:noProof/>
            <w:webHidden/>
          </w:rPr>
        </w:r>
        <w:r w:rsidR="002016F1">
          <w:rPr>
            <w:noProof/>
            <w:webHidden/>
          </w:rPr>
          <w:fldChar w:fldCharType="separate"/>
        </w:r>
        <w:r w:rsidR="009F5483">
          <w:rPr>
            <w:noProof/>
            <w:webHidden/>
          </w:rPr>
          <w:t>154</w:t>
        </w:r>
        <w:r w:rsidR="002016F1">
          <w:rPr>
            <w:noProof/>
            <w:webHidden/>
          </w:rPr>
          <w:fldChar w:fldCharType="end"/>
        </w:r>
      </w:hyperlink>
    </w:p>
    <w:p w:rsidR="002016F1" w:rsidRDefault="008F124C">
      <w:pPr>
        <w:pStyle w:val="TableofFigures"/>
        <w:tabs>
          <w:tab w:val="right" w:leader="dot" w:pos="9016"/>
        </w:tabs>
        <w:rPr>
          <w:noProof/>
        </w:rPr>
      </w:pPr>
      <w:hyperlink w:anchor="_Toc495848383" w:history="1">
        <w:r w:rsidR="002016F1" w:rsidRPr="00820DD7">
          <w:rPr>
            <w:rStyle w:val="Hyperlink"/>
            <w:rFonts w:ascii="Times New Roman" w:hAnsi="Times New Roman" w:cs="Times New Roman"/>
            <w:noProof/>
          </w:rPr>
          <w:t xml:space="preserve">Figure 50. </w:t>
        </w:r>
        <w:r w:rsidR="002016F1" w:rsidRPr="00820DD7">
          <w:rPr>
            <w:rStyle w:val="Hyperlink"/>
            <w:rFonts w:ascii="Times New Roman" w:eastAsia="Calibri" w:hAnsi="Times New Roman" w:cs="Times New Roman"/>
            <w:noProof/>
          </w:rPr>
          <w:t>Si-Mn production from Haque data.</w:t>
        </w:r>
        <w:r w:rsidR="002016F1">
          <w:rPr>
            <w:noProof/>
            <w:webHidden/>
          </w:rPr>
          <w:tab/>
        </w:r>
        <w:r w:rsidR="002016F1">
          <w:rPr>
            <w:noProof/>
            <w:webHidden/>
          </w:rPr>
          <w:fldChar w:fldCharType="begin"/>
        </w:r>
        <w:r w:rsidR="002016F1">
          <w:rPr>
            <w:noProof/>
            <w:webHidden/>
          </w:rPr>
          <w:instrText xml:space="preserve"> PAGEREF _Toc495848383 \h </w:instrText>
        </w:r>
        <w:r w:rsidR="002016F1">
          <w:rPr>
            <w:noProof/>
            <w:webHidden/>
          </w:rPr>
        </w:r>
        <w:r w:rsidR="002016F1">
          <w:rPr>
            <w:noProof/>
            <w:webHidden/>
          </w:rPr>
          <w:fldChar w:fldCharType="separate"/>
        </w:r>
        <w:r w:rsidR="009F5483">
          <w:rPr>
            <w:noProof/>
            <w:webHidden/>
          </w:rPr>
          <w:t>156</w:t>
        </w:r>
        <w:r w:rsidR="002016F1">
          <w:rPr>
            <w:noProof/>
            <w:webHidden/>
          </w:rPr>
          <w:fldChar w:fldCharType="end"/>
        </w:r>
      </w:hyperlink>
    </w:p>
    <w:p w:rsidR="002016F1" w:rsidRDefault="008F124C">
      <w:pPr>
        <w:pStyle w:val="TableofFigures"/>
        <w:tabs>
          <w:tab w:val="right" w:leader="dot" w:pos="9016"/>
        </w:tabs>
        <w:rPr>
          <w:noProof/>
        </w:rPr>
      </w:pPr>
      <w:hyperlink w:anchor="_Toc495848384" w:history="1">
        <w:r w:rsidR="002016F1" w:rsidRPr="00820DD7">
          <w:rPr>
            <w:rStyle w:val="Hyperlink"/>
            <w:rFonts w:ascii="Times New Roman" w:hAnsi="Times New Roman" w:cs="Times New Roman"/>
            <w:noProof/>
          </w:rPr>
          <w:t xml:space="preserve">Figure 51. </w:t>
        </w:r>
        <w:r w:rsidR="002016F1" w:rsidRPr="00820DD7">
          <w:rPr>
            <w:rStyle w:val="Hyperlink"/>
            <w:rFonts w:ascii="Times New Roman" w:eastAsia="Calibri" w:hAnsi="Times New Roman" w:cs="Times New Roman"/>
            <w:noProof/>
          </w:rPr>
          <w:t>A comparison of additional CO</w:t>
        </w:r>
        <w:r w:rsidR="002016F1" w:rsidRPr="00820DD7">
          <w:rPr>
            <w:rStyle w:val="Hyperlink"/>
            <w:rFonts w:ascii="Times New Roman" w:eastAsia="Calibri" w:hAnsi="Times New Roman" w:cs="Times New Roman"/>
            <w:noProof/>
            <w:vertAlign w:val="subscript"/>
          </w:rPr>
          <w:t>2</w:t>
        </w:r>
        <w:r w:rsidR="002016F1" w:rsidRPr="00820DD7">
          <w:rPr>
            <w:rStyle w:val="Hyperlink"/>
            <w:rFonts w:ascii="Times New Roman" w:eastAsia="Calibri" w:hAnsi="Times New Roman" w:cs="Times New Roman"/>
            <w:noProof/>
          </w:rPr>
          <w:t xml:space="preserve"> per kg due to alloying additions for 8 different steel grades.</w:t>
        </w:r>
        <w:r w:rsidR="002016F1">
          <w:rPr>
            <w:noProof/>
            <w:webHidden/>
          </w:rPr>
          <w:tab/>
        </w:r>
        <w:r w:rsidR="002016F1">
          <w:rPr>
            <w:noProof/>
            <w:webHidden/>
          </w:rPr>
          <w:fldChar w:fldCharType="begin"/>
        </w:r>
        <w:r w:rsidR="002016F1">
          <w:rPr>
            <w:noProof/>
            <w:webHidden/>
          </w:rPr>
          <w:instrText xml:space="preserve"> PAGEREF _Toc495848384 \h </w:instrText>
        </w:r>
        <w:r w:rsidR="002016F1">
          <w:rPr>
            <w:noProof/>
            <w:webHidden/>
          </w:rPr>
        </w:r>
        <w:r w:rsidR="002016F1">
          <w:rPr>
            <w:noProof/>
            <w:webHidden/>
          </w:rPr>
          <w:fldChar w:fldCharType="separate"/>
        </w:r>
        <w:r w:rsidR="009F5483">
          <w:rPr>
            <w:noProof/>
            <w:webHidden/>
          </w:rPr>
          <w:t>160</w:t>
        </w:r>
        <w:r w:rsidR="002016F1">
          <w:rPr>
            <w:noProof/>
            <w:webHidden/>
          </w:rPr>
          <w:fldChar w:fldCharType="end"/>
        </w:r>
      </w:hyperlink>
    </w:p>
    <w:p w:rsidR="002016F1" w:rsidRDefault="008F124C">
      <w:pPr>
        <w:pStyle w:val="TableofFigures"/>
        <w:tabs>
          <w:tab w:val="right" w:leader="dot" w:pos="9016"/>
        </w:tabs>
        <w:rPr>
          <w:noProof/>
        </w:rPr>
      </w:pPr>
      <w:hyperlink w:anchor="_Toc495848385" w:history="1">
        <w:r w:rsidR="002016F1" w:rsidRPr="00820DD7">
          <w:rPr>
            <w:rStyle w:val="Hyperlink"/>
            <w:rFonts w:ascii="Times New Roman" w:hAnsi="Times New Roman" w:cs="Times New Roman"/>
            <w:noProof/>
          </w:rPr>
          <w:t xml:space="preserve">Figure 52. </w:t>
        </w:r>
        <w:r w:rsidR="002016F1" w:rsidRPr="00820DD7">
          <w:rPr>
            <w:rStyle w:val="Hyperlink"/>
            <w:rFonts w:ascii="Times New Roman" w:eastAsia="Calibri" w:hAnsi="Times New Roman" w:cs="Times New Roman"/>
            <w:noProof/>
          </w:rPr>
          <w:t>Additional CO</w:t>
        </w:r>
        <w:r w:rsidR="002016F1" w:rsidRPr="00820DD7">
          <w:rPr>
            <w:rStyle w:val="Hyperlink"/>
            <w:rFonts w:ascii="Times New Roman" w:eastAsia="Calibri" w:hAnsi="Times New Roman" w:cs="Times New Roman"/>
            <w:noProof/>
            <w:vertAlign w:val="subscript"/>
          </w:rPr>
          <w:t>2</w:t>
        </w:r>
        <w:r w:rsidR="002016F1" w:rsidRPr="00820DD7">
          <w:rPr>
            <w:rStyle w:val="Hyperlink"/>
            <w:rFonts w:ascii="Times New Roman" w:eastAsia="Calibri" w:hAnsi="Times New Roman" w:cs="Times New Roman"/>
            <w:noProof/>
          </w:rPr>
          <w:t xml:space="preserve"> impact over IF steel grade for 4 different steel categories.</w:t>
        </w:r>
        <w:r w:rsidR="002016F1">
          <w:rPr>
            <w:noProof/>
            <w:webHidden/>
          </w:rPr>
          <w:tab/>
        </w:r>
        <w:r w:rsidR="002016F1">
          <w:rPr>
            <w:noProof/>
            <w:webHidden/>
          </w:rPr>
          <w:fldChar w:fldCharType="begin"/>
        </w:r>
        <w:r w:rsidR="002016F1">
          <w:rPr>
            <w:noProof/>
            <w:webHidden/>
          </w:rPr>
          <w:instrText xml:space="preserve"> PAGEREF _Toc495848385 \h </w:instrText>
        </w:r>
        <w:r w:rsidR="002016F1">
          <w:rPr>
            <w:noProof/>
            <w:webHidden/>
          </w:rPr>
        </w:r>
        <w:r w:rsidR="002016F1">
          <w:rPr>
            <w:noProof/>
            <w:webHidden/>
          </w:rPr>
          <w:fldChar w:fldCharType="separate"/>
        </w:r>
        <w:r w:rsidR="009F5483">
          <w:rPr>
            <w:noProof/>
            <w:webHidden/>
          </w:rPr>
          <w:t>161</w:t>
        </w:r>
        <w:r w:rsidR="002016F1">
          <w:rPr>
            <w:noProof/>
            <w:webHidden/>
          </w:rPr>
          <w:fldChar w:fldCharType="end"/>
        </w:r>
      </w:hyperlink>
    </w:p>
    <w:p w:rsidR="002016F1" w:rsidRDefault="008F124C">
      <w:pPr>
        <w:pStyle w:val="TableofFigures"/>
        <w:tabs>
          <w:tab w:val="right" w:leader="dot" w:pos="9016"/>
        </w:tabs>
        <w:rPr>
          <w:noProof/>
        </w:rPr>
      </w:pPr>
      <w:hyperlink w:anchor="_Toc495848386" w:history="1">
        <w:r w:rsidR="002016F1" w:rsidRPr="00820DD7">
          <w:rPr>
            <w:rStyle w:val="Hyperlink"/>
            <w:rFonts w:ascii="Times New Roman" w:hAnsi="Times New Roman" w:cs="Times New Roman"/>
            <w:noProof/>
          </w:rPr>
          <w:t xml:space="preserve">Figure 53. A graph illustrating the relationship between alloying additions added per cast against additional </w:t>
        </w:r>
        <w:r w:rsidR="002016F1" w:rsidRPr="00820DD7">
          <w:rPr>
            <w:rStyle w:val="Hyperlink"/>
            <w:rFonts w:ascii="Times New Roman" w:eastAsia="Calibri" w:hAnsi="Times New Roman" w:cs="Times New Roman"/>
            <w:noProof/>
          </w:rPr>
          <w:t>CO</w:t>
        </w:r>
        <w:r w:rsidR="002016F1" w:rsidRPr="00820DD7">
          <w:rPr>
            <w:rStyle w:val="Hyperlink"/>
            <w:rFonts w:ascii="Times New Roman" w:eastAsia="Calibri" w:hAnsi="Times New Roman" w:cs="Times New Roman"/>
            <w:noProof/>
            <w:vertAlign w:val="subscript"/>
          </w:rPr>
          <w:t xml:space="preserve">2 </w:t>
        </w:r>
        <w:r w:rsidR="002016F1" w:rsidRPr="00820DD7">
          <w:rPr>
            <w:rStyle w:val="Hyperlink"/>
            <w:rFonts w:ascii="Times New Roman" w:eastAsia="Calibri" w:hAnsi="Times New Roman" w:cs="Times New Roman"/>
            <w:noProof/>
          </w:rPr>
          <w:t>per kg due to alloying addition.</w:t>
        </w:r>
        <w:r w:rsidR="002016F1">
          <w:rPr>
            <w:noProof/>
            <w:webHidden/>
          </w:rPr>
          <w:tab/>
        </w:r>
        <w:r w:rsidR="002016F1">
          <w:rPr>
            <w:noProof/>
            <w:webHidden/>
          </w:rPr>
          <w:fldChar w:fldCharType="begin"/>
        </w:r>
        <w:r w:rsidR="002016F1">
          <w:rPr>
            <w:noProof/>
            <w:webHidden/>
          </w:rPr>
          <w:instrText xml:space="preserve"> PAGEREF _Toc495848386 \h </w:instrText>
        </w:r>
        <w:r w:rsidR="002016F1">
          <w:rPr>
            <w:noProof/>
            <w:webHidden/>
          </w:rPr>
        </w:r>
        <w:r w:rsidR="002016F1">
          <w:rPr>
            <w:noProof/>
            <w:webHidden/>
          </w:rPr>
          <w:fldChar w:fldCharType="separate"/>
        </w:r>
        <w:r w:rsidR="009F5483">
          <w:rPr>
            <w:noProof/>
            <w:webHidden/>
          </w:rPr>
          <w:t>161</w:t>
        </w:r>
        <w:r w:rsidR="002016F1">
          <w:rPr>
            <w:noProof/>
            <w:webHidden/>
          </w:rPr>
          <w:fldChar w:fldCharType="end"/>
        </w:r>
      </w:hyperlink>
    </w:p>
    <w:p w:rsidR="002016F1" w:rsidRDefault="008F124C">
      <w:pPr>
        <w:pStyle w:val="TableofFigures"/>
        <w:tabs>
          <w:tab w:val="right" w:leader="dot" w:pos="9016"/>
        </w:tabs>
        <w:rPr>
          <w:noProof/>
        </w:rPr>
      </w:pPr>
      <w:hyperlink w:anchor="_Toc495848387" w:history="1">
        <w:r w:rsidR="002016F1" w:rsidRPr="00820DD7">
          <w:rPr>
            <w:rStyle w:val="Hyperlink"/>
            <w:rFonts w:ascii="Times New Roman" w:hAnsi="Times New Roman" w:cs="Times New Roman"/>
            <w:noProof/>
          </w:rPr>
          <w:t xml:space="preserve">Figure 54. </w:t>
        </w:r>
        <w:r w:rsidR="002016F1" w:rsidRPr="00820DD7">
          <w:rPr>
            <w:rStyle w:val="Hyperlink"/>
            <w:rFonts w:ascii="Times New Roman" w:eastAsia="Calibri" w:hAnsi="Times New Roman" w:cs="Times New Roman"/>
            <w:noProof/>
          </w:rPr>
          <w:t>Breakdown of individual contribution of alloying additions for Boron steel grade.</w:t>
        </w:r>
        <w:r w:rsidR="002016F1">
          <w:rPr>
            <w:noProof/>
            <w:webHidden/>
          </w:rPr>
          <w:tab/>
        </w:r>
        <w:r w:rsidR="002016F1">
          <w:rPr>
            <w:noProof/>
            <w:webHidden/>
          </w:rPr>
          <w:fldChar w:fldCharType="begin"/>
        </w:r>
        <w:r w:rsidR="002016F1">
          <w:rPr>
            <w:noProof/>
            <w:webHidden/>
          </w:rPr>
          <w:instrText xml:space="preserve"> PAGEREF _Toc495848387 \h </w:instrText>
        </w:r>
        <w:r w:rsidR="002016F1">
          <w:rPr>
            <w:noProof/>
            <w:webHidden/>
          </w:rPr>
        </w:r>
        <w:r w:rsidR="002016F1">
          <w:rPr>
            <w:noProof/>
            <w:webHidden/>
          </w:rPr>
          <w:fldChar w:fldCharType="separate"/>
        </w:r>
        <w:r w:rsidR="009F5483">
          <w:rPr>
            <w:noProof/>
            <w:webHidden/>
          </w:rPr>
          <w:t>163</w:t>
        </w:r>
        <w:r w:rsidR="002016F1">
          <w:rPr>
            <w:noProof/>
            <w:webHidden/>
          </w:rPr>
          <w:fldChar w:fldCharType="end"/>
        </w:r>
      </w:hyperlink>
    </w:p>
    <w:p w:rsidR="002016F1" w:rsidRDefault="008F124C">
      <w:pPr>
        <w:pStyle w:val="TableofFigures"/>
        <w:tabs>
          <w:tab w:val="right" w:leader="dot" w:pos="9016"/>
        </w:tabs>
        <w:rPr>
          <w:noProof/>
        </w:rPr>
      </w:pPr>
      <w:hyperlink w:anchor="_Toc495848388" w:history="1">
        <w:r w:rsidR="002016F1" w:rsidRPr="00820DD7">
          <w:rPr>
            <w:rStyle w:val="Hyperlink"/>
            <w:rFonts w:ascii="Times New Roman" w:hAnsi="Times New Roman" w:cs="Times New Roman"/>
            <w:noProof/>
          </w:rPr>
          <w:t xml:space="preserve">Figure 55. </w:t>
        </w:r>
        <w:r w:rsidR="002016F1" w:rsidRPr="00820DD7">
          <w:rPr>
            <w:rStyle w:val="Hyperlink"/>
            <w:rFonts w:ascii="Times New Roman" w:eastAsia="Calibri" w:hAnsi="Times New Roman" w:cs="Times New Roman"/>
            <w:noProof/>
          </w:rPr>
          <w:t>Breakdown of individual contribution of alloying additions for DP800 steel grade.</w:t>
        </w:r>
        <w:r w:rsidR="002016F1">
          <w:rPr>
            <w:noProof/>
            <w:webHidden/>
          </w:rPr>
          <w:tab/>
        </w:r>
        <w:r w:rsidR="002016F1">
          <w:rPr>
            <w:noProof/>
            <w:webHidden/>
          </w:rPr>
          <w:fldChar w:fldCharType="begin"/>
        </w:r>
        <w:r w:rsidR="002016F1">
          <w:rPr>
            <w:noProof/>
            <w:webHidden/>
          </w:rPr>
          <w:instrText xml:space="preserve"> PAGEREF _Toc495848388 \h </w:instrText>
        </w:r>
        <w:r w:rsidR="002016F1">
          <w:rPr>
            <w:noProof/>
            <w:webHidden/>
          </w:rPr>
        </w:r>
        <w:r w:rsidR="002016F1">
          <w:rPr>
            <w:noProof/>
            <w:webHidden/>
          </w:rPr>
          <w:fldChar w:fldCharType="separate"/>
        </w:r>
        <w:r w:rsidR="009F5483">
          <w:rPr>
            <w:noProof/>
            <w:webHidden/>
          </w:rPr>
          <w:t>163</w:t>
        </w:r>
        <w:r w:rsidR="002016F1">
          <w:rPr>
            <w:noProof/>
            <w:webHidden/>
          </w:rPr>
          <w:fldChar w:fldCharType="end"/>
        </w:r>
      </w:hyperlink>
    </w:p>
    <w:p w:rsidR="002016F1" w:rsidRDefault="008F124C">
      <w:pPr>
        <w:pStyle w:val="TableofFigures"/>
        <w:tabs>
          <w:tab w:val="right" w:leader="dot" w:pos="9016"/>
        </w:tabs>
        <w:rPr>
          <w:noProof/>
        </w:rPr>
      </w:pPr>
      <w:hyperlink w:anchor="_Toc495848389" w:history="1">
        <w:r w:rsidR="002016F1" w:rsidRPr="00820DD7">
          <w:rPr>
            <w:rStyle w:val="Hyperlink"/>
            <w:rFonts w:ascii="Times New Roman" w:hAnsi="Times New Roman" w:cs="Times New Roman"/>
            <w:noProof/>
          </w:rPr>
          <w:t xml:space="preserve">Figure 56. </w:t>
        </w:r>
        <w:r w:rsidR="002016F1" w:rsidRPr="00820DD7">
          <w:rPr>
            <w:rStyle w:val="Hyperlink"/>
            <w:rFonts w:ascii="Times New Roman" w:eastAsia="Calibri" w:hAnsi="Times New Roman" w:cs="Times New Roman"/>
            <w:noProof/>
          </w:rPr>
          <w:t>Breakdown of individual contribution of alloying additions for DP600 steel grade.</w:t>
        </w:r>
        <w:r w:rsidR="002016F1">
          <w:rPr>
            <w:noProof/>
            <w:webHidden/>
          </w:rPr>
          <w:tab/>
        </w:r>
        <w:r w:rsidR="002016F1">
          <w:rPr>
            <w:noProof/>
            <w:webHidden/>
          </w:rPr>
          <w:fldChar w:fldCharType="begin"/>
        </w:r>
        <w:r w:rsidR="002016F1">
          <w:rPr>
            <w:noProof/>
            <w:webHidden/>
          </w:rPr>
          <w:instrText xml:space="preserve"> PAGEREF _Toc495848389 \h </w:instrText>
        </w:r>
        <w:r w:rsidR="002016F1">
          <w:rPr>
            <w:noProof/>
            <w:webHidden/>
          </w:rPr>
        </w:r>
        <w:r w:rsidR="002016F1">
          <w:rPr>
            <w:noProof/>
            <w:webHidden/>
          </w:rPr>
          <w:fldChar w:fldCharType="separate"/>
        </w:r>
        <w:r w:rsidR="009F5483">
          <w:rPr>
            <w:noProof/>
            <w:webHidden/>
          </w:rPr>
          <w:t>164</w:t>
        </w:r>
        <w:r w:rsidR="002016F1">
          <w:rPr>
            <w:noProof/>
            <w:webHidden/>
          </w:rPr>
          <w:fldChar w:fldCharType="end"/>
        </w:r>
      </w:hyperlink>
    </w:p>
    <w:p w:rsidR="002016F1" w:rsidRDefault="008F124C">
      <w:pPr>
        <w:pStyle w:val="TableofFigures"/>
        <w:tabs>
          <w:tab w:val="right" w:leader="dot" w:pos="9016"/>
        </w:tabs>
        <w:rPr>
          <w:noProof/>
        </w:rPr>
      </w:pPr>
      <w:hyperlink w:anchor="_Toc495848390" w:history="1">
        <w:r w:rsidR="002016F1" w:rsidRPr="00820DD7">
          <w:rPr>
            <w:rStyle w:val="Hyperlink"/>
            <w:rFonts w:ascii="Times New Roman" w:hAnsi="Times New Roman" w:cs="Times New Roman"/>
            <w:noProof/>
          </w:rPr>
          <w:t>Figure 57. Model illustrating recipe for additions of alloys in steel grades.</w:t>
        </w:r>
        <w:r w:rsidR="002016F1">
          <w:rPr>
            <w:noProof/>
            <w:webHidden/>
          </w:rPr>
          <w:tab/>
        </w:r>
        <w:r w:rsidR="002016F1">
          <w:rPr>
            <w:noProof/>
            <w:webHidden/>
          </w:rPr>
          <w:fldChar w:fldCharType="begin"/>
        </w:r>
        <w:r w:rsidR="002016F1">
          <w:rPr>
            <w:noProof/>
            <w:webHidden/>
          </w:rPr>
          <w:instrText xml:space="preserve"> PAGEREF _Toc495848390 \h </w:instrText>
        </w:r>
        <w:r w:rsidR="002016F1">
          <w:rPr>
            <w:noProof/>
            <w:webHidden/>
          </w:rPr>
        </w:r>
        <w:r w:rsidR="002016F1">
          <w:rPr>
            <w:noProof/>
            <w:webHidden/>
          </w:rPr>
          <w:fldChar w:fldCharType="separate"/>
        </w:r>
        <w:r w:rsidR="009F5483">
          <w:rPr>
            <w:noProof/>
            <w:webHidden/>
          </w:rPr>
          <w:t>165</w:t>
        </w:r>
        <w:r w:rsidR="002016F1">
          <w:rPr>
            <w:noProof/>
            <w:webHidden/>
          </w:rPr>
          <w:fldChar w:fldCharType="end"/>
        </w:r>
      </w:hyperlink>
    </w:p>
    <w:p w:rsidR="002016F1" w:rsidRDefault="008F124C">
      <w:pPr>
        <w:pStyle w:val="TableofFigures"/>
        <w:tabs>
          <w:tab w:val="right" w:leader="dot" w:pos="9016"/>
        </w:tabs>
        <w:rPr>
          <w:noProof/>
        </w:rPr>
      </w:pPr>
      <w:hyperlink w:anchor="_Toc495848391" w:history="1">
        <w:r w:rsidR="002016F1" w:rsidRPr="00820DD7">
          <w:rPr>
            <w:rStyle w:val="Hyperlink"/>
            <w:rFonts w:ascii="Times New Roman" w:hAnsi="Times New Roman" w:cs="Times New Roman"/>
            <w:noProof/>
          </w:rPr>
          <w:t xml:space="preserve">Figure 58. </w:t>
        </w:r>
        <w:r w:rsidR="002016F1" w:rsidRPr="00820DD7">
          <w:rPr>
            <w:rStyle w:val="Hyperlink"/>
            <w:rFonts w:ascii="Times New Roman" w:eastAsia="Calibri" w:hAnsi="Times New Roman" w:cs="Times New Roman"/>
            <w:noProof/>
          </w:rPr>
          <w:t>Ferroboron model with borates.</w:t>
        </w:r>
        <w:r w:rsidR="002016F1">
          <w:rPr>
            <w:noProof/>
            <w:webHidden/>
          </w:rPr>
          <w:tab/>
        </w:r>
        <w:r w:rsidR="002016F1">
          <w:rPr>
            <w:noProof/>
            <w:webHidden/>
          </w:rPr>
          <w:fldChar w:fldCharType="begin"/>
        </w:r>
        <w:r w:rsidR="002016F1">
          <w:rPr>
            <w:noProof/>
            <w:webHidden/>
          </w:rPr>
          <w:instrText xml:space="preserve"> PAGEREF _Toc495848391 \h </w:instrText>
        </w:r>
        <w:r w:rsidR="002016F1">
          <w:rPr>
            <w:noProof/>
            <w:webHidden/>
          </w:rPr>
        </w:r>
        <w:r w:rsidR="002016F1">
          <w:rPr>
            <w:noProof/>
            <w:webHidden/>
          </w:rPr>
          <w:fldChar w:fldCharType="separate"/>
        </w:r>
        <w:r w:rsidR="009F5483">
          <w:rPr>
            <w:noProof/>
            <w:webHidden/>
          </w:rPr>
          <w:t>198</w:t>
        </w:r>
        <w:r w:rsidR="002016F1">
          <w:rPr>
            <w:noProof/>
            <w:webHidden/>
          </w:rPr>
          <w:fldChar w:fldCharType="end"/>
        </w:r>
      </w:hyperlink>
    </w:p>
    <w:p w:rsidR="002016F1" w:rsidRDefault="008F124C">
      <w:pPr>
        <w:pStyle w:val="TableofFigures"/>
        <w:tabs>
          <w:tab w:val="right" w:leader="dot" w:pos="9016"/>
        </w:tabs>
        <w:rPr>
          <w:noProof/>
        </w:rPr>
      </w:pPr>
      <w:hyperlink w:anchor="_Toc495848392" w:history="1">
        <w:r w:rsidR="002016F1" w:rsidRPr="00820DD7">
          <w:rPr>
            <w:rStyle w:val="Hyperlink"/>
            <w:rFonts w:ascii="Times New Roman" w:hAnsi="Times New Roman" w:cs="Times New Roman"/>
            <w:noProof/>
          </w:rPr>
          <w:t xml:space="preserve">Figure 59. </w:t>
        </w:r>
        <w:r w:rsidR="002016F1" w:rsidRPr="00820DD7">
          <w:rPr>
            <w:rStyle w:val="Hyperlink"/>
            <w:rFonts w:ascii="Times New Roman" w:eastAsia="Calibri" w:hAnsi="Times New Roman" w:cs="Times New Roman"/>
            <w:noProof/>
          </w:rPr>
          <w:t>Ferroboron with boric oxide.</w:t>
        </w:r>
        <w:r w:rsidR="002016F1">
          <w:rPr>
            <w:noProof/>
            <w:webHidden/>
          </w:rPr>
          <w:tab/>
        </w:r>
        <w:r w:rsidR="002016F1">
          <w:rPr>
            <w:noProof/>
            <w:webHidden/>
          </w:rPr>
          <w:fldChar w:fldCharType="begin"/>
        </w:r>
        <w:r w:rsidR="002016F1">
          <w:rPr>
            <w:noProof/>
            <w:webHidden/>
          </w:rPr>
          <w:instrText xml:space="preserve"> PAGEREF _Toc495848392 \h </w:instrText>
        </w:r>
        <w:r w:rsidR="002016F1">
          <w:rPr>
            <w:noProof/>
            <w:webHidden/>
          </w:rPr>
        </w:r>
        <w:r w:rsidR="002016F1">
          <w:rPr>
            <w:noProof/>
            <w:webHidden/>
          </w:rPr>
          <w:fldChar w:fldCharType="separate"/>
        </w:r>
        <w:r w:rsidR="009F5483">
          <w:rPr>
            <w:noProof/>
            <w:webHidden/>
          </w:rPr>
          <w:t>199</w:t>
        </w:r>
        <w:r w:rsidR="002016F1">
          <w:rPr>
            <w:noProof/>
            <w:webHidden/>
          </w:rPr>
          <w:fldChar w:fldCharType="end"/>
        </w:r>
      </w:hyperlink>
    </w:p>
    <w:p w:rsidR="002016F1" w:rsidRDefault="008F124C">
      <w:pPr>
        <w:pStyle w:val="TableofFigures"/>
        <w:tabs>
          <w:tab w:val="right" w:leader="dot" w:pos="9016"/>
        </w:tabs>
        <w:rPr>
          <w:noProof/>
        </w:rPr>
      </w:pPr>
      <w:hyperlink w:anchor="_Toc495848393" w:history="1">
        <w:r w:rsidR="002016F1" w:rsidRPr="00820DD7">
          <w:rPr>
            <w:rStyle w:val="Hyperlink"/>
            <w:rFonts w:ascii="Times New Roman" w:hAnsi="Times New Roman" w:cs="Times New Roman"/>
            <w:noProof/>
          </w:rPr>
          <w:t xml:space="preserve">Figure 60. </w:t>
        </w:r>
        <w:r w:rsidR="002016F1" w:rsidRPr="00820DD7">
          <w:rPr>
            <w:rStyle w:val="Hyperlink"/>
            <w:rFonts w:ascii="Times New Roman" w:eastAsia="Calibri" w:hAnsi="Times New Roman" w:cs="Times New Roman"/>
            <w:noProof/>
          </w:rPr>
          <w:t>Global Fe-Cr production utilising data from Haque.</w:t>
        </w:r>
        <w:r w:rsidR="002016F1">
          <w:rPr>
            <w:noProof/>
            <w:webHidden/>
          </w:rPr>
          <w:tab/>
        </w:r>
        <w:r w:rsidR="002016F1">
          <w:rPr>
            <w:noProof/>
            <w:webHidden/>
          </w:rPr>
          <w:fldChar w:fldCharType="begin"/>
        </w:r>
        <w:r w:rsidR="002016F1">
          <w:rPr>
            <w:noProof/>
            <w:webHidden/>
          </w:rPr>
          <w:instrText xml:space="preserve"> PAGEREF _Toc495848393 \h </w:instrText>
        </w:r>
        <w:r w:rsidR="002016F1">
          <w:rPr>
            <w:noProof/>
            <w:webHidden/>
          </w:rPr>
        </w:r>
        <w:r w:rsidR="002016F1">
          <w:rPr>
            <w:noProof/>
            <w:webHidden/>
          </w:rPr>
          <w:fldChar w:fldCharType="separate"/>
        </w:r>
        <w:r w:rsidR="009F5483">
          <w:rPr>
            <w:noProof/>
            <w:webHidden/>
          </w:rPr>
          <w:t>201</w:t>
        </w:r>
        <w:r w:rsidR="002016F1">
          <w:rPr>
            <w:noProof/>
            <w:webHidden/>
          </w:rPr>
          <w:fldChar w:fldCharType="end"/>
        </w:r>
      </w:hyperlink>
    </w:p>
    <w:p w:rsidR="002016F1" w:rsidRDefault="008F124C">
      <w:pPr>
        <w:pStyle w:val="TableofFigures"/>
        <w:tabs>
          <w:tab w:val="right" w:leader="dot" w:pos="9016"/>
        </w:tabs>
        <w:rPr>
          <w:noProof/>
        </w:rPr>
      </w:pPr>
      <w:hyperlink w:anchor="_Toc495848394" w:history="1">
        <w:r w:rsidR="002016F1" w:rsidRPr="00820DD7">
          <w:rPr>
            <w:rStyle w:val="Hyperlink"/>
            <w:rFonts w:ascii="Times New Roman" w:hAnsi="Times New Roman" w:cs="Times New Roman"/>
            <w:noProof/>
          </w:rPr>
          <w:t xml:space="preserve">Figure 61. </w:t>
        </w:r>
        <w:r w:rsidR="002016F1" w:rsidRPr="00820DD7">
          <w:rPr>
            <w:rStyle w:val="Hyperlink"/>
            <w:rFonts w:ascii="Times New Roman" w:eastAsia="Calibri" w:hAnsi="Times New Roman" w:cs="Times New Roman"/>
            <w:noProof/>
          </w:rPr>
          <w:t>HC ferrochrome model from Eurometaux data.</w:t>
        </w:r>
        <w:r w:rsidR="002016F1">
          <w:rPr>
            <w:noProof/>
            <w:webHidden/>
          </w:rPr>
          <w:tab/>
        </w:r>
        <w:r w:rsidR="002016F1">
          <w:rPr>
            <w:noProof/>
            <w:webHidden/>
          </w:rPr>
          <w:fldChar w:fldCharType="begin"/>
        </w:r>
        <w:r w:rsidR="002016F1">
          <w:rPr>
            <w:noProof/>
            <w:webHidden/>
          </w:rPr>
          <w:instrText xml:space="preserve"> PAGEREF _Toc495848394 \h </w:instrText>
        </w:r>
        <w:r w:rsidR="002016F1">
          <w:rPr>
            <w:noProof/>
            <w:webHidden/>
          </w:rPr>
        </w:r>
        <w:r w:rsidR="002016F1">
          <w:rPr>
            <w:noProof/>
            <w:webHidden/>
          </w:rPr>
          <w:fldChar w:fldCharType="separate"/>
        </w:r>
        <w:r w:rsidR="009F5483">
          <w:rPr>
            <w:noProof/>
            <w:webHidden/>
          </w:rPr>
          <w:t>202</w:t>
        </w:r>
        <w:r w:rsidR="002016F1">
          <w:rPr>
            <w:noProof/>
            <w:webHidden/>
          </w:rPr>
          <w:fldChar w:fldCharType="end"/>
        </w:r>
      </w:hyperlink>
    </w:p>
    <w:p w:rsidR="002016F1" w:rsidRDefault="008F124C">
      <w:pPr>
        <w:pStyle w:val="TableofFigures"/>
        <w:tabs>
          <w:tab w:val="right" w:leader="dot" w:pos="9016"/>
        </w:tabs>
        <w:rPr>
          <w:noProof/>
        </w:rPr>
      </w:pPr>
      <w:hyperlink w:anchor="_Toc495848395" w:history="1">
        <w:r w:rsidR="002016F1" w:rsidRPr="00820DD7">
          <w:rPr>
            <w:rStyle w:val="Hyperlink"/>
            <w:rFonts w:ascii="Times New Roman" w:hAnsi="Times New Roman" w:cs="Times New Roman"/>
            <w:noProof/>
          </w:rPr>
          <w:t xml:space="preserve">Figure 62. </w:t>
        </w:r>
        <w:r w:rsidR="002016F1" w:rsidRPr="00820DD7">
          <w:rPr>
            <w:rStyle w:val="Hyperlink"/>
            <w:rFonts w:ascii="Times New Roman" w:eastAsia="Calibri" w:hAnsi="Times New Roman" w:cs="Times New Roman"/>
            <w:noProof/>
          </w:rPr>
          <w:t>LC ferrochrome model from Eurometaux data.</w:t>
        </w:r>
        <w:r w:rsidR="002016F1">
          <w:rPr>
            <w:noProof/>
            <w:webHidden/>
          </w:rPr>
          <w:tab/>
        </w:r>
        <w:r w:rsidR="002016F1">
          <w:rPr>
            <w:noProof/>
            <w:webHidden/>
          </w:rPr>
          <w:fldChar w:fldCharType="begin"/>
        </w:r>
        <w:r w:rsidR="002016F1">
          <w:rPr>
            <w:noProof/>
            <w:webHidden/>
          </w:rPr>
          <w:instrText xml:space="preserve"> PAGEREF _Toc495848395 \h </w:instrText>
        </w:r>
        <w:r w:rsidR="002016F1">
          <w:rPr>
            <w:noProof/>
            <w:webHidden/>
          </w:rPr>
        </w:r>
        <w:r w:rsidR="002016F1">
          <w:rPr>
            <w:noProof/>
            <w:webHidden/>
          </w:rPr>
          <w:fldChar w:fldCharType="separate"/>
        </w:r>
        <w:r w:rsidR="009F5483">
          <w:rPr>
            <w:noProof/>
            <w:webHidden/>
          </w:rPr>
          <w:t>202</w:t>
        </w:r>
        <w:r w:rsidR="002016F1">
          <w:rPr>
            <w:noProof/>
            <w:webHidden/>
          </w:rPr>
          <w:fldChar w:fldCharType="end"/>
        </w:r>
      </w:hyperlink>
    </w:p>
    <w:p w:rsidR="002016F1" w:rsidRDefault="008F124C">
      <w:pPr>
        <w:pStyle w:val="TableofFigures"/>
        <w:tabs>
          <w:tab w:val="right" w:leader="dot" w:pos="9016"/>
        </w:tabs>
        <w:rPr>
          <w:noProof/>
        </w:rPr>
      </w:pPr>
      <w:hyperlink w:anchor="_Toc495848396" w:history="1">
        <w:r w:rsidR="002016F1" w:rsidRPr="00820DD7">
          <w:rPr>
            <w:rStyle w:val="Hyperlink"/>
            <w:rFonts w:ascii="Times New Roman" w:hAnsi="Times New Roman" w:cs="Times New Roman"/>
            <w:noProof/>
          </w:rPr>
          <w:t xml:space="preserve">Figure 63. </w:t>
        </w:r>
        <w:r w:rsidR="002016F1" w:rsidRPr="00820DD7">
          <w:rPr>
            <w:rStyle w:val="Hyperlink"/>
            <w:rFonts w:ascii="Times New Roman" w:eastAsia="Calibri" w:hAnsi="Times New Roman" w:cs="Times New Roman"/>
            <w:noProof/>
          </w:rPr>
          <w:t>Fe-Si-Cr (13% Si) model.</w:t>
        </w:r>
        <w:r w:rsidR="002016F1">
          <w:rPr>
            <w:noProof/>
            <w:webHidden/>
          </w:rPr>
          <w:tab/>
        </w:r>
        <w:r w:rsidR="002016F1">
          <w:rPr>
            <w:noProof/>
            <w:webHidden/>
          </w:rPr>
          <w:fldChar w:fldCharType="begin"/>
        </w:r>
        <w:r w:rsidR="002016F1">
          <w:rPr>
            <w:noProof/>
            <w:webHidden/>
          </w:rPr>
          <w:instrText xml:space="preserve"> PAGEREF _Toc495848396 \h </w:instrText>
        </w:r>
        <w:r w:rsidR="002016F1">
          <w:rPr>
            <w:noProof/>
            <w:webHidden/>
          </w:rPr>
        </w:r>
        <w:r w:rsidR="002016F1">
          <w:rPr>
            <w:noProof/>
            <w:webHidden/>
          </w:rPr>
          <w:fldChar w:fldCharType="separate"/>
        </w:r>
        <w:r w:rsidR="009F5483">
          <w:rPr>
            <w:noProof/>
            <w:webHidden/>
          </w:rPr>
          <w:t>204</w:t>
        </w:r>
        <w:r w:rsidR="002016F1">
          <w:rPr>
            <w:noProof/>
            <w:webHidden/>
          </w:rPr>
          <w:fldChar w:fldCharType="end"/>
        </w:r>
      </w:hyperlink>
    </w:p>
    <w:p w:rsidR="002016F1" w:rsidRDefault="008F124C">
      <w:pPr>
        <w:pStyle w:val="TableofFigures"/>
        <w:tabs>
          <w:tab w:val="right" w:leader="dot" w:pos="9016"/>
        </w:tabs>
        <w:rPr>
          <w:noProof/>
        </w:rPr>
      </w:pPr>
      <w:hyperlink w:anchor="_Toc495848397" w:history="1">
        <w:r w:rsidR="002016F1" w:rsidRPr="00820DD7">
          <w:rPr>
            <w:rStyle w:val="Hyperlink"/>
            <w:rFonts w:ascii="Times New Roman" w:hAnsi="Times New Roman" w:cs="Times New Roman"/>
            <w:noProof/>
          </w:rPr>
          <w:t xml:space="preserve">Figure 64. </w:t>
        </w:r>
        <w:r w:rsidR="002016F1" w:rsidRPr="00820DD7">
          <w:rPr>
            <w:rStyle w:val="Hyperlink"/>
            <w:rFonts w:ascii="Times New Roman" w:eastAsia="Calibri" w:hAnsi="Times New Roman" w:cs="Times New Roman"/>
            <w:noProof/>
          </w:rPr>
          <w:t>Fe-Si-Cr (53% Si) model.</w:t>
        </w:r>
        <w:r w:rsidR="002016F1">
          <w:rPr>
            <w:noProof/>
            <w:webHidden/>
          </w:rPr>
          <w:tab/>
        </w:r>
        <w:r w:rsidR="002016F1">
          <w:rPr>
            <w:noProof/>
            <w:webHidden/>
          </w:rPr>
          <w:fldChar w:fldCharType="begin"/>
        </w:r>
        <w:r w:rsidR="002016F1">
          <w:rPr>
            <w:noProof/>
            <w:webHidden/>
          </w:rPr>
          <w:instrText xml:space="preserve"> PAGEREF _Toc495848397 \h </w:instrText>
        </w:r>
        <w:r w:rsidR="002016F1">
          <w:rPr>
            <w:noProof/>
            <w:webHidden/>
          </w:rPr>
        </w:r>
        <w:r w:rsidR="002016F1">
          <w:rPr>
            <w:noProof/>
            <w:webHidden/>
          </w:rPr>
          <w:fldChar w:fldCharType="separate"/>
        </w:r>
        <w:r w:rsidR="009F5483">
          <w:rPr>
            <w:noProof/>
            <w:webHidden/>
          </w:rPr>
          <w:t>204</w:t>
        </w:r>
        <w:r w:rsidR="002016F1">
          <w:rPr>
            <w:noProof/>
            <w:webHidden/>
          </w:rPr>
          <w:fldChar w:fldCharType="end"/>
        </w:r>
      </w:hyperlink>
    </w:p>
    <w:p w:rsidR="002016F1" w:rsidRDefault="008F124C">
      <w:pPr>
        <w:pStyle w:val="TableofFigures"/>
        <w:tabs>
          <w:tab w:val="right" w:leader="dot" w:pos="9016"/>
        </w:tabs>
        <w:rPr>
          <w:noProof/>
        </w:rPr>
      </w:pPr>
      <w:hyperlink w:anchor="_Toc495848398" w:history="1">
        <w:r w:rsidR="002016F1" w:rsidRPr="00820DD7">
          <w:rPr>
            <w:rStyle w:val="Hyperlink"/>
            <w:rFonts w:ascii="Times New Roman" w:hAnsi="Times New Roman" w:cs="Times New Roman"/>
            <w:noProof/>
          </w:rPr>
          <w:t xml:space="preserve">Figure 65. </w:t>
        </w:r>
        <w:r w:rsidR="002016F1" w:rsidRPr="00820DD7">
          <w:rPr>
            <w:rStyle w:val="Hyperlink"/>
            <w:rFonts w:ascii="Times New Roman" w:eastAsia="Calibri" w:hAnsi="Times New Roman" w:cs="Times New Roman"/>
            <w:noProof/>
          </w:rPr>
          <w:t>GaBi model of HC ferrochrome (60% Cr, 6% C).</w:t>
        </w:r>
        <w:r w:rsidR="002016F1">
          <w:rPr>
            <w:noProof/>
            <w:webHidden/>
          </w:rPr>
          <w:tab/>
        </w:r>
        <w:r w:rsidR="002016F1">
          <w:rPr>
            <w:noProof/>
            <w:webHidden/>
          </w:rPr>
          <w:fldChar w:fldCharType="begin"/>
        </w:r>
        <w:r w:rsidR="002016F1">
          <w:rPr>
            <w:noProof/>
            <w:webHidden/>
          </w:rPr>
          <w:instrText xml:space="preserve"> PAGEREF _Toc495848398 \h </w:instrText>
        </w:r>
        <w:r w:rsidR="002016F1">
          <w:rPr>
            <w:noProof/>
            <w:webHidden/>
          </w:rPr>
        </w:r>
        <w:r w:rsidR="002016F1">
          <w:rPr>
            <w:noProof/>
            <w:webHidden/>
          </w:rPr>
          <w:fldChar w:fldCharType="separate"/>
        </w:r>
        <w:r w:rsidR="009F5483">
          <w:rPr>
            <w:noProof/>
            <w:webHidden/>
          </w:rPr>
          <w:t>205</w:t>
        </w:r>
        <w:r w:rsidR="002016F1">
          <w:rPr>
            <w:noProof/>
            <w:webHidden/>
          </w:rPr>
          <w:fldChar w:fldCharType="end"/>
        </w:r>
      </w:hyperlink>
    </w:p>
    <w:p w:rsidR="002016F1" w:rsidRDefault="008F124C">
      <w:pPr>
        <w:pStyle w:val="TableofFigures"/>
        <w:tabs>
          <w:tab w:val="right" w:leader="dot" w:pos="9016"/>
        </w:tabs>
        <w:rPr>
          <w:noProof/>
        </w:rPr>
      </w:pPr>
      <w:hyperlink w:anchor="_Toc495848399" w:history="1">
        <w:r w:rsidR="002016F1" w:rsidRPr="00820DD7">
          <w:rPr>
            <w:rStyle w:val="Hyperlink"/>
            <w:rFonts w:ascii="Times New Roman" w:hAnsi="Times New Roman" w:cs="Times New Roman"/>
            <w:noProof/>
          </w:rPr>
          <w:t xml:space="preserve">Figure 66. </w:t>
        </w:r>
        <w:r w:rsidR="002016F1" w:rsidRPr="00820DD7">
          <w:rPr>
            <w:rStyle w:val="Hyperlink"/>
            <w:rFonts w:ascii="Times New Roman" w:eastAsia="Calibri" w:hAnsi="Times New Roman" w:cs="Times New Roman"/>
            <w:noProof/>
          </w:rPr>
          <w:t>GaBi model of LC ferrochrome (60% Cr, 1% C).</w:t>
        </w:r>
        <w:r w:rsidR="002016F1">
          <w:rPr>
            <w:noProof/>
            <w:webHidden/>
          </w:rPr>
          <w:tab/>
        </w:r>
        <w:r w:rsidR="002016F1">
          <w:rPr>
            <w:noProof/>
            <w:webHidden/>
          </w:rPr>
          <w:fldChar w:fldCharType="begin"/>
        </w:r>
        <w:r w:rsidR="002016F1">
          <w:rPr>
            <w:noProof/>
            <w:webHidden/>
          </w:rPr>
          <w:instrText xml:space="preserve"> PAGEREF _Toc495848399 \h </w:instrText>
        </w:r>
        <w:r w:rsidR="002016F1">
          <w:rPr>
            <w:noProof/>
            <w:webHidden/>
          </w:rPr>
        </w:r>
        <w:r w:rsidR="002016F1">
          <w:rPr>
            <w:noProof/>
            <w:webHidden/>
          </w:rPr>
          <w:fldChar w:fldCharType="separate"/>
        </w:r>
        <w:r w:rsidR="009F5483">
          <w:rPr>
            <w:noProof/>
            <w:webHidden/>
          </w:rPr>
          <w:t>205</w:t>
        </w:r>
        <w:r w:rsidR="002016F1">
          <w:rPr>
            <w:noProof/>
            <w:webHidden/>
          </w:rPr>
          <w:fldChar w:fldCharType="end"/>
        </w:r>
      </w:hyperlink>
    </w:p>
    <w:p w:rsidR="002016F1" w:rsidRDefault="008F124C">
      <w:pPr>
        <w:pStyle w:val="TableofFigures"/>
        <w:tabs>
          <w:tab w:val="right" w:leader="dot" w:pos="9016"/>
        </w:tabs>
        <w:rPr>
          <w:noProof/>
        </w:rPr>
      </w:pPr>
      <w:hyperlink w:anchor="_Toc495848400" w:history="1">
        <w:r w:rsidR="002016F1" w:rsidRPr="00820DD7">
          <w:rPr>
            <w:rStyle w:val="Hyperlink"/>
            <w:rFonts w:ascii="Times New Roman" w:hAnsi="Times New Roman" w:cs="Times New Roman"/>
            <w:noProof/>
          </w:rPr>
          <w:t xml:space="preserve">Figure 67. </w:t>
        </w:r>
        <w:r w:rsidR="002016F1" w:rsidRPr="00820DD7">
          <w:rPr>
            <w:rStyle w:val="Hyperlink"/>
            <w:rFonts w:ascii="Times New Roman" w:eastAsia="Calibri" w:hAnsi="Times New Roman" w:cs="Times New Roman"/>
            <w:noProof/>
          </w:rPr>
          <w:t>Schematic flow sheet of ferromanganese and silica-manganese production (Haque &amp; Norgate 2013).</w:t>
        </w:r>
        <w:r w:rsidR="002016F1">
          <w:rPr>
            <w:noProof/>
            <w:webHidden/>
          </w:rPr>
          <w:tab/>
        </w:r>
        <w:r w:rsidR="002016F1">
          <w:rPr>
            <w:noProof/>
            <w:webHidden/>
          </w:rPr>
          <w:fldChar w:fldCharType="begin"/>
        </w:r>
        <w:r w:rsidR="002016F1">
          <w:rPr>
            <w:noProof/>
            <w:webHidden/>
          </w:rPr>
          <w:instrText xml:space="preserve"> PAGEREF _Toc495848400 \h </w:instrText>
        </w:r>
        <w:r w:rsidR="002016F1">
          <w:rPr>
            <w:noProof/>
            <w:webHidden/>
          </w:rPr>
        </w:r>
        <w:r w:rsidR="002016F1">
          <w:rPr>
            <w:noProof/>
            <w:webHidden/>
          </w:rPr>
          <w:fldChar w:fldCharType="separate"/>
        </w:r>
        <w:r w:rsidR="009F5483">
          <w:rPr>
            <w:noProof/>
            <w:webHidden/>
          </w:rPr>
          <w:t>206</w:t>
        </w:r>
        <w:r w:rsidR="002016F1">
          <w:rPr>
            <w:noProof/>
            <w:webHidden/>
          </w:rPr>
          <w:fldChar w:fldCharType="end"/>
        </w:r>
      </w:hyperlink>
    </w:p>
    <w:p w:rsidR="002016F1" w:rsidRDefault="008F124C">
      <w:pPr>
        <w:pStyle w:val="TableofFigures"/>
        <w:tabs>
          <w:tab w:val="right" w:leader="dot" w:pos="9016"/>
        </w:tabs>
        <w:rPr>
          <w:noProof/>
        </w:rPr>
      </w:pPr>
      <w:hyperlink w:anchor="_Toc495848401" w:history="1">
        <w:r w:rsidR="002016F1" w:rsidRPr="00820DD7">
          <w:rPr>
            <w:rStyle w:val="Hyperlink"/>
            <w:rFonts w:ascii="Times New Roman" w:hAnsi="Times New Roman" w:cs="Times New Roman"/>
            <w:noProof/>
          </w:rPr>
          <w:t xml:space="preserve">Figure 68. </w:t>
        </w:r>
        <w:r w:rsidR="002016F1" w:rsidRPr="00820DD7">
          <w:rPr>
            <w:rStyle w:val="Hyperlink"/>
            <w:rFonts w:ascii="Times New Roman" w:eastAsia="Calibri" w:hAnsi="Times New Roman" w:cs="Times New Roman"/>
            <w:noProof/>
          </w:rPr>
          <w:t>Global ferromanganese model created from data source Haque.</w:t>
        </w:r>
        <w:r w:rsidR="002016F1">
          <w:rPr>
            <w:noProof/>
            <w:webHidden/>
          </w:rPr>
          <w:tab/>
        </w:r>
        <w:r w:rsidR="002016F1">
          <w:rPr>
            <w:noProof/>
            <w:webHidden/>
          </w:rPr>
          <w:fldChar w:fldCharType="begin"/>
        </w:r>
        <w:r w:rsidR="002016F1">
          <w:rPr>
            <w:noProof/>
            <w:webHidden/>
          </w:rPr>
          <w:instrText xml:space="preserve"> PAGEREF _Toc495848401 \h </w:instrText>
        </w:r>
        <w:r w:rsidR="002016F1">
          <w:rPr>
            <w:noProof/>
            <w:webHidden/>
          </w:rPr>
        </w:r>
        <w:r w:rsidR="002016F1">
          <w:rPr>
            <w:noProof/>
            <w:webHidden/>
          </w:rPr>
          <w:fldChar w:fldCharType="separate"/>
        </w:r>
        <w:r w:rsidR="009F5483">
          <w:rPr>
            <w:noProof/>
            <w:webHidden/>
          </w:rPr>
          <w:t>208</w:t>
        </w:r>
        <w:r w:rsidR="002016F1">
          <w:rPr>
            <w:noProof/>
            <w:webHidden/>
          </w:rPr>
          <w:fldChar w:fldCharType="end"/>
        </w:r>
      </w:hyperlink>
    </w:p>
    <w:p w:rsidR="002016F1" w:rsidRDefault="008F124C">
      <w:pPr>
        <w:pStyle w:val="TableofFigures"/>
        <w:tabs>
          <w:tab w:val="right" w:leader="dot" w:pos="9016"/>
        </w:tabs>
        <w:rPr>
          <w:noProof/>
        </w:rPr>
      </w:pPr>
      <w:hyperlink w:anchor="_Toc495848402" w:history="1">
        <w:r w:rsidR="002016F1" w:rsidRPr="00820DD7">
          <w:rPr>
            <w:rStyle w:val="Hyperlink"/>
            <w:rFonts w:ascii="Times New Roman" w:hAnsi="Times New Roman" w:cs="Times New Roman"/>
            <w:noProof/>
          </w:rPr>
          <w:t xml:space="preserve">Figure 69. </w:t>
        </w:r>
        <w:r w:rsidR="002016F1" w:rsidRPr="00820DD7">
          <w:rPr>
            <w:rStyle w:val="Hyperlink"/>
            <w:rFonts w:ascii="Times New Roman" w:eastAsia="Calibri" w:hAnsi="Times New Roman" w:cs="Times New Roman"/>
            <w:noProof/>
          </w:rPr>
          <w:t>HC ferromanganese production via Eurometaux data.</w:t>
        </w:r>
        <w:r w:rsidR="002016F1">
          <w:rPr>
            <w:noProof/>
            <w:webHidden/>
          </w:rPr>
          <w:tab/>
        </w:r>
        <w:r w:rsidR="002016F1">
          <w:rPr>
            <w:noProof/>
            <w:webHidden/>
          </w:rPr>
          <w:fldChar w:fldCharType="begin"/>
        </w:r>
        <w:r w:rsidR="002016F1">
          <w:rPr>
            <w:noProof/>
            <w:webHidden/>
          </w:rPr>
          <w:instrText xml:space="preserve"> PAGEREF _Toc495848402 \h </w:instrText>
        </w:r>
        <w:r w:rsidR="002016F1">
          <w:rPr>
            <w:noProof/>
            <w:webHidden/>
          </w:rPr>
        </w:r>
        <w:r w:rsidR="002016F1">
          <w:rPr>
            <w:noProof/>
            <w:webHidden/>
          </w:rPr>
          <w:fldChar w:fldCharType="separate"/>
        </w:r>
        <w:r w:rsidR="009F5483">
          <w:rPr>
            <w:noProof/>
            <w:webHidden/>
          </w:rPr>
          <w:t>212</w:t>
        </w:r>
        <w:r w:rsidR="002016F1">
          <w:rPr>
            <w:noProof/>
            <w:webHidden/>
          </w:rPr>
          <w:fldChar w:fldCharType="end"/>
        </w:r>
      </w:hyperlink>
    </w:p>
    <w:p w:rsidR="002016F1" w:rsidRDefault="008F124C">
      <w:pPr>
        <w:pStyle w:val="TableofFigures"/>
        <w:tabs>
          <w:tab w:val="right" w:leader="dot" w:pos="9016"/>
        </w:tabs>
        <w:rPr>
          <w:noProof/>
        </w:rPr>
      </w:pPr>
      <w:hyperlink w:anchor="_Toc495848403" w:history="1">
        <w:r w:rsidR="002016F1" w:rsidRPr="00820DD7">
          <w:rPr>
            <w:rStyle w:val="Hyperlink"/>
            <w:rFonts w:ascii="Times New Roman" w:hAnsi="Times New Roman" w:cs="Times New Roman"/>
            <w:noProof/>
          </w:rPr>
          <w:t xml:space="preserve">Figure 70. </w:t>
        </w:r>
        <w:r w:rsidR="002016F1" w:rsidRPr="00820DD7">
          <w:rPr>
            <w:rStyle w:val="Hyperlink"/>
            <w:rFonts w:ascii="Times New Roman" w:eastAsia="Calibri" w:hAnsi="Times New Roman" w:cs="Times New Roman"/>
            <w:noProof/>
          </w:rPr>
          <w:t>LC ferromanganese model (Si-Mn Haque) from Eurometaux data.</w:t>
        </w:r>
        <w:r w:rsidR="002016F1">
          <w:rPr>
            <w:noProof/>
            <w:webHidden/>
          </w:rPr>
          <w:tab/>
        </w:r>
        <w:r w:rsidR="002016F1">
          <w:rPr>
            <w:noProof/>
            <w:webHidden/>
          </w:rPr>
          <w:fldChar w:fldCharType="begin"/>
        </w:r>
        <w:r w:rsidR="002016F1">
          <w:rPr>
            <w:noProof/>
            <w:webHidden/>
          </w:rPr>
          <w:instrText xml:space="preserve"> PAGEREF _Toc495848403 \h </w:instrText>
        </w:r>
        <w:r w:rsidR="002016F1">
          <w:rPr>
            <w:noProof/>
            <w:webHidden/>
          </w:rPr>
        </w:r>
        <w:r w:rsidR="002016F1">
          <w:rPr>
            <w:noProof/>
            <w:webHidden/>
          </w:rPr>
          <w:fldChar w:fldCharType="separate"/>
        </w:r>
        <w:r w:rsidR="009F5483">
          <w:rPr>
            <w:noProof/>
            <w:webHidden/>
          </w:rPr>
          <w:t>213</w:t>
        </w:r>
        <w:r w:rsidR="002016F1">
          <w:rPr>
            <w:noProof/>
            <w:webHidden/>
          </w:rPr>
          <w:fldChar w:fldCharType="end"/>
        </w:r>
      </w:hyperlink>
    </w:p>
    <w:p w:rsidR="002016F1" w:rsidRDefault="008F124C">
      <w:pPr>
        <w:pStyle w:val="TableofFigures"/>
        <w:tabs>
          <w:tab w:val="right" w:leader="dot" w:pos="9016"/>
        </w:tabs>
        <w:rPr>
          <w:noProof/>
        </w:rPr>
      </w:pPr>
      <w:hyperlink w:anchor="_Toc495848404" w:history="1">
        <w:r w:rsidR="002016F1" w:rsidRPr="00820DD7">
          <w:rPr>
            <w:rStyle w:val="Hyperlink"/>
            <w:rFonts w:ascii="Times New Roman" w:hAnsi="Times New Roman" w:cs="Times New Roman"/>
            <w:noProof/>
          </w:rPr>
          <w:t xml:space="preserve">Figure 71. </w:t>
        </w:r>
        <w:r w:rsidR="002016F1" w:rsidRPr="00820DD7">
          <w:rPr>
            <w:rStyle w:val="Hyperlink"/>
            <w:rFonts w:ascii="Times New Roman" w:eastAsia="Calibri" w:hAnsi="Times New Roman" w:cs="Times New Roman"/>
            <w:noProof/>
          </w:rPr>
          <w:t>LC ferromanganese production (Si-Mn Eurometaux) from Eurometaux data.</w:t>
        </w:r>
        <w:r w:rsidR="002016F1">
          <w:rPr>
            <w:noProof/>
            <w:webHidden/>
          </w:rPr>
          <w:tab/>
        </w:r>
        <w:r w:rsidR="002016F1">
          <w:rPr>
            <w:noProof/>
            <w:webHidden/>
          </w:rPr>
          <w:fldChar w:fldCharType="begin"/>
        </w:r>
        <w:r w:rsidR="002016F1">
          <w:rPr>
            <w:noProof/>
            <w:webHidden/>
          </w:rPr>
          <w:instrText xml:space="preserve"> PAGEREF _Toc495848404 \h </w:instrText>
        </w:r>
        <w:r w:rsidR="002016F1">
          <w:rPr>
            <w:noProof/>
            <w:webHidden/>
          </w:rPr>
        </w:r>
        <w:r w:rsidR="002016F1">
          <w:rPr>
            <w:noProof/>
            <w:webHidden/>
          </w:rPr>
          <w:fldChar w:fldCharType="separate"/>
        </w:r>
        <w:r w:rsidR="009F5483">
          <w:rPr>
            <w:noProof/>
            <w:webHidden/>
          </w:rPr>
          <w:t>213</w:t>
        </w:r>
        <w:r w:rsidR="002016F1">
          <w:rPr>
            <w:noProof/>
            <w:webHidden/>
          </w:rPr>
          <w:fldChar w:fldCharType="end"/>
        </w:r>
      </w:hyperlink>
    </w:p>
    <w:p w:rsidR="002016F1" w:rsidRDefault="008F124C">
      <w:pPr>
        <w:pStyle w:val="TableofFigures"/>
        <w:tabs>
          <w:tab w:val="right" w:leader="dot" w:pos="9016"/>
        </w:tabs>
        <w:rPr>
          <w:noProof/>
        </w:rPr>
      </w:pPr>
      <w:hyperlink w:anchor="_Toc495848405" w:history="1">
        <w:r w:rsidR="002016F1" w:rsidRPr="00820DD7">
          <w:rPr>
            <w:rStyle w:val="Hyperlink"/>
            <w:rFonts w:ascii="Times New Roman" w:hAnsi="Times New Roman" w:cs="Times New Roman"/>
            <w:noProof/>
          </w:rPr>
          <w:t xml:space="preserve">Figure 72. </w:t>
        </w:r>
        <w:r w:rsidR="002016F1" w:rsidRPr="00820DD7">
          <w:rPr>
            <w:rStyle w:val="Hyperlink"/>
            <w:rFonts w:ascii="Times New Roman" w:eastAsia="Calibri" w:hAnsi="Times New Roman" w:cs="Times New Roman"/>
            <w:noProof/>
          </w:rPr>
          <w:t>HC ferromanganese production (Discard Method) from data source Gasik.</w:t>
        </w:r>
        <w:r w:rsidR="002016F1">
          <w:rPr>
            <w:noProof/>
            <w:webHidden/>
          </w:rPr>
          <w:tab/>
        </w:r>
        <w:r w:rsidR="002016F1">
          <w:rPr>
            <w:noProof/>
            <w:webHidden/>
          </w:rPr>
          <w:fldChar w:fldCharType="begin"/>
        </w:r>
        <w:r w:rsidR="002016F1">
          <w:rPr>
            <w:noProof/>
            <w:webHidden/>
          </w:rPr>
          <w:instrText xml:space="preserve"> PAGEREF _Toc495848405 \h </w:instrText>
        </w:r>
        <w:r w:rsidR="002016F1">
          <w:rPr>
            <w:noProof/>
            <w:webHidden/>
          </w:rPr>
        </w:r>
        <w:r w:rsidR="002016F1">
          <w:rPr>
            <w:noProof/>
            <w:webHidden/>
          </w:rPr>
          <w:fldChar w:fldCharType="separate"/>
        </w:r>
        <w:r w:rsidR="009F5483">
          <w:rPr>
            <w:noProof/>
            <w:webHidden/>
          </w:rPr>
          <w:t>214</w:t>
        </w:r>
        <w:r w:rsidR="002016F1">
          <w:rPr>
            <w:noProof/>
            <w:webHidden/>
          </w:rPr>
          <w:fldChar w:fldCharType="end"/>
        </w:r>
      </w:hyperlink>
    </w:p>
    <w:p w:rsidR="002016F1" w:rsidRDefault="008F124C">
      <w:pPr>
        <w:pStyle w:val="TableofFigures"/>
        <w:tabs>
          <w:tab w:val="right" w:leader="dot" w:pos="9016"/>
        </w:tabs>
        <w:rPr>
          <w:noProof/>
        </w:rPr>
      </w:pPr>
      <w:hyperlink w:anchor="_Toc495848406" w:history="1">
        <w:r w:rsidR="002016F1" w:rsidRPr="00820DD7">
          <w:rPr>
            <w:rStyle w:val="Hyperlink"/>
            <w:rFonts w:ascii="Times New Roman" w:hAnsi="Times New Roman" w:cs="Times New Roman"/>
            <w:noProof/>
          </w:rPr>
          <w:t xml:space="preserve">Figure 73. </w:t>
        </w:r>
        <w:r w:rsidR="002016F1" w:rsidRPr="00820DD7">
          <w:rPr>
            <w:rStyle w:val="Hyperlink"/>
            <w:rFonts w:ascii="Times New Roman" w:eastAsia="Calibri" w:hAnsi="Times New Roman" w:cs="Times New Roman"/>
            <w:noProof/>
          </w:rPr>
          <w:t>HC ferromanganese production (Duplex Method) from data source Gasik.</w:t>
        </w:r>
        <w:r w:rsidR="002016F1">
          <w:rPr>
            <w:noProof/>
            <w:webHidden/>
          </w:rPr>
          <w:tab/>
        </w:r>
        <w:r w:rsidR="002016F1">
          <w:rPr>
            <w:noProof/>
            <w:webHidden/>
          </w:rPr>
          <w:fldChar w:fldCharType="begin"/>
        </w:r>
        <w:r w:rsidR="002016F1">
          <w:rPr>
            <w:noProof/>
            <w:webHidden/>
          </w:rPr>
          <w:instrText xml:space="preserve"> PAGEREF _Toc495848406 \h </w:instrText>
        </w:r>
        <w:r w:rsidR="002016F1">
          <w:rPr>
            <w:noProof/>
            <w:webHidden/>
          </w:rPr>
        </w:r>
        <w:r w:rsidR="002016F1">
          <w:rPr>
            <w:noProof/>
            <w:webHidden/>
          </w:rPr>
          <w:fldChar w:fldCharType="separate"/>
        </w:r>
        <w:r w:rsidR="009F5483">
          <w:rPr>
            <w:noProof/>
            <w:webHidden/>
          </w:rPr>
          <w:t>215</w:t>
        </w:r>
        <w:r w:rsidR="002016F1">
          <w:rPr>
            <w:noProof/>
            <w:webHidden/>
          </w:rPr>
          <w:fldChar w:fldCharType="end"/>
        </w:r>
      </w:hyperlink>
    </w:p>
    <w:p w:rsidR="002016F1" w:rsidRDefault="008F124C">
      <w:pPr>
        <w:pStyle w:val="TableofFigures"/>
        <w:tabs>
          <w:tab w:val="right" w:leader="dot" w:pos="9016"/>
        </w:tabs>
        <w:rPr>
          <w:noProof/>
        </w:rPr>
      </w:pPr>
      <w:hyperlink w:anchor="_Toc495848407" w:history="1">
        <w:r w:rsidR="002016F1" w:rsidRPr="00820DD7">
          <w:rPr>
            <w:rStyle w:val="Hyperlink"/>
            <w:rFonts w:ascii="Times New Roman" w:hAnsi="Times New Roman" w:cs="Times New Roman"/>
            <w:noProof/>
          </w:rPr>
          <w:t xml:space="preserve">Figure 74. </w:t>
        </w:r>
        <w:r w:rsidR="002016F1" w:rsidRPr="00820DD7">
          <w:rPr>
            <w:rStyle w:val="Hyperlink"/>
            <w:rFonts w:ascii="Times New Roman" w:eastAsia="Calibri" w:hAnsi="Times New Roman" w:cs="Times New Roman"/>
            <w:noProof/>
          </w:rPr>
          <w:t>GaBi model of HC ferromanganese (77% Mn, high carbon) (thinkStep 2015)</w:t>
        </w:r>
        <w:r w:rsidR="002016F1">
          <w:rPr>
            <w:noProof/>
            <w:webHidden/>
          </w:rPr>
          <w:tab/>
        </w:r>
        <w:r w:rsidR="002016F1">
          <w:rPr>
            <w:noProof/>
            <w:webHidden/>
          </w:rPr>
          <w:fldChar w:fldCharType="begin"/>
        </w:r>
        <w:r w:rsidR="002016F1">
          <w:rPr>
            <w:noProof/>
            <w:webHidden/>
          </w:rPr>
          <w:instrText xml:space="preserve"> PAGEREF _Toc495848407 \h </w:instrText>
        </w:r>
        <w:r w:rsidR="002016F1">
          <w:rPr>
            <w:noProof/>
            <w:webHidden/>
          </w:rPr>
        </w:r>
        <w:r w:rsidR="002016F1">
          <w:rPr>
            <w:noProof/>
            <w:webHidden/>
          </w:rPr>
          <w:fldChar w:fldCharType="separate"/>
        </w:r>
        <w:r w:rsidR="009F5483">
          <w:rPr>
            <w:noProof/>
            <w:webHidden/>
          </w:rPr>
          <w:t>215</w:t>
        </w:r>
        <w:r w:rsidR="002016F1">
          <w:rPr>
            <w:noProof/>
            <w:webHidden/>
          </w:rPr>
          <w:fldChar w:fldCharType="end"/>
        </w:r>
      </w:hyperlink>
    </w:p>
    <w:p w:rsidR="002016F1" w:rsidRDefault="008F124C">
      <w:pPr>
        <w:pStyle w:val="TableofFigures"/>
        <w:tabs>
          <w:tab w:val="right" w:leader="dot" w:pos="9016"/>
        </w:tabs>
        <w:rPr>
          <w:noProof/>
        </w:rPr>
      </w:pPr>
      <w:hyperlink w:anchor="_Toc495848408" w:history="1">
        <w:r w:rsidR="002016F1" w:rsidRPr="00820DD7">
          <w:rPr>
            <w:rStyle w:val="Hyperlink"/>
            <w:rFonts w:ascii="Times New Roman" w:hAnsi="Times New Roman" w:cs="Times New Roman"/>
            <w:noProof/>
          </w:rPr>
          <w:t xml:space="preserve">Figure 75. </w:t>
        </w:r>
        <w:r w:rsidR="002016F1" w:rsidRPr="00820DD7">
          <w:rPr>
            <w:rStyle w:val="Hyperlink"/>
            <w:rFonts w:ascii="Times New Roman" w:eastAsia="Calibri" w:hAnsi="Times New Roman" w:cs="Times New Roman"/>
            <w:noProof/>
          </w:rPr>
          <w:t>GaBi model of LC ferromanganese (90% Mn, low carbon) (thinkStep 2015).</w:t>
        </w:r>
        <w:r w:rsidR="002016F1">
          <w:rPr>
            <w:noProof/>
            <w:webHidden/>
          </w:rPr>
          <w:tab/>
        </w:r>
        <w:r w:rsidR="002016F1">
          <w:rPr>
            <w:noProof/>
            <w:webHidden/>
          </w:rPr>
          <w:fldChar w:fldCharType="begin"/>
        </w:r>
        <w:r w:rsidR="002016F1">
          <w:rPr>
            <w:noProof/>
            <w:webHidden/>
          </w:rPr>
          <w:instrText xml:space="preserve"> PAGEREF _Toc495848408 \h </w:instrText>
        </w:r>
        <w:r w:rsidR="002016F1">
          <w:rPr>
            <w:noProof/>
            <w:webHidden/>
          </w:rPr>
        </w:r>
        <w:r w:rsidR="002016F1">
          <w:rPr>
            <w:noProof/>
            <w:webHidden/>
          </w:rPr>
          <w:fldChar w:fldCharType="separate"/>
        </w:r>
        <w:r w:rsidR="009F5483">
          <w:rPr>
            <w:noProof/>
            <w:webHidden/>
          </w:rPr>
          <w:t>216</w:t>
        </w:r>
        <w:r w:rsidR="002016F1">
          <w:rPr>
            <w:noProof/>
            <w:webHidden/>
          </w:rPr>
          <w:fldChar w:fldCharType="end"/>
        </w:r>
      </w:hyperlink>
    </w:p>
    <w:p w:rsidR="002016F1" w:rsidRDefault="008F124C">
      <w:pPr>
        <w:pStyle w:val="TableofFigures"/>
        <w:tabs>
          <w:tab w:val="right" w:leader="dot" w:pos="9016"/>
        </w:tabs>
        <w:rPr>
          <w:noProof/>
        </w:rPr>
      </w:pPr>
      <w:hyperlink w:anchor="_Toc495848409" w:history="1">
        <w:r w:rsidR="002016F1" w:rsidRPr="00820DD7">
          <w:rPr>
            <w:rStyle w:val="Hyperlink"/>
            <w:rFonts w:ascii="Times New Roman" w:hAnsi="Times New Roman" w:cs="Times New Roman"/>
            <w:noProof/>
          </w:rPr>
          <w:t xml:space="preserve">Figure 76. </w:t>
        </w:r>
        <w:r w:rsidR="002016F1" w:rsidRPr="00820DD7">
          <w:rPr>
            <w:rStyle w:val="Hyperlink"/>
            <w:rFonts w:ascii="Times New Roman" w:eastAsia="Calibri" w:hAnsi="Times New Roman" w:cs="Times New Roman"/>
            <w:noProof/>
          </w:rPr>
          <w:t>Illustration of inputs to create ferromolybdenum from data source IMOA.</w:t>
        </w:r>
        <w:r w:rsidR="002016F1">
          <w:rPr>
            <w:noProof/>
            <w:webHidden/>
          </w:rPr>
          <w:tab/>
        </w:r>
        <w:r w:rsidR="002016F1">
          <w:rPr>
            <w:noProof/>
            <w:webHidden/>
          </w:rPr>
          <w:fldChar w:fldCharType="begin"/>
        </w:r>
        <w:r w:rsidR="002016F1">
          <w:rPr>
            <w:noProof/>
            <w:webHidden/>
          </w:rPr>
          <w:instrText xml:space="preserve"> PAGEREF _Toc495848409 \h </w:instrText>
        </w:r>
        <w:r w:rsidR="002016F1">
          <w:rPr>
            <w:noProof/>
            <w:webHidden/>
          </w:rPr>
        </w:r>
        <w:r w:rsidR="002016F1">
          <w:rPr>
            <w:noProof/>
            <w:webHidden/>
          </w:rPr>
          <w:fldChar w:fldCharType="separate"/>
        </w:r>
        <w:r w:rsidR="009F5483">
          <w:rPr>
            <w:noProof/>
            <w:webHidden/>
          </w:rPr>
          <w:t>219</w:t>
        </w:r>
        <w:r w:rsidR="002016F1">
          <w:rPr>
            <w:noProof/>
            <w:webHidden/>
          </w:rPr>
          <w:fldChar w:fldCharType="end"/>
        </w:r>
      </w:hyperlink>
    </w:p>
    <w:p w:rsidR="002016F1" w:rsidRDefault="008F124C">
      <w:pPr>
        <w:pStyle w:val="TableofFigures"/>
        <w:tabs>
          <w:tab w:val="right" w:leader="dot" w:pos="9016"/>
        </w:tabs>
        <w:rPr>
          <w:noProof/>
        </w:rPr>
      </w:pPr>
      <w:hyperlink w:anchor="_Toc495848410" w:history="1">
        <w:r w:rsidR="002016F1" w:rsidRPr="00820DD7">
          <w:rPr>
            <w:rStyle w:val="Hyperlink"/>
            <w:rFonts w:ascii="Times New Roman" w:hAnsi="Times New Roman" w:cs="Times New Roman"/>
            <w:noProof/>
          </w:rPr>
          <w:t xml:space="preserve">Figure 77. </w:t>
        </w:r>
        <w:r w:rsidR="002016F1" w:rsidRPr="00820DD7">
          <w:rPr>
            <w:rStyle w:val="Hyperlink"/>
            <w:rFonts w:ascii="Times New Roman" w:eastAsia="Calibri" w:hAnsi="Times New Roman" w:cs="Times New Roman"/>
            <w:noProof/>
          </w:rPr>
          <w:t>Global ferronickel model.</w:t>
        </w:r>
        <w:r w:rsidR="002016F1">
          <w:rPr>
            <w:noProof/>
            <w:webHidden/>
          </w:rPr>
          <w:tab/>
        </w:r>
        <w:r w:rsidR="002016F1">
          <w:rPr>
            <w:noProof/>
            <w:webHidden/>
          </w:rPr>
          <w:fldChar w:fldCharType="begin"/>
        </w:r>
        <w:r w:rsidR="002016F1">
          <w:rPr>
            <w:noProof/>
            <w:webHidden/>
          </w:rPr>
          <w:instrText xml:space="preserve"> PAGEREF _Toc495848410 \h </w:instrText>
        </w:r>
        <w:r w:rsidR="002016F1">
          <w:rPr>
            <w:noProof/>
            <w:webHidden/>
          </w:rPr>
        </w:r>
        <w:r w:rsidR="002016F1">
          <w:rPr>
            <w:noProof/>
            <w:webHidden/>
          </w:rPr>
          <w:fldChar w:fldCharType="separate"/>
        </w:r>
        <w:r w:rsidR="009F5483">
          <w:rPr>
            <w:noProof/>
            <w:webHidden/>
          </w:rPr>
          <w:t>221</w:t>
        </w:r>
        <w:r w:rsidR="002016F1">
          <w:rPr>
            <w:noProof/>
            <w:webHidden/>
          </w:rPr>
          <w:fldChar w:fldCharType="end"/>
        </w:r>
      </w:hyperlink>
    </w:p>
    <w:p w:rsidR="002016F1" w:rsidRDefault="008F124C">
      <w:pPr>
        <w:pStyle w:val="TableofFigures"/>
        <w:tabs>
          <w:tab w:val="right" w:leader="dot" w:pos="9016"/>
        </w:tabs>
        <w:rPr>
          <w:noProof/>
        </w:rPr>
      </w:pPr>
      <w:hyperlink w:anchor="_Toc495848411" w:history="1">
        <w:r w:rsidR="002016F1" w:rsidRPr="00820DD7">
          <w:rPr>
            <w:rStyle w:val="Hyperlink"/>
            <w:rFonts w:ascii="Times New Roman" w:hAnsi="Times New Roman" w:cs="Times New Roman"/>
            <w:noProof/>
          </w:rPr>
          <w:t xml:space="preserve">Figure 78. </w:t>
        </w:r>
        <w:r w:rsidR="002016F1" w:rsidRPr="00820DD7">
          <w:rPr>
            <w:rStyle w:val="Hyperlink"/>
            <w:rFonts w:ascii="Times New Roman" w:eastAsia="Calibri" w:hAnsi="Times New Roman" w:cs="Times New Roman"/>
            <w:noProof/>
          </w:rPr>
          <w:t>GaBi ferronickel model (thinkStep 2015).</w:t>
        </w:r>
        <w:r w:rsidR="002016F1">
          <w:rPr>
            <w:noProof/>
            <w:webHidden/>
          </w:rPr>
          <w:tab/>
        </w:r>
        <w:r w:rsidR="002016F1">
          <w:rPr>
            <w:noProof/>
            <w:webHidden/>
          </w:rPr>
          <w:fldChar w:fldCharType="begin"/>
        </w:r>
        <w:r w:rsidR="002016F1">
          <w:rPr>
            <w:noProof/>
            <w:webHidden/>
          </w:rPr>
          <w:instrText xml:space="preserve"> PAGEREF _Toc495848411 \h </w:instrText>
        </w:r>
        <w:r w:rsidR="002016F1">
          <w:rPr>
            <w:noProof/>
            <w:webHidden/>
          </w:rPr>
        </w:r>
        <w:r w:rsidR="002016F1">
          <w:rPr>
            <w:noProof/>
            <w:webHidden/>
          </w:rPr>
          <w:fldChar w:fldCharType="separate"/>
        </w:r>
        <w:r w:rsidR="009F5483">
          <w:rPr>
            <w:noProof/>
            <w:webHidden/>
          </w:rPr>
          <w:t>222</w:t>
        </w:r>
        <w:r w:rsidR="002016F1">
          <w:rPr>
            <w:noProof/>
            <w:webHidden/>
          </w:rPr>
          <w:fldChar w:fldCharType="end"/>
        </w:r>
      </w:hyperlink>
    </w:p>
    <w:p w:rsidR="002016F1" w:rsidRDefault="008F124C">
      <w:pPr>
        <w:pStyle w:val="TableofFigures"/>
        <w:tabs>
          <w:tab w:val="right" w:leader="dot" w:pos="9016"/>
        </w:tabs>
        <w:rPr>
          <w:noProof/>
        </w:rPr>
      </w:pPr>
      <w:hyperlink w:anchor="_Toc495848412" w:history="1">
        <w:r w:rsidR="002016F1" w:rsidRPr="00820DD7">
          <w:rPr>
            <w:rStyle w:val="Hyperlink"/>
            <w:rFonts w:ascii="Times New Roman" w:hAnsi="Times New Roman" w:cs="Times New Roman"/>
            <w:noProof/>
          </w:rPr>
          <w:t xml:space="preserve">Figure 79. </w:t>
        </w:r>
        <w:r w:rsidR="002016F1" w:rsidRPr="00820DD7">
          <w:rPr>
            <w:rStyle w:val="Hyperlink"/>
            <w:rFonts w:ascii="Times New Roman" w:eastAsia="Calibri" w:hAnsi="Times New Roman" w:cs="Times New Roman"/>
            <w:noProof/>
          </w:rPr>
          <w:t>Ferronickel model based on Eurometaux data.</w:t>
        </w:r>
        <w:r w:rsidR="002016F1">
          <w:rPr>
            <w:noProof/>
            <w:webHidden/>
          </w:rPr>
          <w:tab/>
        </w:r>
        <w:r w:rsidR="002016F1">
          <w:rPr>
            <w:noProof/>
            <w:webHidden/>
          </w:rPr>
          <w:fldChar w:fldCharType="begin"/>
        </w:r>
        <w:r w:rsidR="002016F1">
          <w:rPr>
            <w:noProof/>
            <w:webHidden/>
          </w:rPr>
          <w:instrText xml:space="preserve"> PAGEREF _Toc495848412 \h </w:instrText>
        </w:r>
        <w:r w:rsidR="002016F1">
          <w:rPr>
            <w:noProof/>
            <w:webHidden/>
          </w:rPr>
        </w:r>
        <w:r w:rsidR="002016F1">
          <w:rPr>
            <w:noProof/>
            <w:webHidden/>
          </w:rPr>
          <w:fldChar w:fldCharType="separate"/>
        </w:r>
        <w:r w:rsidR="009F5483">
          <w:rPr>
            <w:noProof/>
            <w:webHidden/>
          </w:rPr>
          <w:t>222</w:t>
        </w:r>
        <w:r w:rsidR="002016F1">
          <w:rPr>
            <w:noProof/>
            <w:webHidden/>
          </w:rPr>
          <w:fldChar w:fldCharType="end"/>
        </w:r>
      </w:hyperlink>
    </w:p>
    <w:p w:rsidR="002016F1" w:rsidRDefault="008F124C">
      <w:pPr>
        <w:pStyle w:val="TableofFigures"/>
        <w:tabs>
          <w:tab w:val="right" w:leader="dot" w:pos="9016"/>
        </w:tabs>
        <w:rPr>
          <w:noProof/>
        </w:rPr>
      </w:pPr>
      <w:hyperlink w:anchor="_Toc495848413" w:history="1">
        <w:r w:rsidR="002016F1" w:rsidRPr="00820DD7">
          <w:rPr>
            <w:rStyle w:val="Hyperlink"/>
            <w:rFonts w:ascii="Times New Roman" w:hAnsi="Times New Roman" w:cs="Times New Roman"/>
            <w:noProof/>
          </w:rPr>
          <w:t xml:space="preserve">Figure 80. </w:t>
        </w:r>
        <w:r w:rsidR="002016F1" w:rsidRPr="00820DD7">
          <w:rPr>
            <w:rStyle w:val="Hyperlink"/>
            <w:rFonts w:ascii="Times New Roman" w:eastAsia="Calibri" w:hAnsi="Times New Roman" w:cs="Times New Roman"/>
            <w:noProof/>
          </w:rPr>
          <w:t>Fe-Nb production from data source Gasik.</w:t>
        </w:r>
        <w:r w:rsidR="002016F1">
          <w:rPr>
            <w:noProof/>
            <w:webHidden/>
          </w:rPr>
          <w:tab/>
        </w:r>
        <w:r w:rsidR="002016F1">
          <w:rPr>
            <w:noProof/>
            <w:webHidden/>
          </w:rPr>
          <w:fldChar w:fldCharType="begin"/>
        </w:r>
        <w:r w:rsidR="002016F1">
          <w:rPr>
            <w:noProof/>
            <w:webHidden/>
          </w:rPr>
          <w:instrText xml:space="preserve"> PAGEREF _Toc495848413 \h </w:instrText>
        </w:r>
        <w:r w:rsidR="002016F1">
          <w:rPr>
            <w:noProof/>
            <w:webHidden/>
          </w:rPr>
        </w:r>
        <w:r w:rsidR="002016F1">
          <w:rPr>
            <w:noProof/>
            <w:webHidden/>
          </w:rPr>
          <w:fldChar w:fldCharType="separate"/>
        </w:r>
        <w:r w:rsidR="009F5483">
          <w:rPr>
            <w:noProof/>
            <w:webHidden/>
          </w:rPr>
          <w:t>226</w:t>
        </w:r>
        <w:r w:rsidR="002016F1">
          <w:rPr>
            <w:noProof/>
            <w:webHidden/>
          </w:rPr>
          <w:fldChar w:fldCharType="end"/>
        </w:r>
      </w:hyperlink>
    </w:p>
    <w:p w:rsidR="002016F1" w:rsidRDefault="008F124C">
      <w:pPr>
        <w:pStyle w:val="TableofFigures"/>
        <w:tabs>
          <w:tab w:val="right" w:leader="dot" w:pos="9016"/>
        </w:tabs>
        <w:rPr>
          <w:noProof/>
        </w:rPr>
      </w:pPr>
      <w:hyperlink w:anchor="_Toc495848414" w:history="1">
        <w:r w:rsidR="002016F1" w:rsidRPr="00820DD7">
          <w:rPr>
            <w:rStyle w:val="Hyperlink"/>
            <w:rFonts w:ascii="Times New Roman" w:hAnsi="Times New Roman" w:cs="Times New Roman"/>
            <w:noProof/>
          </w:rPr>
          <w:t xml:space="preserve">Figure 81. </w:t>
        </w:r>
        <w:r w:rsidR="002016F1" w:rsidRPr="00820DD7">
          <w:rPr>
            <w:rStyle w:val="Hyperlink"/>
            <w:rFonts w:ascii="Times New Roman" w:eastAsia="Calibri" w:hAnsi="Times New Roman" w:cs="Times New Roman"/>
            <w:noProof/>
          </w:rPr>
          <w:t>Ferroniobium production from data source Nuss.</w:t>
        </w:r>
        <w:r w:rsidR="002016F1">
          <w:rPr>
            <w:noProof/>
            <w:webHidden/>
          </w:rPr>
          <w:tab/>
        </w:r>
        <w:r w:rsidR="002016F1">
          <w:rPr>
            <w:noProof/>
            <w:webHidden/>
          </w:rPr>
          <w:fldChar w:fldCharType="begin"/>
        </w:r>
        <w:r w:rsidR="002016F1">
          <w:rPr>
            <w:noProof/>
            <w:webHidden/>
          </w:rPr>
          <w:instrText xml:space="preserve"> PAGEREF _Toc495848414 \h </w:instrText>
        </w:r>
        <w:r w:rsidR="002016F1">
          <w:rPr>
            <w:noProof/>
            <w:webHidden/>
          </w:rPr>
        </w:r>
        <w:r w:rsidR="002016F1">
          <w:rPr>
            <w:noProof/>
            <w:webHidden/>
          </w:rPr>
          <w:fldChar w:fldCharType="separate"/>
        </w:r>
        <w:r w:rsidR="009F5483">
          <w:rPr>
            <w:noProof/>
            <w:webHidden/>
          </w:rPr>
          <w:t>227</w:t>
        </w:r>
        <w:r w:rsidR="002016F1">
          <w:rPr>
            <w:noProof/>
            <w:webHidden/>
          </w:rPr>
          <w:fldChar w:fldCharType="end"/>
        </w:r>
      </w:hyperlink>
    </w:p>
    <w:p w:rsidR="002016F1" w:rsidRDefault="008F124C">
      <w:pPr>
        <w:pStyle w:val="TableofFigures"/>
        <w:tabs>
          <w:tab w:val="right" w:leader="dot" w:pos="9016"/>
        </w:tabs>
        <w:rPr>
          <w:noProof/>
        </w:rPr>
      </w:pPr>
      <w:hyperlink w:anchor="_Toc495848415" w:history="1">
        <w:r w:rsidR="002016F1" w:rsidRPr="00820DD7">
          <w:rPr>
            <w:rStyle w:val="Hyperlink"/>
            <w:rFonts w:ascii="Times New Roman" w:hAnsi="Times New Roman" w:cs="Times New Roman"/>
            <w:noProof/>
          </w:rPr>
          <w:t xml:space="preserve">Figure 82. </w:t>
        </w:r>
        <w:r w:rsidR="002016F1" w:rsidRPr="00820DD7">
          <w:rPr>
            <w:rStyle w:val="Hyperlink"/>
            <w:rFonts w:ascii="Times New Roman" w:eastAsia="Calibri" w:hAnsi="Times New Roman" w:cs="Times New Roman"/>
            <w:noProof/>
          </w:rPr>
          <w:t>Schematic of ferrosilicon production (Haque &amp; Norgate 2013).</w:t>
        </w:r>
        <w:r w:rsidR="002016F1">
          <w:rPr>
            <w:noProof/>
            <w:webHidden/>
          </w:rPr>
          <w:tab/>
        </w:r>
        <w:r w:rsidR="002016F1">
          <w:rPr>
            <w:noProof/>
            <w:webHidden/>
          </w:rPr>
          <w:fldChar w:fldCharType="begin"/>
        </w:r>
        <w:r w:rsidR="002016F1">
          <w:rPr>
            <w:noProof/>
            <w:webHidden/>
          </w:rPr>
          <w:instrText xml:space="preserve"> PAGEREF _Toc495848415 \h </w:instrText>
        </w:r>
        <w:r w:rsidR="002016F1">
          <w:rPr>
            <w:noProof/>
            <w:webHidden/>
          </w:rPr>
        </w:r>
        <w:r w:rsidR="002016F1">
          <w:rPr>
            <w:noProof/>
            <w:webHidden/>
          </w:rPr>
          <w:fldChar w:fldCharType="separate"/>
        </w:r>
        <w:r w:rsidR="009F5483">
          <w:rPr>
            <w:noProof/>
            <w:webHidden/>
          </w:rPr>
          <w:t>228</w:t>
        </w:r>
        <w:r w:rsidR="002016F1">
          <w:rPr>
            <w:noProof/>
            <w:webHidden/>
          </w:rPr>
          <w:fldChar w:fldCharType="end"/>
        </w:r>
      </w:hyperlink>
    </w:p>
    <w:p w:rsidR="002016F1" w:rsidRDefault="008F124C">
      <w:pPr>
        <w:pStyle w:val="TableofFigures"/>
        <w:tabs>
          <w:tab w:val="right" w:leader="dot" w:pos="9016"/>
        </w:tabs>
        <w:rPr>
          <w:noProof/>
        </w:rPr>
      </w:pPr>
      <w:hyperlink w:anchor="_Toc495848416" w:history="1">
        <w:r w:rsidR="002016F1" w:rsidRPr="00820DD7">
          <w:rPr>
            <w:rStyle w:val="Hyperlink"/>
            <w:rFonts w:ascii="Times New Roman" w:hAnsi="Times New Roman" w:cs="Times New Roman"/>
            <w:noProof/>
          </w:rPr>
          <w:t xml:space="preserve">Figure 83. </w:t>
        </w:r>
        <w:r w:rsidR="002016F1" w:rsidRPr="00820DD7">
          <w:rPr>
            <w:rStyle w:val="Hyperlink"/>
            <w:rFonts w:ascii="Times New Roman" w:eastAsia="Calibri" w:hAnsi="Times New Roman" w:cs="Times New Roman"/>
            <w:noProof/>
          </w:rPr>
          <w:t>Global ferrosilicon model.</w:t>
        </w:r>
        <w:r w:rsidR="002016F1">
          <w:rPr>
            <w:noProof/>
            <w:webHidden/>
          </w:rPr>
          <w:tab/>
        </w:r>
        <w:r w:rsidR="002016F1">
          <w:rPr>
            <w:noProof/>
            <w:webHidden/>
          </w:rPr>
          <w:fldChar w:fldCharType="begin"/>
        </w:r>
        <w:r w:rsidR="002016F1">
          <w:rPr>
            <w:noProof/>
            <w:webHidden/>
          </w:rPr>
          <w:instrText xml:space="preserve"> PAGEREF _Toc495848416 \h </w:instrText>
        </w:r>
        <w:r w:rsidR="002016F1">
          <w:rPr>
            <w:noProof/>
            <w:webHidden/>
          </w:rPr>
        </w:r>
        <w:r w:rsidR="002016F1">
          <w:rPr>
            <w:noProof/>
            <w:webHidden/>
          </w:rPr>
          <w:fldChar w:fldCharType="separate"/>
        </w:r>
        <w:r w:rsidR="009F5483">
          <w:rPr>
            <w:noProof/>
            <w:webHidden/>
          </w:rPr>
          <w:t>229</w:t>
        </w:r>
        <w:r w:rsidR="002016F1">
          <w:rPr>
            <w:noProof/>
            <w:webHidden/>
          </w:rPr>
          <w:fldChar w:fldCharType="end"/>
        </w:r>
      </w:hyperlink>
    </w:p>
    <w:p w:rsidR="002016F1" w:rsidRDefault="008F124C">
      <w:pPr>
        <w:pStyle w:val="TableofFigures"/>
        <w:tabs>
          <w:tab w:val="right" w:leader="dot" w:pos="9016"/>
        </w:tabs>
        <w:rPr>
          <w:noProof/>
        </w:rPr>
      </w:pPr>
      <w:hyperlink w:anchor="_Toc495848417" w:history="1">
        <w:r w:rsidR="002016F1" w:rsidRPr="00820DD7">
          <w:rPr>
            <w:rStyle w:val="Hyperlink"/>
            <w:rFonts w:ascii="Times New Roman" w:hAnsi="Times New Roman" w:cs="Times New Roman"/>
            <w:noProof/>
          </w:rPr>
          <w:t xml:space="preserve">Figure 84. </w:t>
        </w:r>
        <w:r w:rsidR="002016F1" w:rsidRPr="00820DD7">
          <w:rPr>
            <w:rStyle w:val="Hyperlink"/>
            <w:rFonts w:ascii="Times New Roman" w:eastAsia="Calibri" w:hAnsi="Times New Roman" w:cs="Times New Roman"/>
            <w:noProof/>
          </w:rPr>
          <w:t>Ferrosilicon model utilising Eurometaux data.</w:t>
        </w:r>
        <w:r w:rsidR="002016F1">
          <w:rPr>
            <w:noProof/>
            <w:webHidden/>
          </w:rPr>
          <w:tab/>
        </w:r>
        <w:r w:rsidR="002016F1">
          <w:rPr>
            <w:noProof/>
            <w:webHidden/>
          </w:rPr>
          <w:fldChar w:fldCharType="begin"/>
        </w:r>
        <w:r w:rsidR="002016F1">
          <w:rPr>
            <w:noProof/>
            <w:webHidden/>
          </w:rPr>
          <w:instrText xml:space="preserve"> PAGEREF _Toc495848417 \h </w:instrText>
        </w:r>
        <w:r w:rsidR="002016F1">
          <w:rPr>
            <w:noProof/>
            <w:webHidden/>
          </w:rPr>
        </w:r>
        <w:r w:rsidR="002016F1">
          <w:rPr>
            <w:noProof/>
            <w:webHidden/>
          </w:rPr>
          <w:fldChar w:fldCharType="separate"/>
        </w:r>
        <w:r w:rsidR="009F5483">
          <w:rPr>
            <w:noProof/>
            <w:webHidden/>
          </w:rPr>
          <w:t>230</w:t>
        </w:r>
        <w:r w:rsidR="002016F1">
          <w:rPr>
            <w:noProof/>
            <w:webHidden/>
          </w:rPr>
          <w:fldChar w:fldCharType="end"/>
        </w:r>
      </w:hyperlink>
    </w:p>
    <w:p w:rsidR="002016F1" w:rsidRDefault="008F124C">
      <w:pPr>
        <w:pStyle w:val="TableofFigures"/>
        <w:tabs>
          <w:tab w:val="right" w:leader="dot" w:pos="9016"/>
        </w:tabs>
        <w:rPr>
          <w:noProof/>
        </w:rPr>
      </w:pPr>
      <w:hyperlink w:anchor="_Toc495848418" w:history="1">
        <w:r w:rsidR="002016F1" w:rsidRPr="00820DD7">
          <w:rPr>
            <w:rStyle w:val="Hyperlink"/>
            <w:rFonts w:ascii="Times New Roman" w:hAnsi="Times New Roman" w:cs="Times New Roman"/>
            <w:noProof/>
          </w:rPr>
          <w:t xml:space="preserve">Figure 85. </w:t>
        </w:r>
        <w:r w:rsidR="002016F1" w:rsidRPr="00820DD7">
          <w:rPr>
            <w:rStyle w:val="Hyperlink"/>
            <w:rFonts w:ascii="Times New Roman" w:eastAsia="Calibri" w:hAnsi="Times New Roman" w:cs="Times New Roman"/>
            <w:noProof/>
          </w:rPr>
          <w:t>Fe-Si model from data source Gasik.</w:t>
        </w:r>
        <w:r w:rsidR="002016F1">
          <w:rPr>
            <w:noProof/>
            <w:webHidden/>
          </w:rPr>
          <w:tab/>
        </w:r>
        <w:r w:rsidR="002016F1">
          <w:rPr>
            <w:noProof/>
            <w:webHidden/>
          </w:rPr>
          <w:fldChar w:fldCharType="begin"/>
        </w:r>
        <w:r w:rsidR="002016F1">
          <w:rPr>
            <w:noProof/>
            <w:webHidden/>
          </w:rPr>
          <w:instrText xml:space="preserve"> PAGEREF _Toc495848418 \h </w:instrText>
        </w:r>
        <w:r w:rsidR="002016F1">
          <w:rPr>
            <w:noProof/>
            <w:webHidden/>
          </w:rPr>
        </w:r>
        <w:r w:rsidR="002016F1">
          <w:rPr>
            <w:noProof/>
            <w:webHidden/>
          </w:rPr>
          <w:fldChar w:fldCharType="separate"/>
        </w:r>
        <w:r w:rsidR="009F5483">
          <w:rPr>
            <w:noProof/>
            <w:webHidden/>
          </w:rPr>
          <w:t>231</w:t>
        </w:r>
        <w:r w:rsidR="002016F1">
          <w:rPr>
            <w:noProof/>
            <w:webHidden/>
          </w:rPr>
          <w:fldChar w:fldCharType="end"/>
        </w:r>
      </w:hyperlink>
    </w:p>
    <w:p w:rsidR="002016F1" w:rsidRDefault="008F124C">
      <w:pPr>
        <w:pStyle w:val="TableofFigures"/>
        <w:tabs>
          <w:tab w:val="right" w:leader="dot" w:pos="9016"/>
        </w:tabs>
        <w:rPr>
          <w:noProof/>
        </w:rPr>
      </w:pPr>
      <w:hyperlink w:anchor="_Toc495848419" w:history="1">
        <w:r w:rsidR="002016F1" w:rsidRPr="00820DD7">
          <w:rPr>
            <w:rStyle w:val="Hyperlink"/>
            <w:rFonts w:ascii="Times New Roman" w:hAnsi="Times New Roman" w:cs="Times New Roman"/>
            <w:noProof/>
          </w:rPr>
          <w:t xml:space="preserve">Figure 86. </w:t>
        </w:r>
        <w:r w:rsidR="002016F1" w:rsidRPr="00820DD7">
          <w:rPr>
            <w:rStyle w:val="Hyperlink"/>
            <w:rFonts w:ascii="Times New Roman" w:eastAsia="Calibri" w:hAnsi="Times New Roman" w:cs="Times New Roman"/>
            <w:noProof/>
          </w:rPr>
          <w:t>GaBi model of ferrosilicon production (thinkStep 2015).</w:t>
        </w:r>
        <w:r w:rsidR="002016F1">
          <w:rPr>
            <w:noProof/>
            <w:webHidden/>
          </w:rPr>
          <w:tab/>
        </w:r>
        <w:r w:rsidR="002016F1">
          <w:rPr>
            <w:noProof/>
            <w:webHidden/>
          </w:rPr>
          <w:fldChar w:fldCharType="begin"/>
        </w:r>
        <w:r w:rsidR="002016F1">
          <w:rPr>
            <w:noProof/>
            <w:webHidden/>
          </w:rPr>
          <w:instrText xml:space="preserve"> PAGEREF _Toc495848419 \h </w:instrText>
        </w:r>
        <w:r w:rsidR="002016F1">
          <w:rPr>
            <w:noProof/>
            <w:webHidden/>
          </w:rPr>
        </w:r>
        <w:r w:rsidR="002016F1">
          <w:rPr>
            <w:noProof/>
            <w:webHidden/>
          </w:rPr>
          <w:fldChar w:fldCharType="separate"/>
        </w:r>
        <w:r w:rsidR="009F5483">
          <w:rPr>
            <w:noProof/>
            <w:webHidden/>
          </w:rPr>
          <w:t>231</w:t>
        </w:r>
        <w:r w:rsidR="002016F1">
          <w:rPr>
            <w:noProof/>
            <w:webHidden/>
          </w:rPr>
          <w:fldChar w:fldCharType="end"/>
        </w:r>
      </w:hyperlink>
    </w:p>
    <w:p w:rsidR="002016F1" w:rsidRDefault="008F124C">
      <w:pPr>
        <w:pStyle w:val="TableofFigures"/>
        <w:tabs>
          <w:tab w:val="right" w:leader="dot" w:pos="9016"/>
        </w:tabs>
        <w:rPr>
          <w:noProof/>
        </w:rPr>
      </w:pPr>
      <w:hyperlink w:anchor="_Toc495848420" w:history="1">
        <w:r w:rsidR="002016F1" w:rsidRPr="00820DD7">
          <w:rPr>
            <w:rStyle w:val="Hyperlink"/>
            <w:rFonts w:ascii="Times New Roman" w:hAnsi="Times New Roman" w:cs="Times New Roman"/>
            <w:noProof/>
          </w:rPr>
          <w:t xml:space="preserve">Figure 87. </w:t>
        </w:r>
        <w:r w:rsidR="002016F1" w:rsidRPr="00820DD7">
          <w:rPr>
            <w:rStyle w:val="Hyperlink"/>
            <w:rFonts w:ascii="Times New Roman" w:eastAsia="Calibri" w:hAnsi="Times New Roman" w:cs="Times New Roman"/>
            <w:noProof/>
          </w:rPr>
          <w:t>Ferrotitanium production via Gasik data source.</w:t>
        </w:r>
        <w:r w:rsidR="002016F1">
          <w:rPr>
            <w:noProof/>
            <w:webHidden/>
          </w:rPr>
          <w:tab/>
        </w:r>
        <w:r w:rsidR="002016F1">
          <w:rPr>
            <w:noProof/>
            <w:webHidden/>
          </w:rPr>
          <w:fldChar w:fldCharType="begin"/>
        </w:r>
        <w:r w:rsidR="002016F1">
          <w:rPr>
            <w:noProof/>
            <w:webHidden/>
          </w:rPr>
          <w:instrText xml:space="preserve"> PAGEREF _Toc495848420 \h </w:instrText>
        </w:r>
        <w:r w:rsidR="002016F1">
          <w:rPr>
            <w:noProof/>
            <w:webHidden/>
          </w:rPr>
        </w:r>
        <w:r w:rsidR="002016F1">
          <w:rPr>
            <w:noProof/>
            <w:webHidden/>
          </w:rPr>
          <w:fldChar w:fldCharType="separate"/>
        </w:r>
        <w:r w:rsidR="009F5483">
          <w:rPr>
            <w:noProof/>
            <w:webHidden/>
          </w:rPr>
          <w:t>232</w:t>
        </w:r>
        <w:r w:rsidR="002016F1">
          <w:rPr>
            <w:noProof/>
            <w:webHidden/>
          </w:rPr>
          <w:fldChar w:fldCharType="end"/>
        </w:r>
      </w:hyperlink>
    </w:p>
    <w:p w:rsidR="002016F1" w:rsidRDefault="008F124C">
      <w:pPr>
        <w:pStyle w:val="TableofFigures"/>
        <w:tabs>
          <w:tab w:val="right" w:leader="dot" w:pos="9016"/>
        </w:tabs>
        <w:rPr>
          <w:noProof/>
        </w:rPr>
      </w:pPr>
      <w:hyperlink w:anchor="_Toc495848421" w:history="1">
        <w:r w:rsidR="002016F1" w:rsidRPr="00820DD7">
          <w:rPr>
            <w:rStyle w:val="Hyperlink"/>
            <w:rFonts w:ascii="Times New Roman" w:hAnsi="Times New Roman" w:cs="Times New Roman"/>
            <w:noProof/>
          </w:rPr>
          <w:t xml:space="preserve">Figure 88. </w:t>
        </w:r>
        <w:r w:rsidR="002016F1" w:rsidRPr="00820DD7">
          <w:rPr>
            <w:rStyle w:val="Hyperlink"/>
            <w:rFonts w:ascii="Times New Roman" w:eastAsia="Calibri" w:hAnsi="Times New Roman" w:cs="Times New Roman"/>
            <w:noProof/>
          </w:rPr>
          <w:t>Ferrovanadium production by GaBi (thinkStep 2015).</w:t>
        </w:r>
        <w:r w:rsidR="002016F1">
          <w:rPr>
            <w:noProof/>
            <w:webHidden/>
          </w:rPr>
          <w:tab/>
        </w:r>
        <w:r w:rsidR="002016F1">
          <w:rPr>
            <w:noProof/>
            <w:webHidden/>
          </w:rPr>
          <w:fldChar w:fldCharType="begin"/>
        </w:r>
        <w:r w:rsidR="002016F1">
          <w:rPr>
            <w:noProof/>
            <w:webHidden/>
          </w:rPr>
          <w:instrText xml:space="preserve"> PAGEREF _Toc495848421 \h </w:instrText>
        </w:r>
        <w:r w:rsidR="002016F1">
          <w:rPr>
            <w:noProof/>
            <w:webHidden/>
          </w:rPr>
        </w:r>
        <w:r w:rsidR="002016F1">
          <w:rPr>
            <w:noProof/>
            <w:webHidden/>
          </w:rPr>
          <w:fldChar w:fldCharType="separate"/>
        </w:r>
        <w:r w:rsidR="009F5483">
          <w:rPr>
            <w:noProof/>
            <w:webHidden/>
          </w:rPr>
          <w:t>233</w:t>
        </w:r>
        <w:r w:rsidR="002016F1">
          <w:rPr>
            <w:noProof/>
            <w:webHidden/>
          </w:rPr>
          <w:fldChar w:fldCharType="end"/>
        </w:r>
      </w:hyperlink>
    </w:p>
    <w:p w:rsidR="002016F1" w:rsidRDefault="008F124C">
      <w:pPr>
        <w:pStyle w:val="TableofFigures"/>
        <w:tabs>
          <w:tab w:val="right" w:leader="dot" w:pos="9016"/>
        </w:tabs>
        <w:rPr>
          <w:noProof/>
        </w:rPr>
      </w:pPr>
      <w:hyperlink w:anchor="_Toc495848422" w:history="1">
        <w:r w:rsidR="002016F1" w:rsidRPr="00820DD7">
          <w:rPr>
            <w:rStyle w:val="Hyperlink"/>
            <w:rFonts w:ascii="Times New Roman" w:hAnsi="Times New Roman" w:cs="Times New Roman"/>
            <w:noProof/>
          </w:rPr>
          <w:t xml:space="preserve">Figure 89. </w:t>
        </w:r>
        <w:r w:rsidR="002016F1" w:rsidRPr="00820DD7">
          <w:rPr>
            <w:rStyle w:val="Hyperlink"/>
            <w:rFonts w:ascii="Times New Roman" w:eastAsia="Calibri" w:hAnsi="Times New Roman" w:cs="Times New Roman"/>
            <w:noProof/>
          </w:rPr>
          <w:t>Silicomanganese model utilising data from Haque.</w:t>
        </w:r>
        <w:r w:rsidR="002016F1">
          <w:rPr>
            <w:noProof/>
            <w:webHidden/>
          </w:rPr>
          <w:tab/>
        </w:r>
        <w:r w:rsidR="002016F1">
          <w:rPr>
            <w:noProof/>
            <w:webHidden/>
          </w:rPr>
          <w:fldChar w:fldCharType="begin"/>
        </w:r>
        <w:r w:rsidR="002016F1">
          <w:rPr>
            <w:noProof/>
            <w:webHidden/>
          </w:rPr>
          <w:instrText xml:space="preserve"> PAGEREF _Toc495848422 \h </w:instrText>
        </w:r>
        <w:r w:rsidR="002016F1">
          <w:rPr>
            <w:noProof/>
            <w:webHidden/>
          </w:rPr>
        </w:r>
        <w:r w:rsidR="002016F1">
          <w:rPr>
            <w:noProof/>
            <w:webHidden/>
          </w:rPr>
          <w:fldChar w:fldCharType="separate"/>
        </w:r>
        <w:r w:rsidR="009F5483">
          <w:rPr>
            <w:noProof/>
            <w:webHidden/>
          </w:rPr>
          <w:t>236</w:t>
        </w:r>
        <w:r w:rsidR="002016F1">
          <w:rPr>
            <w:noProof/>
            <w:webHidden/>
          </w:rPr>
          <w:fldChar w:fldCharType="end"/>
        </w:r>
      </w:hyperlink>
    </w:p>
    <w:p w:rsidR="002016F1" w:rsidRDefault="008F124C">
      <w:pPr>
        <w:pStyle w:val="TableofFigures"/>
        <w:tabs>
          <w:tab w:val="right" w:leader="dot" w:pos="9016"/>
        </w:tabs>
        <w:rPr>
          <w:noProof/>
        </w:rPr>
      </w:pPr>
      <w:hyperlink w:anchor="_Toc495848423" w:history="1">
        <w:r w:rsidR="002016F1" w:rsidRPr="00820DD7">
          <w:rPr>
            <w:rStyle w:val="Hyperlink"/>
            <w:rFonts w:ascii="Times New Roman" w:hAnsi="Times New Roman" w:cs="Times New Roman"/>
            <w:noProof/>
          </w:rPr>
          <w:t xml:space="preserve">Figure 90. </w:t>
        </w:r>
        <w:r w:rsidR="002016F1" w:rsidRPr="00820DD7">
          <w:rPr>
            <w:rStyle w:val="Hyperlink"/>
            <w:rFonts w:ascii="Times New Roman" w:eastAsia="Calibri" w:hAnsi="Times New Roman" w:cs="Times New Roman"/>
            <w:noProof/>
          </w:rPr>
          <w:t>Silicomanganese model from Eurometaux data.</w:t>
        </w:r>
        <w:r w:rsidR="002016F1">
          <w:rPr>
            <w:noProof/>
            <w:webHidden/>
          </w:rPr>
          <w:tab/>
        </w:r>
        <w:r w:rsidR="002016F1">
          <w:rPr>
            <w:noProof/>
            <w:webHidden/>
          </w:rPr>
          <w:fldChar w:fldCharType="begin"/>
        </w:r>
        <w:r w:rsidR="002016F1">
          <w:rPr>
            <w:noProof/>
            <w:webHidden/>
          </w:rPr>
          <w:instrText xml:space="preserve"> PAGEREF _Toc495848423 \h </w:instrText>
        </w:r>
        <w:r w:rsidR="002016F1">
          <w:rPr>
            <w:noProof/>
            <w:webHidden/>
          </w:rPr>
        </w:r>
        <w:r w:rsidR="002016F1">
          <w:rPr>
            <w:noProof/>
            <w:webHidden/>
          </w:rPr>
          <w:fldChar w:fldCharType="separate"/>
        </w:r>
        <w:r w:rsidR="009F5483">
          <w:rPr>
            <w:noProof/>
            <w:webHidden/>
          </w:rPr>
          <w:t>237</w:t>
        </w:r>
        <w:r w:rsidR="002016F1">
          <w:rPr>
            <w:noProof/>
            <w:webHidden/>
          </w:rPr>
          <w:fldChar w:fldCharType="end"/>
        </w:r>
      </w:hyperlink>
    </w:p>
    <w:p w:rsidR="003B4319" w:rsidRPr="00C126D3" w:rsidRDefault="009A0ED7" w:rsidP="006A62D1">
      <w:pPr>
        <w:spacing w:line="360" w:lineRule="auto"/>
        <w:rPr>
          <w:rFonts w:ascii="Times New Roman" w:eastAsia="Calibri" w:hAnsi="Times New Roman" w:cs="Times New Roman"/>
        </w:rPr>
        <w:sectPr w:rsidR="003B4319" w:rsidRPr="00C126D3">
          <w:pgSz w:w="11906" w:h="16838"/>
          <w:pgMar w:top="1440" w:right="1440" w:bottom="1440" w:left="1440" w:header="708" w:footer="708" w:gutter="0"/>
          <w:cols w:space="708"/>
          <w:docGrid w:linePitch="360"/>
        </w:sectPr>
      </w:pPr>
      <w:r w:rsidRPr="00C126D3">
        <w:rPr>
          <w:rFonts w:ascii="Times New Roman" w:eastAsia="Calibri" w:hAnsi="Times New Roman" w:cs="Times New Roman"/>
        </w:rPr>
        <w:fldChar w:fldCharType="end"/>
      </w:r>
    </w:p>
    <w:p w:rsidR="003D356E" w:rsidRDefault="006A62D1" w:rsidP="003D356E">
      <w:pPr>
        <w:pStyle w:val="Heading1"/>
        <w:spacing w:line="360" w:lineRule="auto"/>
        <w:rPr>
          <w:rFonts w:ascii="Times New Roman" w:eastAsia="Calibri" w:hAnsi="Times New Roman" w:cs="Times New Roman"/>
        </w:rPr>
      </w:pPr>
      <w:r w:rsidRPr="00D21FD4">
        <w:lastRenderedPageBreak/>
        <w:t>List of Tables</w:t>
      </w:r>
      <w:r w:rsidRPr="005B3139">
        <w:rPr>
          <w:rFonts w:ascii="Times New Roman" w:eastAsia="Calibri Light" w:hAnsi="Times New Roman" w:cs="Times New Roman"/>
          <w:sz w:val="22"/>
          <w:szCs w:val="22"/>
        </w:rPr>
        <w:t xml:space="preserve"> </w:t>
      </w:r>
    </w:p>
    <w:p w:rsidR="00817556" w:rsidRPr="008F124C" w:rsidRDefault="009A0ED7">
      <w:pPr>
        <w:pStyle w:val="TableofFigures"/>
        <w:tabs>
          <w:tab w:val="right" w:leader="dot" w:pos="9016"/>
        </w:tabs>
        <w:rPr>
          <w:rFonts w:ascii="Times New Roman" w:hAnsi="Times New Roman" w:cs="Times New Roman"/>
          <w:noProof/>
        </w:rPr>
      </w:pPr>
      <w:r w:rsidRPr="008F124C">
        <w:rPr>
          <w:rFonts w:ascii="Times New Roman" w:eastAsia="Calibri" w:hAnsi="Times New Roman" w:cs="Times New Roman"/>
        </w:rPr>
        <w:fldChar w:fldCharType="begin"/>
      </w:r>
      <w:r w:rsidR="00D21FD4" w:rsidRPr="008F124C">
        <w:rPr>
          <w:rFonts w:ascii="Times New Roman" w:eastAsia="Calibri" w:hAnsi="Times New Roman" w:cs="Times New Roman"/>
        </w:rPr>
        <w:instrText xml:space="preserve"> TOC \h \z \c "Table" </w:instrText>
      </w:r>
      <w:r w:rsidRPr="008F124C">
        <w:rPr>
          <w:rFonts w:ascii="Times New Roman" w:eastAsia="Calibri" w:hAnsi="Times New Roman" w:cs="Times New Roman"/>
        </w:rPr>
        <w:fldChar w:fldCharType="separate"/>
      </w:r>
      <w:hyperlink w:anchor="_Toc495852679" w:history="1">
        <w:r w:rsidR="00817556" w:rsidRPr="008F124C">
          <w:rPr>
            <w:rStyle w:val="Hyperlink"/>
            <w:rFonts w:ascii="Times New Roman" w:hAnsi="Times New Roman" w:cs="Times New Roman"/>
            <w:noProof/>
          </w:rPr>
          <w:t xml:space="preserve">Table 1. </w:t>
        </w:r>
        <w:r w:rsidR="00817556" w:rsidRPr="008F124C">
          <w:rPr>
            <w:rStyle w:val="Hyperlink"/>
            <w:rFonts w:ascii="Times New Roman" w:hAnsi="Times New Roman" w:cs="Times New Roman"/>
            <w:noProof/>
            <w:u w:val="none"/>
          </w:rPr>
          <w:t>Evaluation</w:t>
        </w:r>
        <w:r w:rsidR="00817556" w:rsidRPr="008F124C">
          <w:rPr>
            <w:rStyle w:val="Hyperlink"/>
            <w:rFonts w:ascii="Times New Roman" w:hAnsi="Times New Roman" w:cs="Times New Roman"/>
            <w:noProof/>
          </w:rPr>
          <w:t xml:space="preserve"> of importance to corporate strategy.</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_Toc495852679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37</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80" w:history="1">
        <w:r w:rsidR="00817556" w:rsidRPr="008F124C">
          <w:rPr>
            <w:rStyle w:val="Hyperlink"/>
            <w:rFonts w:ascii="Times New Roman" w:hAnsi="Times New Roman" w:cs="Times New Roman"/>
            <w:noProof/>
          </w:rPr>
          <w:t>Table 2. Overview of materials investigated of frequently discussed criticality studies.</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_Toc495852680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40</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81" w:history="1">
        <w:r w:rsidR="00817556" w:rsidRPr="008F124C">
          <w:rPr>
            <w:rStyle w:val="Hyperlink"/>
            <w:rFonts w:ascii="Times New Roman" w:hAnsi="Times New Roman" w:cs="Times New Roman"/>
            <w:noProof/>
          </w:rPr>
          <w:t>Table 3. Summary of elements of interest in this research, identified in the 2012 BGS risk list.</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_Toc495852681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41</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82" w:history="1">
        <w:r w:rsidR="00817556" w:rsidRPr="008F124C">
          <w:rPr>
            <w:rStyle w:val="Hyperlink"/>
            <w:rFonts w:ascii="Times New Roman" w:hAnsi="Times New Roman" w:cs="Times New Roman"/>
            <w:noProof/>
          </w:rPr>
          <w:t>Table 4. Summary of elemental models in terms of spatial flow and dissimilar geographical levels. (Chen &amp; Graedel 2012)</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_Toc495852682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42</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83" w:history="1">
        <w:r w:rsidR="00817556" w:rsidRPr="008F124C">
          <w:rPr>
            <w:rStyle w:val="Hyperlink"/>
            <w:rFonts w:ascii="Times New Roman" w:hAnsi="Times New Roman" w:cs="Times New Roman"/>
            <w:noProof/>
          </w:rPr>
          <w:t>Table 5. Summary of elements with different numbers of anthropogenic cycles. (Chen &amp; Graedel 2012)</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_Toc495852683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43</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84" w:history="1">
        <w:r w:rsidR="00817556" w:rsidRPr="008F124C">
          <w:rPr>
            <w:rStyle w:val="Hyperlink"/>
            <w:rFonts w:ascii="Times New Roman" w:hAnsi="Times New Roman" w:cs="Times New Roman"/>
            <w:noProof/>
          </w:rPr>
          <w:t>Table 6. Summary of the 4 principle literature sources used to investigate the 10 ferro-alloys of interest.</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_Toc495852684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53</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85" w:history="1">
        <w:r w:rsidR="00817556" w:rsidRPr="008F124C">
          <w:rPr>
            <w:rStyle w:val="Hyperlink"/>
            <w:rFonts w:ascii="Times New Roman" w:hAnsi="Times New Roman" w:cs="Times New Roman"/>
            <w:noProof/>
          </w:rPr>
          <w:t xml:space="preserve">Table 7. </w:t>
        </w:r>
        <w:r w:rsidR="00817556" w:rsidRPr="008F124C">
          <w:rPr>
            <w:rStyle w:val="Hyperlink"/>
            <w:rFonts w:ascii="Times New Roman" w:eastAsia="Calibri" w:hAnsi="Times New Roman" w:cs="Times New Roman"/>
            <w:noProof/>
          </w:rPr>
          <w:t>Input data utilised to create global steel Sankey diagram for the year 2008.</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_Toc495852685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59</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86" w:history="1">
        <w:r w:rsidR="00817556" w:rsidRPr="008F124C">
          <w:rPr>
            <w:rStyle w:val="Hyperlink"/>
            <w:rFonts w:ascii="Times New Roman" w:hAnsi="Times New Roman" w:cs="Times New Roman"/>
            <w:noProof/>
          </w:rPr>
          <w:t xml:space="preserve">Table 8. </w:t>
        </w:r>
        <w:r w:rsidR="00817556" w:rsidRPr="008F124C">
          <w:rPr>
            <w:rStyle w:val="Hyperlink"/>
            <w:rFonts w:ascii="Times New Roman" w:eastAsia="Calibri" w:hAnsi="Times New Roman" w:cs="Times New Roman"/>
            <w:noProof/>
          </w:rPr>
          <w:t>Input data utilised to create global chromium Sankey diagram for the year 2014.</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_Toc495852686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61</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87" w:history="1">
        <w:r w:rsidR="00817556" w:rsidRPr="008F124C">
          <w:rPr>
            <w:rStyle w:val="Hyperlink"/>
            <w:rFonts w:ascii="Times New Roman" w:hAnsi="Times New Roman" w:cs="Times New Roman"/>
            <w:noProof/>
          </w:rPr>
          <w:t xml:space="preserve">Table 9. </w:t>
        </w:r>
        <w:r w:rsidR="00817556" w:rsidRPr="008F124C">
          <w:rPr>
            <w:rStyle w:val="Hyperlink"/>
            <w:rFonts w:ascii="Times New Roman" w:eastAsia="Calibri" w:hAnsi="Times New Roman" w:cs="Times New Roman"/>
            <w:noProof/>
          </w:rPr>
          <w:t>Input data utilised to create global molybdenum Sankey diagram for the year 2014.</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_Toc495852687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63</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88" w:history="1">
        <w:r w:rsidR="00817556" w:rsidRPr="008F124C">
          <w:rPr>
            <w:rStyle w:val="Hyperlink"/>
            <w:rFonts w:ascii="Times New Roman" w:hAnsi="Times New Roman" w:cs="Times New Roman"/>
            <w:noProof/>
          </w:rPr>
          <w:t xml:space="preserve">Table 10. </w:t>
        </w:r>
        <w:r w:rsidR="00817556" w:rsidRPr="008F124C">
          <w:rPr>
            <w:rStyle w:val="Hyperlink"/>
            <w:rFonts w:ascii="Times New Roman" w:eastAsia="Calibri" w:hAnsi="Times New Roman" w:cs="Times New Roman"/>
            <w:noProof/>
          </w:rPr>
          <w:t>Input data utilised to create global niobium Sankey diagram for the year 2013.</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_Toc495852688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66</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89" w:history="1">
        <w:r w:rsidR="00817556" w:rsidRPr="008F124C">
          <w:rPr>
            <w:rStyle w:val="Hyperlink"/>
            <w:rFonts w:ascii="Times New Roman" w:hAnsi="Times New Roman" w:cs="Times New Roman"/>
            <w:noProof/>
          </w:rPr>
          <w:t xml:space="preserve">Table 11. </w:t>
        </w:r>
        <w:r w:rsidR="00817556" w:rsidRPr="008F124C">
          <w:rPr>
            <w:rStyle w:val="Hyperlink"/>
            <w:rFonts w:ascii="Times New Roman" w:eastAsia="Calibri" w:hAnsi="Times New Roman" w:cs="Times New Roman"/>
            <w:noProof/>
          </w:rPr>
          <w:t>Input data utilised to create global vanadium Sankey diagram for the year 2014.</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_Toc495852689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68</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90" w:history="1">
        <w:r w:rsidR="00817556" w:rsidRPr="008F124C">
          <w:rPr>
            <w:rStyle w:val="Hyperlink"/>
            <w:rFonts w:ascii="Times New Roman" w:hAnsi="Times New Roman" w:cs="Times New Roman"/>
            <w:noProof/>
          </w:rPr>
          <w:t xml:space="preserve">Table 12. </w:t>
        </w:r>
        <w:r w:rsidR="00817556" w:rsidRPr="008F124C">
          <w:rPr>
            <w:rStyle w:val="Hyperlink"/>
            <w:rFonts w:ascii="Times New Roman" w:eastAsia="Calibri" w:hAnsi="Times New Roman" w:cs="Times New Roman"/>
            <w:noProof/>
          </w:rPr>
          <w:t>Literature values on global Fe-Cr production in 2012. (N/A = not available).</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_Toc495852690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71</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91" w:history="1">
        <w:r w:rsidR="00817556" w:rsidRPr="008F124C">
          <w:rPr>
            <w:rStyle w:val="Hyperlink"/>
            <w:rFonts w:ascii="Times New Roman" w:hAnsi="Times New Roman" w:cs="Times New Roman"/>
            <w:noProof/>
          </w:rPr>
          <w:t xml:space="preserve">Table 13. </w:t>
        </w:r>
        <w:r w:rsidR="00817556" w:rsidRPr="008F124C">
          <w:rPr>
            <w:rStyle w:val="Hyperlink"/>
            <w:rFonts w:ascii="Times New Roman" w:eastAsia="Calibri" w:hAnsi="Times New Roman" w:cs="Times New Roman"/>
            <w:noProof/>
          </w:rPr>
          <w:t>Top three global Fe-Mn producers in 2011 according to (Bedinger et al. 2015).</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_Toc495852691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72</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92" w:history="1">
        <w:r w:rsidR="00817556" w:rsidRPr="008F124C">
          <w:rPr>
            <w:rStyle w:val="Hyperlink"/>
            <w:rFonts w:ascii="Times New Roman" w:hAnsi="Times New Roman" w:cs="Times New Roman"/>
            <w:noProof/>
          </w:rPr>
          <w:t>Table 14 Top three global HC Fe-Mn and refined manganese producers in 2011 according to (IMnI 2011).</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_Toc495852692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72</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93" w:history="1">
        <w:r w:rsidR="00817556" w:rsidRPr="008F124C">
          <w:rPr>
            <w:rStyle w:val="Hyperlink"/>
            <w:rFonts w:ascii="Times New Roman" w:hAnsi="Times New Roman" w:cs="Times New Roman"/>
            <w:noProof/>
          </w:rPr>
          <w:t xml:space="preserve">Table 15. </w:t>
        </w:r>
        <w:r w:rsidR="00817556" w:rsidRPr="008F124C">
          <w:rPr>
            <w:rStyle w:val="Hyperlink"/>
            <w:rFonts w:ascii="Times New Roman" w:eastAsia="Calibri" w:hAnsi="Times New Roman" w:cs="Times New Roman"/>
            <w:noProof/>
          </w:rPr>
          <w:t>Top three global Fe-Ni producers in 2011 according to (Bedinger et al. 2015).</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_Toc495852693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73</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94" w:history="1">
        <w:r w:rsidR="00817556" w:rsidRPr="008F124C">
          <w:rPr>
            <w:rStyle w:val="Hyperlink"/>
            <w:rFonts w:ascii="Times New Roman" w:hAnsi="Times New Roman" w:cs="Times New Roman"/>
            <w:noProof/>
          </w:rPr>
          <w:t xml:space="preserve">Table 16. </w:t>
        </w:r>
        <w:r w:rsidR="00817556" w:rsidRPr="008F124C">
          <w:rPr>
            <w:rStyle w:val="Hyperlink"/>
            <w:rFonts w:ascii="Times New Roman" w:eastAsia="Calibri" w:hAnsi="Times New Roman" w:cs="Times New Roman"/>
            <w:noProof/>
          </w:rPr>
          <w:t>Top three global Fe-Si producers in 2011 according to (Bedinger et al. 2015).</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_Toc495852694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73</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95" w:history="1">
        <w:r w:rsidR="00817556" w:rsidRPr="008F124C">
          <w:rPr>
            <w:rStyle w:val="Hyperlink"/>
            <w:rFonts w:ascii="Times New Roman" w:hAnsi="Times New Roman" w:cs="Times New Roman"/>
            <w:noProof/>
          </w:rPr>
          <w:t xml:space="preserve">Table 17. </w:t>
        </w:r>
        <w:r w:rsidR="00817556" w:rsidRPr="008F124C">
          <w:rPr>
            <w:rStyle w:val="Hyperlink"/>
            <w:rFonts w:ascii="Times New Roman" w:eastAsia="Calibri" w:hAnsi="Times New Roman" w:cs="Times New Roman"/>
            <w:noProof/>
          </w:rPr>
          <w:t>Top three global Si-Mn producers in 2011 according to (IMnI 2011).</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_Toc495852695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73</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96" w:history="1">
        <w:r w:rsidR="00817556" w:rsidRPr="008F124C">
          <w:rPr>
            <w:rStyle w:val="Hyperlink"/>
            <w:rFonts w:ascii="Times New Roman" w:hAnsi="Times New Roman" w:cs="Times New Roman"/>
            <w:noProof/>
          </w:rPr>
          <w:t xml:space="preserve">Table 18. </w:t>
        </w:r>
        <w:r w:rsidR="00817556" w:rsidRPr="008F124C">
          <w:rPr>
            <w:rStyle w:val="Hyperlink"/>
            <w:rFonts w:ascii="Times New Roman" w:eastAsia="Calibri" w:hAnsi="Times New Roman" w:cs="Times New Roman"/>
            <w:noProof/>
          </w:rPr>
          <w:t>Breakdown of electricity by energy source for ferro-alloy making countries of interest.</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_Toc495852696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74</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97" w:history="1">
        <w:r w:rsidR="00817556" w:rsidRPr="008F124C">
          <w:rPr>
            <w:rStyle w:val="Hyperlink"/>
            <w:rFonts w:ascii="Times New Roman" w:hAnsi="Times New Roman" w:cs="Times New Roman"/>
            <w:noProof/>
          </w:rPr>
          <w:t xml:space="preserve">Table 19. </w:t>
        </w:r>
        <w:r w:rsidR="00817556" w:rsidRPr="008F124C">
          <w:rPr>
            <w:rStyle w:val="Hyperlink"/>
            <w:rFonts w:ascii="Times New Roman" w:eastAsia="Calibri" w:hAnsi="Times New Roman" w:cs="Times New Roman"/>
            <w:noProof/>
          </w:rPr>
          <w:t>Breakdown of electricity by energy source (%) for ferro-alloy making countries of interest.</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_Toc495852697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74</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98" w:history="1">
        <w:r w:rsidR="00817556" w:rsidRPr="008F124C">
          <w:rPr>
            <w:rStyle w:val="Hyperlink"/>
            <w:rFonts w:ascii="Times New Roman" w:hAnsi="Times New Roman" w:cs="Times New Roman"/>
            <w:noProof/>
          </w:rPr>
          <w:t xml:space="preserve">Table 20. </w:t>
        </w:r>
        <w:r w:rsidR="00817556" w:rsidRPr="008F124C">
          <w:rPr>
            <w:rStyle w:val="Hyperlink"/>
            <w:rFonts w:ascii="Times New Roman" w:eastAsia="Calibri" w:hAnsi="Times New Roman" w:cs="Times New Roman"/>
            <w:noProof/>
          </w:rPr>
          <w:t>Breakdown of electricity by energy source (%) for New Caledonia for the year 2012 [N/A = not available].</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_Toc495852698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74</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699" w:history="1">
        <w:r w:rsidR="00817556" w:rsidRPr="008F124C">
          <w:rPr>
            <w:rStyle w:val="Hyperlink"/>
            <w:rFonts w:ascii="Times New Roman" w:hAnsi="Times New Roman" w:cs="Times New Roman"/>
            <w:noProof/>
          </w:rPr>
          <w:t xml:space="preserve">Table 21. </w:t>
        </w:r>
        <w:r w:rsidR="00817556" w:rsidRPr="008F124C">
          <w:rPr>
            <w:rStyle w:val="Hyperlink"/>
            <w:rFonts w:ascii="Times New Roman" w:eastAsia="Calibri" w:hAnsi="Times New Roman" w:cs="Times New Roman"/>
            <w:noProof/>
          </w:rPr>
          <w:t>Electric power transmission and distribution losses for the year 2013 (World Bank Data 2015).</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_Toc495852699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82</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00" w:history="1">
        <w:r w:rsidR="00817556" w:rsidRPr="008F124C">
          <w:rPr>
            <w:rStyle w:val="Hyperlink"/>
            <w:rFonts w:ascii="Times New Roman" w:hAnsi="Times New Roman" w:cs="Times New Roman"/>
            <w:noProof/>
          </w:rPr>
          <w:t xml:space="preserve">Table 22. </w:t>
        </w:r>
        <w:r w:rsidR="00817556" w:rsidRPr="008F124C">
          <w:rPr>
            <w:rStyle w:val="Hyperlink"/>
            <w:rFonts w:ascii="Times New Roman" w:eastAsia="Calibri" w:hAnsi="Times New Roman" w:cs="Times New Roman"/>
            <w:noProof/>
          </w:rPr>
          <w:t>Electric power transmission and distribution losses for the year 2010 (Pacific Power Association 2011).</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_Toc495852700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82</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01" w:history="1">
        <w:r w:rsidR="00817556" w:rsidRPr="008F124C">
          <w:rPr>
            <w:rStyle w:val="Hyperlink"/>
            <w:rFonts w:ascii="Times New Roman" w:hAnsi="Times New Roman" w:cs="Times New Roman"/>
            <w:noProof/>
          </w:rPr>
          <w:t xml:space="preserve">Table 23. </w:t>
        </w:r>
        <w:r w:rsidR="00817556" w:rsidRPr="008F124C">
          <w:rPr>
            <w:rStyle w:val="Hyperlink"/>
            <w:rFonts w:ascii="Times New Roman" w:eastAsia="Calibri" w:hAnsi="Times New Roman" w:cs="Times New Roman"/>
            <w:noProof/>
          </w:rPr>
          <w:t>High and Low voltage grid losses.</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_Toc495852701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82</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02" w:history="1">
        <w:r w:rsidR="00817556" w:rsidRPr="008F124C">
          <w:rPr>
            <w:rStyle w:val="Hyperlink"/>
            <w:rFonts w:ascii="Times New Roman" w:hAnsi="Times New Roman" w:cs="Times New Roman"/>
            <w:noProof/>
          </w:rPr>
          <w:t>Table 24. Individual country breakdown of GWP results.</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_Toc495852702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121</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03" w:history="1">
        <w:r w:rsidR="00817556" w:rsidRPr="008F124C">
          <w:rPr>
            <w:rStyle w:val="Hyperlink"/>
            <w:rFonts w:ascii="Times New Roman" w:hAnsi="Times New Roman" w:cs="Times New Roman"/>
            <w:noProof/>
          </w:rPr>
          <w:t xml:space="preserve">Table 25. </w:t>
        </w:r>
        <w:r w:rsidR="00817556" w:rsidRPr="008F124C">
          <w:rPr>
            <w:rStyle w:val="Hyperlink"/>
            <w:rFonts w:ascii="Times New Roman" w:eastAsia="Calibri" w:hAnsi="Times New Roman" w:cs="Times New Roman"/>
            <w:noProof/>
          </w:rPr>
          <w:t>Comparison of all literature sources for Fe-Cr production via energy.</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_Toc495852703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131</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04" w:history="1">
        <w:r w:rsidR="00817556" w:rsidRPr="008F124C">
          <w:rPr>
            <w:rStyle w:val="Hyperlink"/>
            <w:rFonts w:ascii="Times New Roman" w:hAnsi="Times New Roman" w:cs="Times New Roman"/>
            <w:noProof/>
          </w:rPr>
          <w:t xml:space="preserve">Table 26. </w:t>
        </w:r>
        <w:r w:rsidR="00817556" w:rsidRPr="008F124C">
          <w:rPr>
            <w:rStyle w:val="Hyperlink"/>
            <w:rFonts w:ascii="Times New Roman" w:eastAsia="Calibri" w:hAnsi="Times New Roman" w:cs="Times New Roman"/>
            <w:noProof/>
          </w:rPr>
          <w:t>Energy values for all the literature sources utilised to create Fe-Mn.</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_Toc495852704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138</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05" w:history="1">
        <w:r w:rsidR="00817556" w:rsidRPr="008F124C">
          <w:rPr>
            <w:rStyle w:val="Hyperlink"/>
            <w:rFonts w:ascii="Times New Roman" w:hAnsi="Times New Roman" w:cs="Times New Roman"/>
            <w:noProof/>
          </w:rPr>
          <w:t xml:space="preserve">Table 27. </w:t>
        </w:r>
        <w:r w:rsidR="00817556" w:rsidRPr="008F124C">
          <w:rPr>
            <w:rStyle w:val="Hyperlink"/>
            <w:rFonts w:ascii="Times New Roman" w:eastAsia="Calibri" w:hAnsi="Times New Roman" w:cs="Times New Roman"/>
            <w:noProof/>
          </w:rPr>
          <w:t>Energy values for all the literature sources utilised to create Fe-Ni.</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_Toc495852705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142</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06" w:history="1">
        <w:r w:rsidR="00817556" w:rsidRPr="008F124C">
          <w:rPr>
            <w:rStyle w:val="Hyperlink"/>
            <w:rFonts w:ascii="Times New Roman" w:hAnsi="Times New Roman" w:cs="Times New Roman"/>
            <w:noProof/>
          </w:rPr>
          <w:t xml:space="preserve">Table 28. </w:t>
        </w:r>
        <w:r w:rsidR="00817556" w:rsidRPr="008F124C">
          <w:rPr>
            <w:rStyle w:val="Hyperlink"/>
            <w:rFonts w:ascii="Times New Roman" w:eastAsia="Calibri" w:hAnsi="Times New Roman" w:cs="Times New Roman"/>
            <w:noProof/>
          </w:rPr>
          <w:t>Comparison of ferro-alloys utilising aluminothermic reduction production routes.</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_Toc495852706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151</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07" w:history="1">
        <w:r w:rsidR="00817556" w:rsidRPr="008F124C">
          <w:rPr>
            <w:rStyle w:val="Hyperlink"/>
            <w:rFonts w:ascii="Times New Roman" w:hAnsi="Times New Roman" w:cs="Times New Roman"/>
            <w:noProof/>
          </w:rPr>
          <w:t>Table 29. A comparison of percentage errors of models created against the original GWP value of 5 ferro-alloys of interest.</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_Toc495852707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157</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08" w:history="1">
        <w:r w:rsidR="00817556" w:rsidRPr="008F124C">
          <w:rPr>
            <w:rStyle w:val="Hyperlink"/>
            <w:rFonts w:ascii="Times New Roman" w:hAnsi="Times New Roman" w:cs="Times New Roman"/>
            <w:noProof/>
          </w:rPr>
          <w:t>Table 30. Final processes selected from each individual ferro-alloy.</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_Toc495852708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158</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09" w:history="1">
        <w:r w:rsidR="00817556" w:rsidRPr="008F124C">
          <w:rPr>
            <w:rStyle w:val="Hyperlink"/>
            <w:rFonts w:ascii="Times New Roman" w:hAnsi="Times New Roman" w:cs="Times New Roman"/>
            <w:noProof/>
          </w:rPr>
          <w:t xml:space="preserve">Table 31. Summary of analysis of correlation between </w:t>
        </w:r>
        <w:r w:rsidR="00817556" w:rsidRPr="008F124C">
          <w:rPr>
            <w:rStyle w:val="Hyperlink"/>
            <w:rFonts w:ascii="Times New Roman" w:eastAsia="Calibri" w:hAnsi="Times New Roman" w:cs="Times New Roman"/>
            <w:noProof/>
          </w:rPr>
          <w:t>alloying addition cast and additional 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 xml:space="preserve"> due to alloying additions. Key Green = largest impact, Yellow = smallest impact.</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_Toc495852709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161</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10" w:history="1">
        <w:r w:rsidR="00817556" w:rsidRPr="008F124C">
          <w:rPr>
            <w:rStyle w:val="Hyperlink"/>
            <w:rFonts w:ascii="Times New Roman" w:hAnsi="Times New Roman" w:cs="Times New Roman"/>
            <w:noProof/>
          </w:rPr>
          <w:t>Table 32. Steel model Data sources and calculations used to map the flows of steel from steelmaking to intermediate products. Citations are shown in curved brackets, e.g. (1, p, 21, tab.3), with full references provided at the end of the table.</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_Toc495852710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181</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11" w:history="1">
        <w:r w:rsidR="00817556" w:rsidRPr="008F124C">
          <w:rPr>
            <w:rStyle w:val="Hyperlink"/>
            <w:rFonts w:ascii="Times New Roman" w:hAnsi="Times New Roman" w:cs="Times New Roman"/>
            <w:noProof/>
          </w:rPr>
          <w:t xml:space="preserve">Table 33. </w:t>
        </w:r>
        <w:r w:rsidR="00817556" w:rsidRPr="008F124C">
          <w:rPr>
            <w:rStyle w:val="Hyperlink"/>
            <w:rFonts w:ascii="Times New Roman" w:eastAsia="Calibri" w:hAnsi="Times New Roman" w:cs="Times New Roman"/>
            <w:noProof/>
          </w:rPr>
          <w:t>Breakdown of electricity generation by fuel source from GaBi and IEA databases for India.</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_Toc495852711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192</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12" w:history="1">
        <w:r w:rsidR="00817556" w:rsidRPr="008F124C">
          <w:rPr>
            <w:rStyle w:val="Hyperlink"/>
            <w:rFonts w:ascii="Times New Roman" w:hAnsi="Times New Roman" w:cs="Times New Roman"/>
            <w:noProof/>
          </w:rPr>
          <w:t xml:space="preserve">Table 34. </w:t>
        </w:r>
        <w:r w:rsidR="00817556" w:rsidRPr="008F124C">
          <w:rPr>
            <w:rStyle w:val="Hyperlink"/>
            <w:rFonts w:ascii="Times New Roman" w:eastAsia="Calibri" w:hAnsi="Times New Roman" w:cs="Times New Roman"/>
            <w:noProof/>
          </w:rPr>
          <w:t>Breakdown of electricity generation by fuel source from GaBi and IEA databases for Japan.</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_Toc495852712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192</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13" w:history="1">
        <w:r w:rsidR="00817556" w:rsidRPr="008F124C">
          <w:rPr>
            <w:rStyle w:val="Hyperlink"/>
            <w:rFonts w:ascii="Times New Roman" w:hAnsi="Times New Roman" w:cs="Times New Roman"/>
            <w:noProof/>
          </w:rPr>
          <w:t xml:space="preserve">Table 35. </w:t>
        </w:r>
        <w:r w:rsidR="00817556" w:rsidRPr="008F124C">
          <w:rPr>
            <w:rStyle w:val="Hyperlink"/>
            <w:rFonts w:ascii="Times New Roman" w:eastAsia="Calibri" w:hAnsi="Times New Roman" w:cs="Times New Roman"/>
            <w:noProof/>
          </w:rPr>
          <w:t>Breakdown of electricity generation by fuel source from GaBi and IEA databases for Norway.</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_Toc495852713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192</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14" w:history="1">
        <w:r w:rsidR="00817556" w:rsidRPr="008F124C">
          <w:rPr>
            <w:rStyle w:val="Hyperlink"/>
            <w:rFonts w:ascii="Times New Roman" w:hAnsi="Times New Roman" w:cs="Times New Roman"/>
            <w:noProof/>
          </w:rPr>
          <w:t xml:space="preserve">Table 36. </w:t>
        </w:r>
        <w:r w:rsidR="00817556" w:rsidRPr="008F124C">
          <w:rPr>
            <w:rStyle w:val="Hyperlink"/>
            <w:rFonts w:ascii="Times New Roman" w:eastAsia="Calibri" w:hAnsi="Times New Roman" w:cs="Times New Roman"/>
            <w:noProof/>
          </w:rPr>
          <w:t>Inventory data for ferroboron production (Gasik.M 2013).</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_Toc495852714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193</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15" w:history="1">
        <w:r w:rsidR="00817556" w:rsidRPr="008F124C">
          <w:rPr>
            <w:rStyle w:val="Hyperlink"/>
            <w:rFonts w:ascii="Times New Roman" w:hAnsi="Times New Roman" w:cs="Times New Roman"/>
            <w:noProof/>
          </w:rPr>
          <w:t>Table 37. Inventory data of inputs for borates process (Probas 2004).</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_Toc495852715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194</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16" w:history="1">
        <w:r w:rsidR="00817556" w:rsidRPr="008F124C">
          <w:rPr>
            <w:rStyle w:val="Hyperlink"/>
            <w:rFonts w:ascii="Times New Roman" w:hAnsi="Times New Roman" w:cs="Times New Roman"/>
            <w:noProof/>
          </w:rPr>
          <w:t xml:space="preserve">Table 38. </w:t>
        </w:r>
        <w:r w:rsidR="00817556" w:rsidRPr="008F124C">
          <w:rPr>
            <w:rStyle w:val="Hyperlink"/>
            <w:rFonts w:ascii="Times New Roman" w:eastAsia="Calibri" w:hAnsi="Times New Roman" w:cs="Times New Roman"/>
            <w:noProof/>
          </w:rPr>
          <w:t>Inventory data of outputs for borates process (Probas 2004)</w:t>
        </w:r>
        <w:r w:rsidR="00817556" w:rsidRPr="008F124C">
          <w:rPr>
            <w:rStyle w:val="Hyperlink"/>
            <w:rFonts w:ascii="Times New Roman" w:hAnsi="Times New Roman" w:cs="Times New Roman"/>
            <w:noProof/>
          </w:rPr>
          <w:t>.</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_Toc495852716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195</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17" w:history="1">
        <w:r w:rsidR="00817556" w:rsidRPr="008F124C">
          <w:rPr>
            <w:rStyle w:val="Hyperlink"/>
            <w:rFonts w:ascii="Times New Roman" w:hAnsi="Times New Roman" w:cs="Times New Roman"/>
            <w:noProof/>
          </w:rPr>
          <w:t xml:space="preserve">Table 39. </w:t>
        </w:r>
        <w:r w:rsidR="00817556" w:rsidRPr="008F124C">
          <w:rPr>
            <w:rStyle w:val="Hyperlink"/>
            <w:rFonts w:ascii="Times New Roman" w:eastAsia="Calibri" w:hAnsi="Times New Roman" w:cs="Times New Roman"/>
            <w:noProof/>
          </w:rPr>
          <w:t>Inventory data for ferrochrome production (Haque &amp; Norgate 2013).</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_Toc495852717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199</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18" w:history="1">
        <w:r w:rsidR="00817556" w:rsidRPr="008F124C">
          <w:rPr>
            <w:rStyle w:val="Hyperlink"/>
            <w:rFonts w:ascii="Times New Roman" w:hAnsi="Times New Roman" w:cs="Times New Roman"/>
            <w:noProof/>
          </w:rPr>
          <w:t xml:space="preserve">Table 40. </w:t>
        </w:r>
        <w:r w:rsidR="00817556" w:rsidRPr="008F124C">
          <w:rPr>
            <w:rStyle w:val="Hyperlink"/>
            <w:rFonts w:ascii="Times New Roman" w:eastAsia="Calibri" w:hAnsi="Times New Roman" w:cs="Times New Roman"/>
            <w:noProof/>
          </w:rPr>
          <w:t>Inventory data for HC ferrochrome production (Eurometaux 2014).</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_Toc495852718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200</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19" w:history="1">
        <w:r w:rsidR="00817556" w:rsidRPr="008F124C">
          <w:rPr>
            <w:rStyle w:val="Hyperlink"/>
            <w:rFonts w:ascii="Times New Roman" w:hAnsi="Times New Roman" w:cs="Times New Roman"/>
            <w:noProof/>
          </w:rPr>
          <w:t xml:space="preserve">Table 41. </w:t>
        </w:r>
        <w:r w:rsidR="00817556" w:rsidRPr="008F124C">
          <w:rPr>
            <w:rStyle w:val="Hyperlink"/>
            <w:rFonts w:ascii="Times New Roman" w:eastAsia="Calibri" w:hAnsi="Times New Roman" w:cs="Times New Roman"/>
            <w:noProof/>
          </w:rPr>
          <w:t>Inventory data for LC ferrochrome production (Eurometaux 2014).</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_Toc495852719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200</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20" w:history="1">
        <w:r w:rsidR="00817556" w:rsidRPr="008F124C">
          <w:rPr>
            <w:rStyle w:val="Hyperlink"/>
            <w:rFonts w:ascii="Times New Roman" w:hAnsi="Times New Roman" w:cs="Times New Roman"/>
            <w:noProof/>
          </w:rPr>
          <w:t xml:space="preserve">Table 42 </w:t>
        </w:r>
        <w:r w:rsidR="00817556" w:rsidRPr="008F124C">
          <w:rPr>
            <w:rStyle w:val="Hyperlink"/>
            <w:rFonts w:ascii="Times New Roman" w:eastAsia="Calibri" w:hAnsi="Times New Roman" w:cs="Times New Roman"/>
            <w:noProof/>
          </w:rPr>
          <w:t>Inventory data for Fe-Si-Cr (13% Si) (Gasik.M 2013).</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_Toc495852720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202</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21" w:history="1">
        <w:r w:rsidR="00817556" w:rsidRPr="008F124C">
          <w:rPr>
            <w:rStyle w:val="Hyperlink"/>
            <w:rFonts w:ascii="Times New Roman" w:hAnsi="Times New Roman" w:cs="Times New Roman"/>
            <w:noProof/>
          </w:rPr>
          <w:t xml:space="preserve">Table 43. </w:t>
        </w:r>
        <w:r w:rsidR="00817556" w:rsidRPr="008F124C">
          <w:rPr>
            <w:rStyle w:val="Hyperlink"/>
            <w:rFonts w:ascii="Times New Roman" w:eastAsia="Calibri" w:hAnsi="Times New Roman" w:cs="Times New Roman"/>
            <w:noProof/>
          </w:rPr>
          <w:t>Inventory data for Fe-Si-Cr (53% Si) (Gasik.M 2013).</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_Toc495852721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202</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22" w:history="1">
        <w:r w:rsidR="00817556" w:rsidRPr="008F124C">
          <w:rPr>
            <w:rStyle w:val="Hyperlink"/>
            <w:rFonts w:ascii="Times New Roman" w:hAnsi="Times New Roman" w:cs="Times New Roman"/>
            <w:noProof/>
          </w:rPr>
          <w:t xml:space="preserve">Table 44. </w:t>
        </w:r>
        <w:r w:rsidR="00817556" w:rsidRPr="008F124C">
          <w:rPr>
            <w:rStyle w:val="Hyperlink"/>
            <w:rFonts w:ascii="Times New Roman" w:eastAsia="Calibri" w:hAnsi="Times New Roman" w:cs="Times New Roman"/>
            <w:noProof/>
          </w:rPr>
          <w:t>Inventory data for ferromanganese production (Haque &amp; Norgate 2013).</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_Toc495852722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206</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23" w:history="1">
        <w:r w:rsidR="00817556" w:rsidRPr="008F124C">
          <w:rPr>
            <w:rStyle w:val="Hyperlink"/>
            <w:rFonts w:ascii="Times New Roman" w:hAnsi="Times New Roman" w:cs="Times New Roman"/>
            <w:noProof/>
          </w:rPr>
          <w:t xml:space="preserve">Table 45. </w:t>
        </w:r>
        <w:r w:rsidR="00817556" w:rsidRPr="008F124C">
          <w:rPr>
            <w:rStyle w:val="Hyperlink"/>
            <w:rFonts w:ascii="Times New Roman" w:eastAsia="Calibri" w:hAnsi="Times New Roman" w:cs="Times New Roman"/>
            <w:noProof/>
          </w:rPr>
          <w:t>Inventory data from Eurometaux for HC ferromanganese production (Eurometaux 2014).</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_Toc495852723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207</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24" w:history="1">
        <w:r w:rsidR="00817556" w:rsidRPr="008F124C">
          <w:rPr>
            <w:rStyle w:val="Hyperlink"/>
            <w:rFonts w:ascii="Times New Roman" w:hAnsi="Times New Roman" w:cs="Times New Roman"/>
            <w:noProof/>
          </w:rPr>
          <w:t xml:space="preserve">Table 46. </w:t>
        </w:r>
        <w:r w:rsidR="00817556" w:rsidRPr="008F124C">
          <w:rPr>
            <w:rStyle w:val="Hyperlink"/>
            <w:rFonts w:ascii="Times New Roman" w:eastAsia="Calibri" w:hAnsi="Times New Roman" w:cs="Times New Roman"/>
            <w:noProof/>
          </w:rPr>
          <w:t>Inventory data for inputs manganese ore (Probas 2004).</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_Toc495852724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208</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25" w:history="1">
        <w:r w:rsidR="00817556" w:rsidRPr="008F124C">
          <w:rPr>
            <w:rStyle w:val="Hyperlink"/>
            <w:rFonts w:ascii="Times New Roman" w:hAnsi="Times New Roman" w:cs="Times New Roman"/>
            <w:noProof/>
          </w:rPr>
          <w:t xml:space="preserve">Table 47. </w:t>
        </w:r>
        <w:r w:rsidR="00817556" w:rsidRPr="008F124C">
          <w:rPr>
            <w:rStyle w:val="Hyperlink"/>
            <w:rFonts w:ascii="Times New Roman" w:eastAsia="Calibri" w:hAnsi="Times New Roman" w:cs="Times New Roman"/>
            <w:noProof/>
          </w:rPr>
          <w:t>Inventory data for outputs manganese ore (Probas 2004)</w:t>
        </w:r>
        <w:r w:rsidR="00817556" w:rsidRPr="008F124C">
          <w:rPr>
            <w:rStyle w:val="Hyperlink"/>
            <w:rFonts w:ascii="Times New Roman" w:hAnsi="Times New Roman" w:cs="Times New Roman"/>
            <w:noProof/>
          </w:rPr>
          <w:t>.</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_Toc495852725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209</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26" w:history="1">
        <w:r w:rsidR="00817556" w:rsidRPr="008F124C">
          <w:rPr>
            <w:rStyle w:val="Hyperlink"/>
            <w:rFonts w:ascii="Times New Roman" w:hAnsi="Times New Roman" w:cs="Times New Roman"/>
            <w:noProof/>
          </w:rPr>
          <w:t xml:space="preserve">Table 48. </w:t>
        </w:r>
        <w:r w:rsidR="00817556" w:rsidRPr="008F124C">
          <w:rPr>
            <w:rStyle w:val="Hyperlink"/>
            <w:rFonts w:ascii="Times New Roman" w:eastAsia="Calibri" w:hAnsi="Times New Roman" w:cs="Times New Roman"/>
            <w:noProof/>
          </w:rPr>
          <w:t>Inventory data from Eurometaux for LC ferromanganese production (silicothermic) (Eurometaux 2014).</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_Toc495852726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211</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27" w:history="1">
        <w:r w:rsidR="00817556" w:rsidRPr="008F124C">
          <w:rPr>
            <w:rStyle w:val="Hyperlink"/>
            <w:rFonts w:ascii="Times New Roman" w:hAnsi="Times New Roman" w:cs="Times New Roman"/>
            <w:noProof/>
          </w:rPr>
          <w:t xml:space="preserve">Table 49. </w:t>
        </w:r>
        <w:r w:rsidR="00817556" w:rsidRPr="008F124C">
          <w:rPr>
            <w:rStyle w:val="Hyperlink"/>
            <w:rFonts w:ascii="Times New Roman" w:eastAsia="Calibri" w:hAnsi="Times New Roman" w:cs="Times New Roman"/>
            <w:noProof/>
          </w:rPr>
          <w:t>Inventory data for HC ferromanganese (Discard Method) (Gasik.M 2013).</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_Toc495852727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212</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28" w:history="1">
        <w:r w:rsidR="00817556" w:rsidRPr="008F124C">
          <w:rPr>
            <w:rStyle w:val="Hyperlink"/>
            <w:rFonts w:ascii="Times New Roman" w:hAnsi="Times New Roman" w:cs="Times New Roman"/>
            <w:noProof/>
          </w:rPr>
          <w:t xml:space="preserve">Table 50. </w:t>
        </w:r>
        <w:r w:rsidR="00817556" w:rsidRPr="008F124C">
          <w:rPr>
            <w:rStyle w:val="Hyperlink"/>
            <w:rFonts w:ascii="Times New Roman" w:eastAsia="Calibri" w:hAnsi="Times New Roman" w:cs="Times New Roman"/>
            <w:noProof/>
          </w:rPr>
          <w:t>Inventory data for HC Fe-Mn (Duplex Method) (Gasik.M 2013).</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_Toc495852728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213</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29" w:history="1">
        <w:r w:rsidR="00817556" w:rsidRPr="008F124C">
          <w:rPr>
            <w:rStyle w:val="Hyperlink"/>
            <w:rFonts w:ascii="Times New Roman" w:hAnsi="Times New Roman" w:cs="Times New Roman"/>
            <w:noProof/>
          </w:rPr>
          <w:t xml:space="preserve">Table 51. </w:t>
        </w:r>
        <w:r w:rsidR="00817556" w:rsidRPr="008F124C">
          <w:rPr>
            <w:rStyle w:val="Hyperlink"/>
            <w:rFonts w:ascii="Times New Roman" w:eastAsia="Calibri" w:hAnsi="Times New Roman" w:cs="Times New Roman"/>
            <w:noProof/>
          </w:rPr>
          <w:t>Inventory data for ferromolybdenum production.</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_Toc495852729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216</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30" w:history="1">
        <w:r w:rsidR="00817556" w:rsidRPr="008F124C">
          <w:rPr>
            <w:rStyle w:val="Hyperlink"/>
            <w:rFonts w:ascii="Times New Roman" w:hAnsi="Times New Roman" w:cs="Times New Roman"/>
            <w:noProof/>
          </w:rPr>
          <w:t xml:space="preserve">Table 52. </w:t>
        </w:r>
        <w:r w:rsidR="00817556" w:rsidRPr="008F124C">
          <w:rPr>
            <w:rStyle w:val="Hyperlink"/>
            <w:rFonts w:ascii="Times New Roman" w:eastAsia="Calibri" w:hAnsi="Times New Roman" w:cs="Times New Roman"/>
            <w:noProof/>
          </w:rPr>
          <w:t>Inventory data from Haque for ferronickel production (Haque &amp; Norgate 2013).</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_Toc495852730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219</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31" w:history="1">
        <w:r w:rsidR="00817556" w:rsidRPr="008F124C">
          <w:rPr>
            <w:rStyle w:val="Hyperlink"/>
            <w:rFonts w:ascii="Times New Roman" w:hAnsi="Times New Roman" w:cs="Times New Roman"/>
            <w:noProof/>
          </w:rPr>
          <w:t xml:space="preserve">Table 53. </w:t>
        </w:r>
        <w:r w:rsidR="00817556" w:rsidRPr="008F124C">
          <w:rPr>
            <w:rStyle w:val="Hyperlink"/>
            <w:rFonts w:ascii="Times New Roman" w:eastAsia="Calibri" w:hAnsi="Times New Roman" w:cs="Times New Roman"/>
            <w:noProof/>
          </w:rPr>
          <w:t>Inventory data for ferroniobium production from (Gasik.M 2013).</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_Toc495852731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222</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32" w:history="1">
        <w:r w:rsidR="00817556" w:rsidRPr="008F124C">
          <w:rPr>
            <w:rStyle w:val="Hyperlink"/>
            <w:rFonts w:ascii="Times New Roman" w:hAnsi="Times New Roman" w:cs="Times New Roman"/>
            <w:noProof/>
          </w:rPr>
          <w:t xml:space="preserve">Table 54. </w:t>
        </w:r>
        <w:r w:rsidR="00817556" w:rsidRPr="008F124C">
          <w:rPr>
            <w:rStyle w:val="Hyperlink"/>
            <w:rFonts w:ascii="Times New Roman" w:eastAsia="Calibri" w:hAnsi="Times New Roman" w:cs="Times New Roman"/>
            <w:noProof/>
          </w:rPr>
          <w:t>Inventory data for pyrochlore (resources) (Probas 2004).</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_Toc495852732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222</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33" w:history="1">
        <w:r w:rsidR="00817556" w:rsidRPr="008F124C">
          <w:rPr>
            <w:rStyle w:val="Hyperlink"/>
            <w:rFonts w:ascii="Times New Roman" w:hAnsi="Times New Roman" w:cs="Times New Roman"/>
            <w:noProof/>
          </w:rPr>
          <w:t xml:space="preserve">Table 55. </w:t>
        </w:r>
        <w:r w:rsidR="00817556" w:rsidRPr="008F124C">
          <w:rPr>
            <w:rStyle w:val="Hyperlink"/>
            <w:rFonts w:ascii="Times New Roman" w:eastAsia="Calibri" w:hAnsi="Times New Roman" w:cs="Times New Roman"/>
            <w:noProof/>
          </w:rPr>
          <w:t>Inventory data for pyrochlore (air &amp; water emissions) (Probas 2004).</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_Toc495852733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223</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34" w:history="1">
        <w:r w:rsidR="00817556" w:rsidRPr="008F124C">
          <w:rPr>
            <w:rStyle w:val="Hyperlink"/>
            <w:rFonts w:ascii="Times New Roman" w:hAnsi="Times New Roman" w:cs="Times New Roman"/>
            <w:noProof/>
          </w:rPr>
          <w:t xml:space="preserve">Table 56. </w:t>
        </w:r>
        <w:r w:rsidR="00817556" w:rsidRPr="008F124C">
          <w:rPr>
            <w:rStyle w:val="Hyperlink"/>
            <w:rFonts w:ascii="Times New Roman" w:eastAsia="Calibri" w:hAnsi="Times New Roman" w:cs="Times New Roman"/>
            <w:noProof/>
          </w:rPr>
          <w:t>Inventory for data from (Nuss &amp; Eckelman 2014).</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_Toc495852734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225</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35" w:history="1">
        <w:r w:rsidR="00817556" w:rsidRPr="008F124C">
          <w:rPr>
            <w:rStyle w:val="Hyperlink"/>
            <w:rFonts w:ascii="Times New Roman" w:hAnsi="Times New Roman" w:cs="Times New Roman"/>
            <w:noProof/>
          </w:rPr>
          <w:t xml:space="preserve">Table 57. </w:t>
        </w:r>
        <w:r w:rsidR="00817556" w:rsidRPr="008F124C">
          <w:rPr>
            <w:rStyle w:val="Hyperlink"/>
            <w:rFonts w:ascii="Times New Roman" w:eastAsia="Calibri" w:hAnsi="Times New Roman" w:cs="Times New Roman"/>
            <w:noProof/>
          </w:rPr>
          <w:t>Inventory data for ferrosilicon production from (Haque &amp; Norgate 2013).</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_Toc495852735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227</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36" w:history="1">
        <w:r w:rsidR="00817556" w:rsidRPr="008F124C">
          <w:rPr>
            <w:rStyle w:val="Hyperlink"/>
            <w:rFonts w:ascii="Times New Roman" w:hAnsi="Times New Roman" w:cs="Times New Roman"/>
            <w:noProof/>
          </w:rPr>
          <w:t xml:space="preserve">Table 58. </w:t>
        </w:r>
        <w:r w:rsidR="00817556" w:rsidRPr="008F124C">
          <w:rPr>
            <w:rStyle w:val="Hyperlink"/>
            <w:rFonts w:ascii="Times New Roman" w:eastAsia="Calibri" w:hAnsi="Times New Roman" w:cs="Times New Roman"/>
            <w:noProof/>
          </w:rPr>
          <w:t>Inventory for ferrosilicon production from (Eurometaux 2014).</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_Toc495852736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228</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37" w:history="1">
        <w:r w:rsidR="00817556" w:rsidRPr="008F124C">
          <w:rPr>
            <w:rStyle w:val="Hyperlink"/>
            <w:rFonts w:ascii="Times New Roman" w:hAnsi="Times New Roman" w:cs="Times New Roman"/>
            <w:noProof/>
          </w:rPr>
          <w:t xml:space="preserve">Table 59. </w:t>
        </w:r>
        <w:r w:rsidR="00817556" w:rsidRPr="008F124C">
          <w:rPr>
            <w:rStyle w:val="Hyperlink"/>
            <w:rFonts w:ascii="Times New Roman" w:eastAsia="Calibri" w:hAnsi="Times New Roman" w:cs="Times New Roman"/>
            <w:noProof/>
          </w:rPr>
          <w:t>Inventory for ferrosilicon production from (Gasik.M 2013).</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_Toc495852737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229</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38" w:history="1">
        <w:r w:rsidR="00817556" w:rsidRPr="008F124C">
          <w:rPr>
            <w:rStyle w:val="Hyperlink"/>
            <w:rFonts w:ascii="Times New Roman" w:hAnsi="Times New Roman" w:cs="Times New Roman"/>
            <w:noProof/>
          </w:rPr>
          <w:t xml:space="preserve">Table 60. </w:t>
        </w:r>
        <w:r w:rsidR="00817556" w:rsidRPr="008F124C">
          <w:rPr>
            <w:rStyle w:val="Hyperlink"/>
            <w:rFonts w:ascii="Times New Roman" w:eastAsia="Calibri" w:hAnsi="Times New Roman" w:cs="Times New Roman"/>
            <w:noProof/>
          </w:rPr>
          <w:t>Inventory for ferrotitanium production (Gasik.M 2013).</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_Toc495852738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231</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39" w:history="1">
        <w:r w:rsidR="00817556" w:rsidRPr="008F124C">
          <w:rPr>
            <w:rStyle w:val="Hyperlink"/>
            <w:rFonts w:ascii="Times New Roman" w:hAnsi="Times New Roman" w:cs="Times New Roman"/>
            <w:noProof/>
          </w:rPr>
          <w:t xml:space="preserve">Table 61. </w:t>
        </w:r>
        <w:r w:rsidR="00817556" w:rsidRPr="008F124C">
          <w:rPr>
            <w:rStyle w:val="Hyperlink"/>
            <w:rFonts w:ascii="Times New Roman" w:eastAsia="Calibri" w:hAnsi="Times New Roman" w:cs="Times New Roman"/>
            <w:noProof/>
          </w:rPr>
          <w:t>Inventory for silicomanganese production from (Haque &amp; Norgate 2013).</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_Toc495852739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234</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40" w:history="1">
        <w:r w:rsidR="00817556" w:rsidRPr="008F124C">
          <w:rPr>
            <w:rStyle w:val="Hyperlink"/>
            <w:rFonts w:ascii="Times New Roman" w:hAnsi="Times New Roman" w:cs="Times New Roman"/>
            <w:noProof/>
          </w:rPr>
          <w:t xml:space="preserve">Table 62. </w:t>
        </w:r>
        <w:r w:rsidR="00817556" w:rsidRPr="008F124C">
          <w:rPr>
            <w:rStyle w:val="Hyperlink"/>
            <w:rFonts w:ascii="Times New Roman" w:eastAsia="Calibri" w:hAnsi="Times New Roman" w:cs="Times New Roman"/>
            <w:noProof/>
          </w:rPr>
          <w:t>Inventory from Eurometaux for Si-Mn process.</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_Toc495852740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235</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41" w:history="1">
        <w:r w:rsidR="00817556" w:rsidRPr="008F124C">
          <w:rPr>
            <w:rStyle w:val="Hyperlink"/>
            <w:rFonts w:ascii="Times New Roman" w:hAnsi="Times New Roman" w:cs="Times New Roman"/>
            <w:noProof/>
          </w:rPr>
          <w:t xml:space="preserve">Table 63. </w:t>
        </w:r>
        <w:r w:rsidR="00817556" w:rsidRPr="008F124C">
          <w:rPr>
            <w:rStyle w:val="Hyperlink"/>
            <w:rFonts w:ascii="Times New Roman" w:eastAsia="Calibri" w:hAnsi="Times New Roman" w:cs="Times New Roman"/>
            <w:noProof/>
          </w:rPr>
          <w:t>Breakdown of additional 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 xml:space="preserve"> impact due to alloying additions (kgCO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/kg) for Boron steel grade.</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_Toc495852741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237</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42" w:history="1">
        <w:r w:rsidR="00817556" w:rsidRPr="008F124C">
          <w:rPr>
            <w:rStyle w:val="Hyperlink"/>
            <w:rFonts w:ascii="Times New Roman" w:hAnsi="Times New Roman" w:cs="Times New Roman"/>
            <w:noProof/>
          </w:rPr>
          <w:t xml:space="preserve">Table 64. </w:t>
        </w:r>
        <w:r w:rsidR="00817556" w:rsidRPr="008F124C">
          <w:rPr>
            <w:rStyle w:val="Hyperlink"/>
            <w:rFonts w:ascii="Times New Roman" w:eastAsia="Calibri" w:hAnsi="Times New Roman" w:cs="Times New Roman"/>
            <w:noProof/>
          </w:rPr>
          <w:t>Breakdown of additional 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 xml:space="preserve"> impact due to alloying additions (kgCO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/kg) for DP800 steel grade.</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_Toc495852742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238</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43" w:history="1">
        <w:r w:rsidR="00817556" w:rsidRPr="008F124C">
          <w:rPr>
            <w:rStyle w:val="Hyperlink"/>
            <w:rFonts w:ascii="Times New Roman" w:hAnsi="Times New Roman" w:cs="Times New Roman"/>
            <w:noProof/>
          </w:rPr>
          <w:t xml:space="preserve">Table 65. </w:t>
        </w:r>
        <w:r w:rsidR="00817556" w:rsidRPr="008F124C">
          <w:rPr>
            <w:rStyle w:val="Hyperlink"/>
            <w:rFonts w:ascii="Times New Roman" w:eastAsia="Calibri" w:hAnsi="Times New Roman" w:cs="Times New Roman"/>
            <w:noProof/>
          </w:rPr>
          <w:t>Breakdown of additional 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 xml:space="preserve"> impact due to alloying additions (kgCO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/kg) for DP600 steel grade.</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_Toc495852743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239</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44" w:history="1">
        <w:r w:rsidR="00817556" w:rsidRPr="008F124C">
          <w:rPr>
            <w:rStyle w:val="Hyperlink"/>
            <w:rFonts w:ascii="Times New Roman" w:hAnsi="Times New Roman" w:cs="Times New Roman"/>
            <w:noProof/>
          </w:rPr>
          <w:t xml:space="preserve">Table 66. </w:t>
        </w:r>
        <w:r w:rsidR="00817556" w:rsidRPr="008F124C">
          <w:rPr>
            <w:rStyle w:val="Hyperlink"/>
            <w:rFonts w:ascii="Times New Roman" w:eastAsia="Calibri" w:hAnsi="Times New Roman" w:cs="Times New Roman"/>
            <w:noProof/>
          </w:rPr>
          <w:t>Breakdown of additional 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 xml:space="preserve"> impact due to alloying additions (kgCO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/kg) for S450 steel grade.</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_Toc495852744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239</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45" w:history="1">
        <w:r w:rsidR="00817556" w:rsidRPr="008F124C">
          <w:rPr>
            <w:rStyle w:val="Hyperlink"/>
            <w:rFonts w:ascii="Times New Roman" w:hAnsi="Times New Roman" w:cs="Times New Roman"/>
            <w:noProof/>
          </w:rPr>
          <w:t xml:space="preserve">Table 67. </w:t>
        </w:r>
        <w:r w:rsidR="00817556" w:rsidRPr="008F124C">
          <w:rPr>
            <w:rStyle w:val="Hyperlink"/>
            <w:rFonts w:ascii="Times New Roman" w:eastAsia="Calibri" w:hAnsi="Times New Roman" w:cs="Times New Roman"/>
            <w:noProof/>
          </w:rPr>
          <w:t>Breakdown of additional 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 xml:space="preserve"> impact due to alloying additions (kgCO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/kg) for S390 steel grade.</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_Toc495852745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240</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46" w:history="1">
        <w:r w:rsidR="00817556" w:rsidRPr="008F124C">
          <w:rPr>
            <w:rStyle w:val="Hyperlink"/>
            <w:rFonts w:ascii="Times New Roman" w:hAnsi="Times New Roman" w:cs="Times New Roman"/>
            <w:noProof/>
          </w:rPr>
          <w:t xml:space="preserve">Table 68. </w:t>
        </w:r>
        <w:r w:rsidR="00817556" w:rsidRPr="008F124C">
          <w:rPr>
            <w:rStyle w:val="Hyperlink"/>
            <w:rFonts w:ascii="Times New Roman" w:eastAsia="Calibri" w:hAnsi="Times New Roman" w:cs="Times New Roman"/>
            <w:noProof/>
          </w:rPr>
          <w:t>Breakdown of additional 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 xml:space="preserve"> impact due to alloying additions (kgCO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/kg) for S355 steel grade.</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_Toc495852746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240</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47" w:history="1">
        <w:r w:rsidR="00817556" w:rsidRPr="008F124C">
          <w:rPr>
            <w:rStyle w:val="Hyperlink"/>
            <w:rFonts w:ascii="Times New Roman" w:hAnsi="Times New Roman" w:cs="Times New Roman"/>
            <w:noProof/>
          </w:rPr>
          <w:t xml:space="preserve">Table 69. </w:t>
        </w:r>
        <w:r w:rsidR="00817556" w:rsidRPr="008F124C">
          <w:rPr>
            <w:rStyle w:val="Hyperlink"/>
            <w:rFonts w:ascii="Times New Roman" w:eastAsia="Calibri" w:hAnsi="Times New Roman" w:cs="Times New Roman"/>
            <w:noProof/>
          </w:rPr>
          <w:t>Breakdown of additional 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 xml:space="preserve"> impact due to alloying additions (kgCO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/kg) for XF400 steel grade.</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_Toc495852747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241</w:t>
        </w:r>
        <w:r w:rsidR="00817556" w:rsidRPr="008F124C">
          <w:rPr>
            <w:rFonts w:ascii="Times New Roman" w:hAnsi="Times New Roman" w:cs="Times New Roman"/>
            <w:noProof/>
            <w:webHidden/>
          </w:rPr>
          <w:fldChar w:fldCharType="end"/>
        </w:r>
      </w:hyperlink>
    </w:p>
    <w:p w:rsidR="00817556" w:rsidRPr="008F124C" w:rsidRDefault="008F124C">
      <w:pPr>
        <w:pStyle w:val="TableofFigures"/>
        <w:tabs>
          <w:tab w:val="right" w:leader="dot" w:pos="9016"/>
        </w:tabs>
        <w:rPr>
          <w:rFonts w:ascii="Times New Roman" w:hAnsi="Times New Roman" w:cs="Times New Roman"/>
          <w:noProof/>
        </w:rPr>
      </w:pPr>
      <w:hyperlink w:anchor="_Toc495852748" w:history="1">
        <w:r w:rsidR="00817556" w:rsidRPr="008F124C">
          <w:rPr>
            <w:rStyle w:val="Hyperlink"/>
            <w:rFonts w:ascii="Times New Roman" w:hAnsi="Times New Roman" w:cs="Times New Roman"/>
            <w:noProof/>
          </w:rPr>
          <w:t xml:space="preserve">Table 70. </w:t>
        </w:r>
        <w:r w:rsidR="00817556" w:rsidRPr="008F124C">
          <w:rPr>
            <w:rStyle w:val="Hyperlink"/>
            <w:rFonts w:ascii="Times New Roman" w:eastAsia="Calibri" w:hAnsi="Times New Roman" w:cs="Times New Roman"/>
            <w:noProof/>
          </w:rPr>
          <w:t>Breakdown of additional 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 xml:space="preserve"> impact due to alloying additions (kgCO</w:t>
        </w:r>
        <w:r w:rsidR="00817556" w:rsidRPr="008F124C">
          <w:rPr>
            <w:rStyle w:val="Hyperlink"/>
            <w:rFonts w:ascii="Times New Roman" w:eastAsia="Calibri" w:hAnsi="Times New Roman" w:cs="Times New Roman"/>
            <w:noProof/>
            <w:vertAlign w:val="subscript"/>
          </w:rPr>
          <w:t>2</w:t>
        </w:r>
        <w:r w:rsidR="00817556" w:rsidRPr="008F124C">
          <w:rPr>
            <w:rStyle w:val="Hyperlink"/>
            <w:rFonts w:ascii="Times New Roman" w:eastAsia="Calibri" w:hAnsi="Times New Roman" w:cs="Times New Roman"/>
            <w:noProof/>
          </w:rPr>
          <w:t>/kg) for IF steel grade.</w:t>
        </w:r>
        <w:r w:rsidR="00817556" w:rsidRPr="008F124C">
          <w:rPr>
            <w:rFonts w:ascii="Times New Roman" w:hAnsi="Times New Roman" w:cs="Times New Roman"/>
            <w:noProof/>
            <w:webHidden/>
          </w:rPr>
          <w:tab/>
        </w:r>
        <w:r w:rsidR="00817556" w:rsidRPr="008F124C">
          <w:rPr>
            <w:rFonts w:ascii="Times New Roman" w:hAnsi="Times New Roman" w:cs="Times New Roman"/>
            <w:noProof/>
            <w:webHidden/>
          </w:rPr>
          <w:fldChar w:fldCharType="begin"/>
        </w:r>
        <w:r w:rsidR="00817556" w:rsidRPr="008F124C">
          <w:rPr>
            <w:rFonts w:ascii="Times New Roman" w:hAnsi="Times New Roman" w:cs="Times New Roman"/>
            <w:noProof/>
            <w:webHidden/>
          </w:rPr>
          <w:instrText xml:space="preserve"> PAGEREF _Toc495852748 \h </w:instrText>
        </w:r>
        <w:r w:rsidR="00817556" w:rsidRPr="008F124C">
          <w:rPr>
            <w:rFonts w:ascii="Times New Roman" w:hAnsi="Times New Roman" w:cs="Times New Roman"/>
            <w:noProof/>
            <w:webHidden/>
          </w:rPr>
        </w:r>
        <w:r w:rsidR="00817556" w:rsidRPr="008F124C">
          <w:rPr>
            <w:rFonts w:ascii="Times New Roman" w:hAnsi="Times New Roman" w:cs="Times New Roman"/>
            <w:noProof/>
            <w:webHidden/>
          </w:rPr>
          <w:fldChar w:fldCharType="separate"/>
        </w:r>
        <w:r w:rsidR="00817556" w:rsidRPr="008F124C">
          <w:rPr>
            <w:rFonts w:ascii="Times New Roman" w:hAnsi="Times New Roman" w:cs="Times New Roman"/>
            <w:noProof/>
            <w:webHidden/>
          </w:rPr>
          <w:t>241</w:t>
        </w:r>
        <w:r w:rsidR="00817556" w:rsidRPr="008F124C">
          <w:rPr>
            <w:rFonts w:ascii="Times New Roman" w:hAnsi="Times New Roman" w:cs="Times New Roman"/>
            <w:noProof/>
            <w:webHidden/>
          </w:rPr>
          <w:fldChar w:fldCharType="end"/>
        </w:r>
      </w:hyperlink>
    </w:p>
    <w:p w:rsidR="00D21FD4" w:rsidRPr="008F124C" w:rsidRDefault="009A0ED7" w:rsidP="00C126D3">
      <w:pPr>
        <w:spacing w:line="360" w:lineRule="auto"/>
        <w:rPr>
          <w:rFonts w:ascii="Times New Roman" w:eastAsia="Calibri" w:hAnsi="Times New Roman" w:cs="Times New Roman"/>
        </w:rPr>
      </w:pPr>
      <w:r w:rsidRPr="008F124C">
        <w:rPr>
          <w:rFonts w:ascii="Times New Roman" w:eastAsia="Calibri" w:hAnsi="Times New Roman" w:cs="Times New Roman"/>
        </w:rPr>
        <w:fldChar w:fldCharType="end"/>
      </w:r>
    </w:p>
    <w:p w:rsidR="003B4319" w:rsidRPr="008F124C" w:rsidRDefault="003B4319" w:rsidP="00D21FD4">
      <w:pPr>
        <w:rPr>
          <w:rFonts w:ascii="Times New Roman" w:eastAsia="Calibri" w:hAnsi="Times New Roman" w:cs="Times New Roman"/>
        </w:rPr>
        <w:sectPr w:rsidR="003B4319" w:rsidRPr="008F124C">
          <w:pgSz w:w="11906" w:h="16838"/>
          <w:pgMar w:top="1440" w:right="1440" w:bottom="1440" w:left="1440" w:header="708" w:footer="708" w:gutter="0"/>
          <w:cols w:space="708"/>
          <w:docGrid w:linePitch="360"/>
        </w:sectPr>
      </w:pPr>
    </w:p>
    <w:p w:rsidR="006A62D1" w:rsidRPr="005B4E7E" w:rsidRDefault="006A62D1" w:rsidP="005B4E7E">
      <w:pPr>
        <w:pStyle w:val="Heading1"/>
        <w:spacing w:line="360" w:lineRule="auto"/>
        <w:rPr>
          <w:rFonts w:ascii="Times New Roman" w:eastAsia="Calibri Light" w:hAnsi="Times New Roman" w:cs="Times New Roman"/>
          <w:sz w:val="22"/>
          <w:szCs w:val="22"/>
        </w:rPr>
      </w:pPr>
      <w:r w:rsidRPr="00F32B8C">
        <w:lastRenderedPageBreak/>
        <w:t>List of Formulae</w:t>
      </w:r>
      <w:r w:rsidRPr="005B3139">
        <w:rPr>
          <w:rFonts w:ascii="Times New Roman" w:eastAsia="Calibri Light" w:hAnsi="Times New Roman" w:cs="Times New Roman"/>
          <w:sz w:val="22"/>
          <w:szCs w:val="22"/>
        </w:rPr>
        <w:t xml:space="preserve"> </w:t>
      </w:r>
    </w:p>
    <w:p w:rsidR="00676BF5" w:rsidRPr="00CB2727" w:rsidRDefault="009A0ED7">
      <w:pPr>
        <w:pStyle w:val="TableofFigures"/>
        <w:tabs>
          <w:tab w:val="right" w:leader="dot" w:pos="9016"/>
        </w:tabs>
        <w:rPr>
          <w:noProof/>
        </w:rPr>
      </w:pPr>
      <w:r>
        <w:rPr>
          <w:rFonts w:ascii="Times New Roman" w:eastAsia="Calibri" w:hAnsi="Times New Roman" w:cs="Times New Roman"/>
          <w:color w:val="7030A0"/>
        </w:rPr>
        <w:fldChar w:fldCharType="begin"/>
      </w:r>
      <w:r w:rsidR="005B4E7E">
        <w:rPr>
          <w:rFonts w:ascii="Times New Roman" w:eastAsia="Calibri" w:hAnsi="Times New Roman" w:cs="Times New Roman"/>
          <w:color w:val="7030A0"/>
        </w:rPr>
        <w:instrText xml:space="preserve"> TOC \h \z \c "Equation" </w:instrText>
      </w:r>
      <w:r>
        <w:rPr>
          <w:rFonts w:ascii="Times New Roman" w:eastAsia="Calibri" w:hAnsi="Times New Roman" w:cs="Times New Roman"/>
          <w:color w:val="7030A0"/>
        </w:rPr>
        <w:fldChar w:fldCharType="separate"/>
      </w:r>
      <w:hyperlink w:anchor="_Toc475570501" w:history="1">
        <w:r w:rsidR="00676BF5" w:rsidRPr="00CB2727">
          <w:rPr>
            <w:rStyle w:val="Hyperlink"/>
            <w:rFonts w:ascii="Times New Roman" w:eastAsia="Calibri" w:hAnsi="Times New Roman"/>
            <w:noProof/>
          </w:rPr>
          <w:t xml:space="preserve">Equation </w:t>
        </w:r>
        <w:r w:rsidR="00676BF5" w:rsidRPr="00CB2727">
          <w:rPr>
            <w:rStyle w:val="Hyperlink"/>
            <w:rFonts w:ascii="Times New Roman" w:eastAsia="Calibri" w:hAnsi="Times New Roman"/>
            <w:noProof/>
          </w:rPr>
          <w:t>1</w:t>
        </w:r>
        <w:r w:rsidR="00CB2727">
          <w:rPr>
            <w:rStyle w:val="Hyperlink"/>
            <w:rFonts w:ascii="Times New Roman" w:eastAsia="Calibri" w:hAnsi="Times New Roman"/>
            <w:noProof/>
          </w:rPr>
          <w:t xml:space="preserve"> – End of Life Recycling Rate (EoL-RR)</w:t>
        </w:r>
        <w:r w:rsidR="00676BF5" w:rsidRPr="00CB2727">
          <w:rPr>
            <w:rStyle w:val="Hyperlink"/>
            <w:rFonts w:ascii="Times New Roman" w:eastAsia="Calibri" w:hAnsi="Times New Roman"/>
            <w:noProof/>
          </w:rPr>
          <w:t>.</w:t>
        </w:r>
        <w:r w:rsidR="00676BF5" w:rsidRPr="00CB2727">
          <w:rPr>
            <w:noProof/>
            <w:webHidden/>
          </w:rPr>
          <w:tab/>
        </w:r>
        <w:r w:rsidR="00676BF5" w:rsidRPr="00CB2727">
          <w:rPr>
            <w:noProof/>
            <w:webHidden/>
          </w:rPr>
          <w:fldChar w:fldCharType="begin"/>
        </w:r>
        <w:r w:rsidR="00676BF5" w:rsidRPr="00CB2727">
          <w:rPr>
            <w:noProof/>
            <w:webHidden/>
          </w:rPr>
          <w:instrText xml:space="preserve"> PAGEREF _Toc475570501 \h </w:instrText>
        </w:r>
        <w:r w:rsidR="00676BF5" w:rsidRPr="00CB2727">
          <w:rPr>
            <w:noProof/>
            <w:webHidden/>
          </w:rPr>
        </w:r>
        <w:r w:rsidR="00676BF5" w:rsidRPr="00CB2727">
          <w:rPr>
            <w:noProof/>
            <w:webHidden/>
          </w:rPr>
          <w:fldChar w:fldCharType="separate"/>
        </w:r>
        <w:r w:rsidR="009F5483">
          <w:rPr>
            <w:noProof/>
            <w:webHidden/>
          </w:rPr>
          <w:t>31</w:t>
        </w:r>
        <w:r w:rsidR="00676BF5" w:rsidRPr="00CB2727">
          <w:rPr>
            <w:noProof/>
            <w:webHidden/>
          </w:rPr>
          <w:fldChar w:fldCharType="end"/>
        </w:r>
      </w:hyperlink>
    </w:p>
    <w:p w:rsidR="00676BF5" w:rsidRPr="00CB2727" w:rsidRDefault="008F124C">
      <w:pPr>
        <w:pStyle w:val="TableofFigures"/>
        <w:tabs>
          <w:tab w:val="right" w:leader="dot" w:pos="9016"/>
        </w:tabs>
        <w:rPr>
          <w:noProof/>
        </w:rPr>
      </w:pPr>
      <w:hyperlink w:anchor="_Toc475570502" w:history="1">
        <w:r w:rsidR="00676BF5" w:rsidRPr="00CB2727">
          <w:rPr>
            <w:rStyle w:val="Hyperlink"/>
            <w:rFonts w:ascii="Times New Roman" w:eastAsia="Calibri" w:hAnsi="Times New Roman"/>
            <w:noProof/>
          </w:rPr>
          <w:t>Equation 2</w:t>
        </w:r>
        <w:r w:rsidR="00CB2727">
          <w:rPr>
            <w:rStyle w:val="Hyperlink"/>
            <w:rFonts w:ascii="Times New Roman" w:eastAsia="Calibri" w:hAnsi="Times New Roman"/>
            <w:noProof/>
          </w:rPr>
          <w:t xml:space="preserve"> – Global Innovation Index (GII)</w:t>
        </w:r>
        <w:r w:rsidR="00676BF5" w:rsidRPr="00CB2727">
          <w:rPr>
            <w:rStyle w:val="Hyperlink"/>
            <w:rFonts w:ascii="Times New Roman" w:eastAsia="Calibri" w:hAnsi="Times New Roman"/>
            <w:noProof/>
          </w:rPr>
          <w:t xml:space="preserve"> </w:t>
        </w:r>
        <w:r w:rsidR="00676BF5" w:rsidRPr="00CB2727">
          <w:rPr>
            <w:rStyle w:val="Hyperlink"/>
            <w:rFonts w:ascii="Times New Roman" w:hAnsi="Times New Roman" w:cs="Times New Roman"/>
            <w:noProof/>
          </w:rPr>
          <w:t>.</w:t>
        </w:r>
        <w:r w:rsidR="00676BF5" w:rsidRPr="00CB2727">
          <w:rPr>
            <w:noProof/>
            <w:webHidden/>
          </w:rPr>
          <w:tab/>
        </w:r>
        <w:r w:rsidR="00676BF5" w:rsidRPr="00CB2727">
          <w:rPr>
            <w:noProof/>
            <w:webHidden/>
          </w:rPr>
          <w:fldChar w:fldCharType="begin"/>
        </w:r>
        <w:r w:rsidR="00676BF5" w:rsidRPr="00CB2727">
          <w:rPr>
            <w:noProof/>
            <w:webHidden/>
          </w:rPr>
          <w:instrText xml:space="preserve"> PAGEREF _Toc475570502 \h </w:instrText>
        </w:r>
        <w:r w:rsidR="00676BF5" w:rsidRPr="00CB2727">
          <w:rPr>
            <w:noProof/>
            <w:webHidden/>
          </w:rPr>
        </w:r>
        <w:r w:rsidR="00676BF5" w:rsidRPr="00CB2727">
          <w:rPr>
            <w:noProof/>
            <w:webHidden/>
          </w:rPr>
          <w:fldChar w:fldCharType="separate"/>
        </w:r>
        <w:r w:rsidR="009F5483">
          <w:rPr>
            <w:noProof/>
            <w:webHidden/>
          </w:rPr>
          <w:t>3</w:t>
        </w:r>
        <w:r w:rsidR="00676BF5" w:rsidRPr="00CB2727">
          <w:rPr>
            <w:noProof/>
            <w:webHidden/>
          </w:rPr>
          <w:fldChar w:fldCharType="end"/>
        </w:r>
      </w:hyperlink>
      <w:r w:rsidR="003E2F05">
        <w:rPr>
          <w:noProof/>
        </w:rPr>
        <w:t>6</w:t>
      </w:r>
    </w:p>
    <w:p w:rsidR="00676BF5" w:rsidRPr="00CB2727" w:rsidRDefault="008F124C">
      <w:pPr>
        <w:pStyle w:val="TableofFigures"/>
        <w:tabs>
          <w:tab w:val="right" w:leader="dot" w:pos="9016"/>
        </w:tabs>
        <w:rPr>
          <w:noProof/>
        </w:rPr>
      </w:pPr>
      <w:hyperlink w:anchor="_Toc475570503" w:history="1">
        <w:r w:rsidR="00676BF5" w:rsidRPr="00CB2727">
          <w:rPr>
            <w:rStyle w:val="Hyperlink"/>
            <w:rFonts w:ascii="Times New Roman" w:hAnsi="Times New Roman" w:cs="Times New Roman"/>
            <w:noProof/>
          </w:rPr>
          <w:t>Equation 3</w:t>
        </w:r>
        <w:r w:rsidR="00CB2727">
          <w:rPr>
            <w:rStyle w:val="Hyperlink"/>
            <w:rFonts w:ascii="Times New Roman" w:hAnsi="Times New Roman" w:cs="Times New Roman"/>
            <w:noProof/>
          </w:rPr>
          <w:t xml:space="preserve"> – Compound Annual Growth Rate (CAGR)</w:t>
        </w:r>
        <w:r w:rsidR="00676BF5" w:rsidRPr="00CB2727">
          <w:rPr>
            <w:noProof/>
            <w:webHidden/>
          </w:rPr>
          <w:tab/>
        </w:r>
        <w:r w:rsidR="00676BF5" w:rsidRPr="00CB2727">
          <w:rPr>
            <w:noProof/>
            <w:webHidden/>
          </w:rPr>
          <w:fldChar w:fldCharType="begin"/>
        </w:r>
        <w:r w:rsidR="00676BF5" w:rsidRPr="00CB2727">
          <w:rPr>
            <w:noProof/>
            <w:webHidden/>
          </w:rPr>
          <w:instrText xml:space="preserve"> PAGEREF _Toc475570503 \h </w:instrText>
        </w:r>
        <w:r w:rsidR="00676BF5" w:rsidRPr="00CB2727">
          <w:rPr>
            <w:noProof/>
            <w:webHidden/>
          </w:rPr>
        </w:r>
        <w:r w:rsidR="00676BF5" w:rsidRPr="00CB2727">
          <w:rPr>
            <w:noProof/>
            <w:webHidden/>
          </w:rPr>
          <w:fldChar w:fldCharType="separate"/>
        </w:r>
        <w:r w:rsidR="009F5483">
          <w:rPr>
            <w:noProof/>
            <w:webHidden/>
          </w:rPr>
          <w:t>64</w:t>
        </w:r>
        <w:r w:rsidR="00676BF5" w:rsidRPr="00CB2727">
          <w:rPr>
            <w:noProof/>
            <w:webHidden/>
          </w:rPr>
          <w:fldChar w:fldCharType="end"/>
        </w:r>
      </w:hyperlink>
    </w:p>
    <w:p w:rsidR="00676BF5" w:rsidRPr="00CB2727" w:rsidRDefault="008F124C">
      <w:pPr>
        <w:pStyle w:val="TableofFigures"/>
        <w:tabs>
          <w:tab w:val="right" w:leader="dot" w:pos="9016"/>
        </w:tabs>
        <w:rPr>
          <w:noProof/>
        </w:rPr>
      </w:pPr>
      <w:hyperlink w:anchor="_Toc475570504" w:history="1">
        <w:r w:rsidR="003F5788" w:rsidRPr="00CB2727">
          <w:rPr>
            <w:rStyle w:val="Hyperlink"/>
            <w:rFonts w:ascii="Times New Roman" w:hAnsi="Times New Roman" w:cs="Times New Roman"/>
            <w:noProof/>
          </w:rPr>
          <w:t>Equation 4</w:t>
        </w:r>
        <w:r w:rsidR="00354F46">
          <w:rPr>
            <w:rStyle w:val="Hyperlink"/>
            <w:rFonts w:ascii="Times New Roman" w:hAnsi="Times New Roman" w:cs="Times New Roman"/>
            <w:noProof/>
          </w:rPr>
          <w:t xml:space="preserve"> </w:t>
        </w:r>
        <w:r w:rsidR="00354F46" w:rsidRPr="00354F46">
          <w:rPr>
            <w:rStyle w:val="Hyperlink"/>
            <w:rFonts w:ascii="Times New Roman" w:hAnsi="Times New Roman" w:cs="Times New Roman"/>
            <w:noProof/>
          </w:rPr>
          <w:t>–</w:t>
        </w:r>
        <w:r w:rsidR="00354F46">
          <w:rPr>
            <w:rStyle w:val="Hyperlink"/>
            <w:rFonts w:ascii="Times New Roman" w:hAnsi="Times New Roman" w:cs="Times New Roman"/>
            <w:noProof/>
          </w:rPr>
          <w:t xml:space="preserve"> Total Electricity </w:t>
        </w:r>
        <w:r w:rsidR="00CB2727">
          <w:rPr>
            <w:rStyle w:val="Hyperlink"/>
            <w:rFonts w:ascii="Times New Roman" w:hAnsi="Times New Roman" w:cs="Times New Roman"/>
            <w:noProof/>
          </w:rPr>
          <w:t>Losses</w:t>
        </w:r>
        <w:r w:rsidR="003F5788" w:rsidRPr="00CB2727">
          <w:rPr>
            <w:rStyle w:val="Hyperlink"/>
            <w:rFonts w:ascii="Times New Roman" w:hAnsi="Times New Roman" w:cs="Times New Roman"/>
            <w:noProof/>
          </w:rPr>
          <w:t>……………</w:t>
        </w:r>
        <w:r w:rsidR="00354F46">
          <w:rPr>
            <w:rStyle w:val="Hyperlink"/>
            <w:rFonts w:ascii="Times New Roman" w:hAnsi="Times New Roman" w:cs="Times New Roman"/>
            <w:noProof/>
          </w:rPr>
          <w:t>....</w:t>
        </w:r>
        <w:r w:rsidR="00CB2727">
          <w:rPr>
            <w:rStyle w:val="Hyperlink"/>
            <w:rFonts w:ascii="Times New Roman" w:hAnsi="Times New Roman" w:cs="Times New Roman"/>
            <w:noProof/>
          </w:rPr>
          <w:t>..............................................................</w:t>
        </w:r>
        <w:r w:rsidR="00354F46">
          <w:rPr>
            <w:rStyle w:val="Hyperlink"/>
            <w:rFonts w:ascii="Times New Roman" w:hAnsi="Times New Roman" w:cs="Times New Roman"/>
            <w:noProof/>
          </w:rPr>
          <w:t>.</w:t>
        </w:r>
        <w:r w:rsidR="00CB2727">
          <w:rPr>
            <w:rStyle w:val="Hyperlink"/>
            <w:rFonts w:ascii="Times New Roman" w:hAnsi="Times New Roman" w:cs="Times New Roman"/>
            <w:noProof/>
          </w:rPr>
          <w:t>...........</w:t>
        </w:r>
        <w:r w:rsidR="00354F46">
          <w:rPr>
            <w:rStyle w:val="Hyperlink"/>
            <w:rFonts w:ascii="Times New Roman" w:hAnsi="Times New Roman" w:cs="Times New Roman"/>
            <w:noProof/>
          </w:rPr>
          <w:t xml:space="preserve">. </w:t>
        </w:r>
        <w:r w:rsidR="003E2F05">
          <w:rPr>
            <w:rStyle w:val="Hyperlink"/>
            <w:rFonts w:ascii="Times New Roman" w:hAnsi="Times New Roman" w:cs="Times New Roman"/>
            <w:noProof/>
          </w:rPr>
          <w:t>83</w:t>
        </w:r>
        <w:r w:rsidR="00CB2727">
          <w:rPr>
            <w:rStyle w:val="Hyperlink"/>
            <w:rFonts w:ascii="Times New Roman" w:hAnsi="Times New Roman" w:cs="Times New Roman"/>
            <w:noProof/>
          </w:rPr>
          <w:t xml:space="preserve"> </w:t>
        </w:r>
        <w:r w:rsidR="003F5788" w:rsidRPr="00CB2727">
          <w:rPr>
            <w:rStyle w:val="Hyperlink"/>
            <w:rFonts w:ascii="Times New Roman" w:hAnsi="Times New Roman" w:cs="Times New Roman"/>
            <w:noProof/>
          </w:rPr>
          <w:t>Equation 5</w:t>
        </w:r>
        <w:r w:rsidR="00CB2727">
          <w:rPr>
            <w:rStyle w:val="Hyperlink"/>
            <w:rFonts w:ascii="Times New Roman" w:hAnsi="Times New Roman" w:cs="Times New Roman"/>
            <w:noProof/>
          </w:rPr>
          <w:t xml:space="preserve"> – Loss Factor</w:t>
        </w:r>
        <w:r w:rsidR="00354F46">
          <w:rPr>
            <w:rStyle w:val="Hyperlink"/>
            <w:rFonts w:ascii="Times New Roman" w:hAnsi="Times New Roman" w:cs="Times New Roman"/>
            <w:noProof/>
          </w:rPr>
          <w:t xml:space="preserve"> (</w:t>
        </w:r>
        <w:r w:rsidR="00354F46" w:rsidRPr="008F124C">
          <w:rPr>
            <w:rStyle w:val="Hyperlink"/>
            <w:rFonts w:ascii="Times New Roman" w:hAnsi="Times New Roman" w:cs="Times New Roman"/>
            <w:noProof/>
            <w:u w:val="none"/>
          </w:rPr>
          <w:t>Electricity</w:t>
        </w:r>
        <w:r w:rsidR="00354F46">
          <w:rPr>
            <w:rStyle w:val="Hyperlink"/>
            <w:rFonts w:ascii="Times New Roman" w:hAnsi="Times New Roman" w:cs="Times New Roman"/>
            <w:noProof/>
          </w:rPr>
          <w:t>)</w:t>
        </w:r>
        <w:r w:rsidR="00676BF5" w:rsidRPr="00CB2727">
          <w:rPr>
            <w:noProof/>
            <w:webHidden/>
          </w:rPr>
          <w:tab/>
        </w:r>
        <w:r w:rsidR="00676BF5" w:rsidRPr="00CB2727">
          <w:rPr>
            <w:noProof/>
            <w:webHidden/>
          </w:rPr>
          <w:fldChar w:fldCharType="begin"/>
        </w:r>
        <w:r w:rsidR="00676BF5" w:rsidRPr="00CB2727">
          <w:rPr>
            <w:noProof/>
            <w:webHidden/>
          </w:rPr>
          <w:instrText xml:space="preserve"> PAGEREF _Toc475570504 \h </w:instrText>
        </w:r>
        <w:r w:rsidR="00676BF5" w:rsidRPr="00CB2727">
          <w:rPr>
            <w:noProof/>
            <w:webHidden/>
          </w:rPr>
        </w:r>
        <w:r w:rsidR="00676BF5" w:rsidRPr="00CB2727">
          <w:rPr>
            <w:noProof/>
            <w:webHidden/>
          </w:rPr>
          <w:fldChar w:fldCharType="separate"/>
        </w:r>
        <w:r w:rsidR="009F5483">
          <w:rPr>
            <w:noProof/>
            <w:webHidden/>
          </w:rPr>
          <w:t>8</w:t>
        </w:r>
        <w:r w:rsidR="00676BF5" w:rsidRPr="00CB2727">
          <w:rPr>
            <w:noProof/>
            <w:webHidden/>
          </w:rPr>
          <w:fldChar w:fldCharType="end"/>
        </w:r>
      </w:hyperlink>
      <w:r w:rsidR="003E2F05">
        <w:rPr>
          <w:noProof/>
        </w:rPr>
        <w:t>3</w:t>
      </w:r>
    </w:p>
    <w:p w:rsidR="00676BF5" w:rsidRPr="00CB2727" w:rsidRDefault="008F124C">
      <w:pPr>
        <w:pStyle w:val="TableofFigures"/>
        <w:tabs>
          <w:tab w:val="right" w:leader="dot" w:pos="9016"/>
        </w:tabs>
        <w:rPr>
          <w:noProof/>
        </w:rPr>
      </w:pPr>
      <w:hyperlink w:anchor="_Toc475570505" w:history="1">
        <w:r w:rsidR="00676BF5" w:rsidRPr="00CB2727">
          <w:rPr>
            <w:rStyle w:val="Hyperlink"/>
            <w:rFonts w:ascii="Times New Roman" w:hAnsi="Times New Roman" w:cs="Times New Roman"/>
            <w:noProof/>
          </w:rPr>
          <w:t>Equation 6</w:t>
        </w:r>
        <w:r w:rsidR="00CB2727">
          <w:rPr>
            <w:rStyle w:val="Hyperlink"/>
            <w:rFonts w:ascii="Times New Roman" w:hAnsi="Times New Roman" w:cs="Times New Roman"/>
            <w:noProof/>
          </w:rPr>
          <w:t xml:space="preserve"> – Carbon Content of Coke</w:t>
        </w:r>
        <w:r w:rsidR="00676BF5" w:rsidRPr="00CB2727">
          <w:rPr>
            <w:rStyle w:val="Hyperlink"/>
            <w:rFonts w:ascii="Times New Roman" w:eastAsia="Calibri" w:hAnsi="Times New Roman" w:cs="Times New Roman"/>
            <w:noProof/>
          </w:rPr>
          <w:t>.</w:t>
        </w:r>
        <w:r w:rsidR="00676BF5" w:rsidRPr="00CB2727">
          <w:rPr>
            <w:noProof/>
            <w:webHidden/>
          </w:rPr>
          <w:tab/>
        </w:r>
        <w:r w:rsidR="00676BF5" w:rsidRPr="00CB2727">
          <w:rPr>
            <w:noProof/>
            <w:webHidden/>
          </w:rPr>
          <w:fldChar w:fldCharType="begin"/>
        </w:r>
        <w:r w:rsidR="00676BF5" w:rsidRPr="00CB2727">
          <w:rPr>
            <w:noProof/>
            <w:webHidden/>
          </w:rPr>
          <w:instrText xml:space="preserve"> PAGEREF _Toc475570505 \h </w:instrText>
        </w:r>
        <w:r w:rsidR="00676BF5" w:rsidRPr="00CB2727">
          <w:rPr>
            <w:noProof/>
            <w:webHidden/>
          </w:rPr>
        </w:r>
        <w:r w:rsidR="00676BF5" w:rsidRPr="00CB2727">
          <w:rPr>
            <w:noProof/>
            <w:webHidden/>
          </w:rPr>
          <w:fldChar w:fldCharType="separate"/>
        </w:r>
        <w:r w:rsidR="009F5483">
          <w:rPr>
            <w:noProof/>
            <w:webHidden/>
          </w:rPr>
          <w:t>8</w:t>
        </w:r>
        <w:r w:rsidR="00676BF5" w:rsidRPr="00CB2727">
          <w:rPr>
            <w:noProof/>
            <w:webHidden/>
          </w:rPr>
          <w:fldChar w:fldCharType="end"/>
        </w:r>
      </w:hyperlink>
      <w:r w:rsidR="003E2F05">
        <w:rPr>
          <w:noProof/>
        </w:rPr>
        <w:t>5</w:t>
      </w:r>
    </w:p>
    <w:p w:rsidR="00676BF5" w:rsidRPr="00CB2727" w:rsidRDefault="008F124C">
      <w:pPr>
        <w:pStyle w:val="TableofFigures"/>
        <w:tabs>
          <w:tab w:val="right" w:leader="dot" w:pos="9016"/>
        </w:tabs>
        <w:rPr>
          <w:rFonts w:ascii="Times New Roman" w:hAnsi="Times New Roman" w:cs="Times New Roman"/>
          <w:noProof/>
        </w:rPr>
      </w:pPr>
      <w:hyperlink w:anchor="_Toc475570506" w:history="1">
        <w:r w:rsidR="003F5788" w:rsidRPr="00CB2727">
          <w:rPr>
            <w:rStyle w:val="Hyperlink"/>
            <w:rFonts w:ascii="Times New Roman" w:eastAsia="Calibri" w:hAnsi="Times New Roman" w:cs="Times New Roman"/>
            <w:noProof/>
          </w:rPr>
          <w:t>Equation 7</w:t>
        </w:r>
        <w:r w:rsidR="00354F46">
          <w:rPr>
            <w:rStyle w:val="Hyperlink"/>
            <w:rFonts w:ascii="Times New Roman" w:eastAsia="Calibri" w:hAnsi="Times New Roman" w:cs="Times New Roman"/>
            <w:noProof/>
          </w:rPr>
          <w:t xml:space="preserve"> </w:t>
        </w:r>
        <w:r w:rsidR="00354F46" w:rsidRPr="00354F46">
          <w:rPr>
            <w:rStyle w:val="Hyperlink"/>
            <w:rFonts w:ascii="Times New Roman" w:eastAsia="Calibri" w:hAnsi="Times New Roman" w:cs="Times New Roman"/>
            <w:noProof/>
          </w:rPr>
          <w:t>–</w:t>
        </w:r>
        <w:r w:rsidR="00354F46">
          <w:rPr>
            <w:rStyle w:val="Hyperlink"/>
            <w:rFonts w:ascii="Times New Roman" w:eastAsia="Calibri" w:hAnsi="Times New Roman" w:cs="Times New Roman"/>
            <w:noProof/>
          </w:rPr>
          <w:t xml:space="preserve"> </w:t>
        </w:r>
        <w:r w:rsidR="00CB2727">
          <w:rPr>
            <w:rStyle w:val="Hyperlink"/>
            <w:rFonts w:ascii="Times New Roman" w:eastAsia="Calibri" w:hAnsi="Times New Roman" w:cs="Times New Roman"/>
            <w:noProof/>
          </w:rPr>
          <w:t>Carbon</w:t>
        </w:r>
        <w:r w:rsidR="00474F96">
          <w:rPr>
            <w:rStyle w:val="Hyperlink"/>
            <w:rFonts w:ascii="Times New Roman" w:eastAsia="Calibri" w:hAnsi="Times New Roman" w:cs="Times New Roman"/>
            <w:noProof/>
          </w:rPr>
          <w:t xml:space="preserve"> Dioxide emitter per fuel source</w:t>
        </w:r>
        <w:r w:rsidR="00CB2727">
          <w:rPr>
            <w:rStyle w:val="Hyperlink"/>
            <w:rFonts w:ascii="Times New Roman" w:eastAsia="Calibri" w:hAnsi="Times New Roman" w:cs="Times New Roman"/>
            <w:noProof/>
          </w:rPr>
          <w:t xml:space="preserve"> </w:t>
        </w:r>
        <w:r w:rsidR="00676BF5" w:rsidRPr="00CB2727">
          <w:rPr>
            <w:rStyle w:val="Hyperlink"/>
            <w:rFonts w:ascii="Times New Roman" w:eastAsia="Calibri" w:hAnsi="Times New Roman" w:cs="Times New Roman"/>
            <w:noProof/>
          </w:rPr>
          <w:t>.</w:t>
        </w:r>
        <w:r w:rsidR="00676BF5" w:rsidRPr="00CB2727">
          <w:rPr>
            <w:noProof/>
            <w:webHidden/>
          </w:rPr>
          <w:tab/>
        </w:r>
        <w:r w:rsidR="00676BF5" w:rsidRPr="00CB2727">
          <w:rPr>
            <w:noProof/>
            <w:webHidden/>
          </w:rPr>
          <w:fldChar w:fldCharType="begin"/>
        </w:r>
        <w:r w:rsidR="00676BF5" w:rsidRPr="00CB2727">
          <w:rPr>
            <w:noProof/>
            <w:webHidden/>
          </w:rPr>
          <w:instrText xml:space="preserve"> PAGEREF _Toc475570506 \h </w:instrText>
        </w:r>
        <w:r w:rsidR="00676BF5" w:rsidRPr="00CB2727">
          <w:rPr>
            <w:noProof/>
            <w:webHidden/>
          </w:rPr>
        </w:r>
        <w:r w:rsidR="00676BF5" w:rsidRPr="00CB2727">
          <w:rPr>
            <w:noProof/>
            <w:webHidden/>
          </w:rPr>
          <w:fldChar w:fldCharType="separate"/>
        </w:r>
        <w:r w:rsidR="009F5483">
          <w:rPr>
            <w:noProof/>
            <w:webHidden/>
          </w:rPr>
          <w:t>8</w:t>
        </w:r>
        <w:r w:rsidR="00676BF5" w:rsidRPr="00CB2727">
          <w:rPr>
            <w:noProof/>
            <w:webHidden/>
          </w:rPr>
          <w:fldChar w:fldCharType="end"/>
        </w:r>
      </w:hyperlink>
      <w:r w:rsidR="003E2F05">
        <w:rPr>
          <w:noProof/>
        </w:rPr>
        <w:t>6</w:t>
      </w:r>
    </w:p>
    <w:p w:rsidR="006A62D1" w:rsidRPr="005B3139" w:rsidRDefault="009A0ED7" w:rsidP="006A62D1">
      <w:pPr>
        <w:spacing w:line="360" w:lineRule="auto"/>
        <w:jc w:val="both"/>
        <w:rPr>
          <w:rFonts w:ascii="Times New Roman" w:eastAsia="Calibri" w:hAnsi="Times New Roman" w:cs="Times New Roman"/>
          <w:color w:val="7030A0"/>
        </w:rPr>
      </w:pPr>
      <w:r>
        <w:rPr>
          <w:rFonts w:ascii="Times New Roman" w:eastAsia="Calibri" w:hAnsi="Times New Roman" w:cs="Times New Roman"/>
          <w:color w:val="7030A0"/>
        </w:rPr>
        <w:fldChar w:fldCharType="end"/>
      </w:r>
    </w:p>
    <w:p w:rsidR="00CB2727" w:rsidRDefault="00CB2727" w:rsidP="006A62D1">
      <w:pPr>
        <w:spacing w:line="360" w:lineRule="auto"/>
        <w:jc w:val="both"/>
        <w:rPr>
          <w:rFonts w:ascii="Times New Roman" w:eastAsia="Calibri" w:hAnsi="Times New Roman" w:cs="Times New Roman"/>
          <w:color w:val="7030A0"/>
        </w:rPr>
        <w:sectPr w:rsidR="00CB2727">
          <w:pgSz w:w="11906" w:h="16838"/>
          <w:pgMar w:top="1440" w:right="1440" w:bottom="1440" w:left="1440" w:header="708" w:footer="708" w:gutter="0"/>
          <w:cols w:space="708"/>
          <w:docGrid w:linePitch="360"/>
        </w:sectPr>
      </w:pPr>
    </w:p>
    <w:p w:rsidR="006A62D1" w:rsidRPr="00B922DC" w:rsidRDefault="003C2B8F" w:rsidP="00B922DC">
      <w:pPr>
        <w:pStyle w:val="Heading1"/>
      </w:pPr>
      <w:r>
        <w:lastRenderedPageBreak/>
        <w:t>1. Introduction</w:t>
      </w:r>
      <w:r w:rsidR="00D21FD4">
        <w:t xml:space="preserve"> </w:t>
      </w:r>
    </w:p>
    <w:p w:rsidR="006A62D1" w:rsidRPr="00B922DC" w:rsidRDefault="00B922DC" w:rsidP="00B922DC">
      <w:pPr>
        <w:pStyle w:val="Heading2"/>
      </w:pPr>
      <w:r w:rsidRPr="00B922DC">
        <w:t>1.1 Introduction of</w:t>
      </w:r>
      <w:r w:rsidR="003D356E" w:rsidRPr="00B922DC">
        <w:t xml:space="preserve"> the context of the research</w:t>
      </w:r>
      <w:r w:rsidR="00D21FD4">
        <w:t xml:space="preserve"> </w:t>
      </w:r>
    </w:p>
    <w:p w:rsidR="00071E82" w:rsidRPr="00981ADF" w:rsidRDefault="00071E82" w:rsidP="00071E82">
      <w:pPr>
        <w:spacing w:after="0" w:line="360" w:lineRule="auto"/>
        <w:ind w:firstLine="720"/>
        <w:jc w:val="both"/>
        <w:rPr>
          <w:rFonts w:ascii="Times New Roman" w:hAnsi="Times New Roman" w:cs="Times New Roman"/>
          <w:b/>
          <w:bCs/>
          <w:color w:val="365F91"/>
          <w:sz w:val="28"/>
          <w:szCs w:val="28"/>
        </w:rPr>
      </w:pPr>
      <w:r w:rsidRPr="00981ADF">
        <w:rPr>
          <w:rFonts w:ascii="Times New Roman" w:hAnsi="Times New Roman" w:cs="Times New Roman"/>
        </w:rPr>
        <w:t>Globally</w:t>
      </w:r>
      <w:r w:rsidR="00DE4612" w:rsidRPr="00981ADF">
        <w:rPr>
          <w:rFonts w:ascii="Times New Roman" w:hAnsi="Times New Roman" w:cs="Times New Roman"/>
        </w:rPr>
        <w:t xml:space="preserve"> raw materials are distributed disproportionately</w:t>
      </w:r>
      <w:r w:rsidRPr="00981ADF">
        <w:rPr>
          <w:rFonts w:ascii="Times New Roman" w:hAnsi="Times New Roman" w:cs="Times New Roman"/>
        </w:rPr>
        <w:t>,</w:t>
      </w:r>
      <w:r w:rsidR="00DE4612" w:rsidRPr="00981ADF">
        <w:rPr>
          <w:rFonts w:ascii="Times New Roman" w:hAnsi="Times New Roman" w:cs="Times New Roman"/>
        </w:rPr>
        <w:t xml:space="preserve"> but are present in finite yet changing quantities </w:t>
      </w:r>
      <w:r w:rsidRPr="00981ADF">
        <w:rPr>
          <w:rFonts w:ascii="Times New Roman" w:hAnsi="Times New Roman" w:cs="Times New Roman"/>
        </w:rPr>
        <w:t>within</w:t>
      </w:r>
      <w:r w:rsidR="00354F46">
        <w:rPr>
          <w:rFonts w:ascii="Times New Roman" w:hAnsi="Times New Roman" w:cs="Times New Roman"/>
        </w:rPr>
        <w:t xml:space="preserve"> the E</w:t>
      </w:r>
      <w:r w:rsidR="00DE4612" w:rsidRPr="00981ADF">
        <w:rPr>
          <w:rFonts w:ascii="Times New Roman" w:hAnsi="Times New Roman" w:cs="Times New Roman"/>
        </w:rPr>
        <w:t xml:space="preserve">arth’s crust. </w:t>
      </w:r>
      <w:r w:rsidRPr="00981ADF">
        <w:rPr>
          <w:rFonts w:ascii="Times New Roman" w:hAnsi="Times New Roman" w:cs="Times New Roman"/>
        </w:rPr>
        <w:t>For example over 50% of chromium and vanadium are mined in China, whereas over 90% of niobium is mined in Brazil. Thus any disruptions to supply, due to economic or political matters, will have a substantial impact on the economies of countries and industries reliant on these raw materials.</w:t>
      </w:r>
    </w:p>
    <w:p w:rsidR="002433EA" w:rsidRPr="00981ADF" w:rsidRDefault="00DE4612" w:rsidP="002433EA">
      <w:pPr>
        <w:spacing w:after="0" w:line="360" w:lineRule="auto"/>
        <w:ind w:firstLine="720"/>
        <w:jc w:val="both"/>
        <w:rPr>
          <w:rFonts w:ascii="Times New Roman" w:hAnsi="Times New Roman" w:cs="Times New Roman"/>
        </w:rPr>
      </w:pPr>
      <w:r w:rsidRPr="00981ADF">
        <w:rPr>
          <w:rFonts w:ascii="Times New Roman" w:hAnsi="Times New Roman" w:cs="Times New Roman"/>
        </w:rPr>
        <w:t>Consequently, the UK and EU have produced several high level g</w:t>
      </w:r>
      <w:r w:rsidR="00071E82" w:rsidRPr="00981ADF">
        <w:rPr>
          <w:rFonts w:ascii="Times New Roman" w:hAnsi="Times New Roman" w:cs="Times New Roman"/>
        </w:rPr>
        <w:t>overnment reports over the last decade emphasising</w:t>
      </w:r>
      <w:r w:rsidRPr="00981ADF">
        <w:rPr>
          <w:rFonts w:ascii="Times New Roman" w:hAnsi="Times New Roman" w:cs="Times New Roman"/>
        </w:rPr>
        <w:t xml:space="preserve"> several risks surrounding the supply of</w:t>
      </w:r>
      <w:r w:rsidR="00071E82" w:rsidRPr="00981ADF">
        <w:rPr>
          <w:rFonts w:ascii="Times New Roman" w:hAnsi="Times New Roman" w:cs="Times New Roman"/>
        </w:rPr>
        <w:t xml:space="preserve"> these</w:t>
      </w:r>
      <w:r w:rsidRPr="00981ADF">
        <w:rPr>
          <w:rFonts w:ascii="Times New Roman" w:hAnsi="Times New Roman" w:cs="Times New Roman"/>
        </w:rPr>
        <w:t xml:space="preserve"> </w:t>
      </w:r>
      <w:r w:rsidR="00071E82" w:rsidRPr="00981ADF">
        <w:rPr>
          <w:rFonts w:ascii="Times New Roman" w:hAnsi="Times New Roman" w:cs="Times New Roman"/>
        </w:rPr>
        <w:t>‘</w:t>
      </w:r>
      <w:r w:rsidRPr="00981ADF">
        <w:rPr>
          <w:rFonts w:ascii="Times New Roman" w:hAnsi="Times New Roman" w:cs="Times New Roman"/>
        </w:rPr>
        <w:t>strategically</w:t>
      </w:r>
      <w:r w:rsidR="00071E82" w:rsidRPr="00981ADF">
        <w:rPr>
          <w:rFonts w:ascii="Times New Roman" w:hAnsi="Times New Roman" w:cs="Times New Roman"/>
        </w:rPr>
        <w:t>’</w:t>
      </w:r>
      <w:r w:rsidRPr="00981ADF">
        <w:rPr>
          <w:rFonts w:ascii="Times New Roman" w:hAnsi="Times New Roman" w:cs="Times New Roman"/>
        </w:rPr>
        <w:t xml:space="preserve"> important</w:t>
      </w:r>
      <w:r w:rsidR="00071E82" w:rsidRPr="00981ADF">
        <w:rPr>
          <w:rFonts w:ascii="Times New Roman" w:hAnsi="Times New Roman" w:cs="Times New Roman"/>
        </w:rPr>
        <w:t xml:space="preserve"> raw</w:t>
      </w:r>
      <w:r w:rsidRPr="00981ADF">
        <w:rPr>
          <w:rFonts w:ascii="Times New Roman" w:hAnsi="Times New Roman" w:cs="Times New Roman"/>
        </w:rPr>
        <w:t xml:space="preserve"> materials. Apart from being over reliant on a single producer, the production concentrations are compounded by low recycling rates and low substitutability. This therefore has helped to initiate a much larger focus </w:t>
      </w:r>
      <w:r w:rsidR="00071E82" w:rsidRPr="00981ADF">
        <w:rPr>
          <w:rFonts w:ascii="Times New Roman" w:hAnsi="Times New Roman" w:cs="Times New Roman"/>
        </w:rPr>
        <w:t xml:space="preserve">on the </w:t>
      </w:r>
      <w:r w:rsidRPr="00981ADF">
        <w:rPr>
          <w:rFonts w:ascii="Times New Roman" w:hAnsi="Times New Roman" w:cs="Times New Roman"/>
        </w:rPr>
        <w:t>supply chains of these</w:t>
      </w:r>
      <w:r w:rsidR="00071E82" w:rsidRPr="00981ADF">
        <w:rPr>
          <w:rFonts w:ascii="Times New Roman" w:hAnsi="Times New Roman" w:cs="Times New Roman"/>
        </w:rPr>
        <w:t xml:space="preserve"> </w:t>
      </w:r>
      <w:r w:rsidRPr="00981ADF">
        <w:rPr>
          <w:rFonts w:ascii="Times New Roman" w:hAnsi="Times New Roman" w:cs="Times New Roman"/>
        </w:rPr>
        <w:t>materials</w:t>
      </w:r>
      <w:r w:rsidR="00CB64EE" w:rsidRPr="00981ADF">
        <w:rPr>
          <w:rFonts w:ascii="Times New Roman" w:hAnsi="Times New Roman" w:cs="Times New Roman"/>
        </w:rPr>
        <w:t xml:space="preserve"> via Material Flow Analysis (MFA)</w:t>
      </w:r>
      <w:r w:rsidRPr="00981ADF">
        <w:rPr>
          <w:rFonts w:ascii="Times New Roman" w:hAnsi="Times New Roman" w:cs="Times New Roman"/>
        </w:rPr>
        <w:t>.</w:t>
      </w:r>
      <w:r w:rsidR="002433EA" w:rsidRPr="00981ADF">
        <w:rPr>
          <w:rFonts w:ascii="Times New Roman" w:hAnsi="Times New Roman" w:cs="Times New Roman"/>
        </w:rPr>
        <w:t xml:space="preserve"> However, the majority of these raw materials are also key ingredients in the production of ferro-alloys.</w:t>
      </w:r>
    </w:p>
    <w:p w:rsidR="00071E82" w:rsidRPr="00981ADF" w:rsidRDefault="00F77BBB" w:rsidP="002433EA">
      <w:pPr>
        <w:spacing w:after="0" w:line="360" w:lineRule="auto"/>
        <w:ind w:firstLine="720"/>
        <w:jc w:val="both"/>
        <w:rPr>
          <w:rFonts w:ascii="Times New Roman" w:eastAsia="Calibri" w:hAnsi="Times New Roman" w:cs="Times New Roman"/>
        </w:rPr>
      </w:pPr>
      <w:r w:rsidRPr="00981ADF">
        <w:rPr>
          <w:rFonts w:ascii="Times New Roman" w:eastAsia="Calibri" w:hAnsi="Times New Roman" w:cs="Times New Roman"/>
        </w:rPr>
        <w:t>Ferro-alloys are essential in the steel making process and also play a pivotal role in the practical performance of steel products. However, despite the significance of the ferro-alloy industry, the number of studies</w:t>
      </w:r>
      <w:r w:rsidR="002433EA" w:rsidRPr="00981ADF">
        <w:rPr>
          <w:rFonts w:ascii="Times New Roman" w:eastAsia="Calibri" w:hAnsi="Times New Roman" w:cs="Times New Roman"/>
        </w:rPr>
        <w:t xml:space="preserve"> reported in literature, especially pertaining to the use of Life Cycle Assessment (LCA), </w:t>
      </w:r>
      <w:r w:rsidRPr="00981ADF">
        <w:rPr>
          <w:rFonts w:ascii="Times New Roman" w:eastAsia="Calibri" w:hAnsi="Times New Roman" w:cs="Times New Roman"/>
        </w:rPr>
        <w:t>remains small and limited.</w:t>
      </w:r>
    </w:p>
    <w:p w:rsidR="00B922DC" w:rsidRPr="00981ADF" w:rsidRDefault="00B922DC" w:rsidP="002433EA">
      <w:pPr>
        <w:spacing w:after="0" w:line="360" w:lineRule="auto"/>
        <w:ind w:firstLine="720"/>
        <w:jc w:val="both"/>
        <w:rPr>
          <w:rFonts w:ascii="Times New Roman" w:eastAsia="Calibri" w:hAnsi="Times New Roman" w:cs="Times New Roman"/>
        </w:rPr>
      </w:pPr>
      <w:r w:rsidRPr="00981ADF">
        <w:rPr>
          <w:rFonts w:ascii="Times New Roman" w:eastAsia="Calibri" w:hAnsi="Times New Roman" w:cs="Times New Roman"/>
        </w:rPr>
        <w:t>The purpose of this thesis is to critically assess the supply and environmental impact of ferro-alloys in the steel industry utilising MFA and LCA methodologies.</w:t>
      </w:r>
    </w:p>
    <w:p w:rsidR="00221872" w:rsidRPr="00981ADF" w:rsidRDefault="00B922DC" w:rsidP="00B922DC">
      <w:pPr>
        <w:spacing w:after="0" w:line="360" w:lineRule="auto"/>
        <w:ind w:firstLine="720"/>
        <w:jc w:val="both"/>
        <w:rPr>
          <w:rFonts w:ascii="Times New Roman" w:hAnsi="Times New Roman" w:cs="Times New Roman"/>
        </w:rPr>
      </w:pPr>
      <w:r w:rsidRPr="00981ADF">
        <w:rPr>
          <w:rFonts w:ascii="Times New Roman" w:eastAsia="Calibri" w:hAnsi="Times New Roman" w:cs="Times New Roman"/>
        </w:rPr>
        <w:t xml:space="preserve"> MFA is a technique that allows the user to assess the flows of valuable substances from supply to recycling whether it is domestic, corporate or on a global scale. These flows can then be visually represented allowing the identification of bottlenecks, knowledge gaps, potential threats and opportunities. LCA on the other hand allows the user to observe resource efficiency. </w:t>
      </w:r>
      <w:r w:rsidRPr="00981ADF">
        <w:rPr>
          <w:rFonts w:ascii="Times New Roman" w:hAnsi="Times New Roman" w:cs="Times New Roman"/>
        </w:rPr>
        <w:t xml:space="preserve">It can evaluate process and material choices as well as identifying environmentally </w:t>
      </w:r>
      <w:r w:rsidR="00221872" w:rsidRPr="00981ADF">
        <w:rPr>
          <w:rFonts w:ascii="Times New Roman" w:hAnsi="Times New Roman" w:cs="Times New Roman"/>
        </w:rPr>
        <w:t>weak/strong points in a system.</w:t>
      </w:r>
    </w:p>
    <w:p w:rsidR="00116E1F" w:rsidRDefault="00B922DC" w:rsidP="00B922DC">
      <w:pPr>
        <w:spacing w:after="0" w:line="360" w:lineRule="auto"/>
        <w:ind w:firstLine="720"/>
        <w:jc w:val="both"/>
        <w:rPr>
          <w:rFonts w:ascii="Times New Roman" w:hAnsi="Times New Roman" w:cs="Times New Roman"/>
        </w:rPr>
      </w:pPr>
      <w:r w:rsidRPr="00981ADF">
        <w:rPr>
          <w:rFonts w:ascii="Times New Roman" w:hAnsi="Times New Roman" w:cs="Times New Roman"/>
        </w:rPr>
        <w:t>Since much of the global as well as UK focus has been on Rare Earth Elements (REE) and on ‘Green Technologies’,  it has presented an opportunity to investigate ferro-alloys used extensively in the steel industry</w:t>
      </w:r>
      <w:r w:rsidR="00116E1F">
        <w:rPr>
          <w:rFonts w:ascii="Times New Roman" w:hAnsi="Times New Roman" w:cs="Times New Roman"/>
        </w:rPr>
        <w:t>.</w:t>
      </w:r>
    </w:p>
    <w:p w:rsidR="00B922DC" w:rsidRPr="00981ADF" w:rsidRDefault="00B922DC" w:rsidP="00116E1F">
      <w:pPr>
        <w:spacing w:after="0" w:line="360" w:lineRule="auto"/>
        <w:jc w:val="both"/>
        <w:rPr>
          <w:rFonts w:ascii="Times New Roman" w:hAnsi="Times New Roman" w:cs="Times New Roman"/>
        </w:rPr>
      </w:pPr>
    </w:p>
    <w:p w:rsidR="00116E1F" w:rsidRDefault="00116E1F" w:rsidP="00B922DC">
      <w:pPr>
        <w:spacing w:after="0" w:line="360" w:lineRule="auto"/>
        <w:ind w:firstLine="720"/>
        <w:jc w:val="both"/>
        <w:rPr>
          <w:rFonts w:ascii="Times New Roman" w:hAnsi="Times New Roman"/>
        </w:rPr>
        <w:sectPr w:rsidR="00116E1F">
          <w:pgSz w:w="11906" w:h="16838"/>
          <w:pgMar w:top="1440" w:right="1440" w:bottom="1440" w:left="1440" w:header="708" w:footer="708" w:gutter="0"/>
          <w:cols w:space="708"/>
          <w:docGrid w:linePitch="360"/>
        </w:sectPr>
      </w:pPr>
    </w:p>
    <w:p w:rsidR="00B922DC" w:rsidRDefault="00B922DC" w:rsidP="00B922DC">
      <w:pPr>
        <w:pStyle w:val="Heading2"/>
        <w:rPr>
          <w:rFonts w:eastAsia="Calibri" w:cs="Times New Roman"/>
        </w:rPr>
      </w:pPr>
      <w:r>
        <w:lastRenderedPageBreak/>
        <w:t>1.2 Summary of current research</w:t>
      </w:r>
      <w:r w:rsidR="00981ADF">
        <w:t xml:space="preserve"> </w:t>
      </w:r>
    </w:p>
    <w:p w:rsidR="007A3FB6" w:rsidRPr="00981ADF" w:rsidRDefault="00EF7AC8" w:rsidP="007A3FB6">
      <w:pPr>
        <w:spacing w:after="0" w:line="360" w:lineRule="auto"/>
        <w:ind w:firstLine="720"/>
        <w:jc w:val="both"/>
        <w:rPr>
          <w:rFonts w:ascii="Times New Roman" w:hAnsi="Times New Roman"/>
        </w:rPr>
      </w:pPr>
      <w:r w:rsidRPr="00981ADF">
        <w:rPr>
          <w:rFonts w:ascii="Times New Roman" w:hAnsi="Times New Roman"/>
        </w:rPr>
        <w:t>Evaluation of existing research has revealed a number of knowledge gaps particularly in areas concerning definition of criticality, MFA</w:t>
      </w:r>
      <w:r w:rsidR="003C2B8F" w:rsidRPr="00981ADF">
        <w:rPr>
          <w:rFonts w:ascii="Times New Roman" w:hAnsi="Times New Roman"/>
        </w:rPr>
        <w:t xml:space="preserve"> of critical elements</w:t>
      </w:r>
      <w:r w:rsidRPr="00981ADF">
        <w:rPr>
          <w:rFonts w:ascii="Times New Roman" w:hAnsi="Times New Roman"/>
        </w:rPr>
        <w:t xml:space="preserve">, LCA of electricity and ferro-alloys. The subsequent paragraphs are brief summaries highlighting </w:t>
      </w:r>
      <w:r w:rsidR="003C2B8F" w:rsidRPr="00981ADF">
        <w:rPr>
          <w:rFonts w:ascii="Times New Roman" w:hAnsi="Times New Roman"/>
        </w:rPr>
        <w:t>the current understanding of the topic as well as opportunities</w:t>
      </w:r>
      <w:r w:rsidR="00D51CA7" w:rsidRPr="00981ADF">
        <w:rPr>
          <w:rFonts w:ascii="Times New Roman" w:hAnsi="Times New Roman"/>
        </w:rPr>
        <w:t xml:space="preserve"> for this research</w:t>
      </w:r>
      <w:r w:rsidR="003C2B8F" w:rsidRPr="00981ADF">
        <w:rPr>
          <w:rFonts w:ascii="Times New Roman" w:hAnsi="Times New Roman"/>
        </w:rPr>
        <w:t>.</w:t>
      </w:r>
    </w:p>
    <w:p w:rsidR="007A3FB6" w:rsidRPr="00116E1F" w:rsidRDefault="003C2B8F" w:rsidP="007A3FB6">
      <w:pPr>
        <w:spacing w:after="0" w:line="360" w:lineRule="auto"/>
        <w:ind w:firstLine="720"/>
        <w:jc w:val="both"/>
        <w:rPr>
          <w:rFonts w:ascii="Times New Roman" w:hAnsi="Times New Roman"/>
        </w:rPr>
      </w:pPr>
      <w:r w:rsidRPr="00116E1F">
        <w:rPr>
          <w:rFonts w:ascii="Times New Roman" w:hAnsi="Times New Roman"/>
        </w:rPr>
        <w:t>With regards to criticality</w:t>
      </w:r>
      <w:r w:rsidR="00D51CA7" w:rsidRPr="00116E1F">
        <w:rPr>
          <w:rFonts w:ascii="Times New Roman" w:hAnsi="Times New Roman"/>
        </w:rPr>
        <w:t>, this</w:t>
      </w:r>
      <w:r w:rsidR="007A3FB6" w:rsidRPr="00116E1F">
        <w:rPr>
          <w:rFonts w:ascii="Times New Roman" w:hAnsi="Times New Roman"/>
        </w:rPr>
        <w:t xml:space="preserve"> topic</w:t>
      </w:r>
      <w:r w:rsidR="00D51CA7" w:rsidRPr="00116E1F">
        <w:rPr>
          <w:rFonts w:ascii="Times New Roman" w:hAnsi="Times New Roman"/>
        </w:rPr>
        <w:t xml:space="preserve"> has been investigated by a number of international organisations including: British Geological Survey (BGS), European Commission and United States Geological Survey (USGS) to name a few. </w:t>
      </w:r>
      <w:r w:rsidR="007A3FB6" w:rsidRPr="00116E1F">
        <w:rPr>
          <w:rFonts w:ascii="Times New Roman" w:hAnsi="Times New Roman"/>
        </w:rPr>
        <w:t xml:space="preserve">However Thomas Graedel (Yale University) is the leading figure in criticality studies. </w:t>
      </w:r>
    </w:p>
    <w:p w:rsidR="007A3FB6" w:rsidRPr="00116E1F" w:rsidRDefault="007A3FB6" w:rsidP="001E290A">
      <w:pPr>
        <w:spacing w:after="0" w:line="360" w:lineRule="auto"/>
        <w:ind w:firstLine="720"/>
        <w:jc w:val="both"/>
        <w:rPr>
          <w:rFonts w:ascii="Times New Roman" w:hAnsi="Times New Roman"/>
        </w:rPr>
      </w:pPr>
      <w:r w:rsidRPr="00116E1F">
        <w:rPr>
          <w:rFonts w:ascii="Times New Roman" w:eastAsia="Calibri" w:hAnsi="Times New Roman" w:cs="Times New Roman"/>
        </w:rPr>
        <w:t>In the majority of</w:t>
      </w:r>
      <w:r w:rsidR="001E290A" w:rsidRPr="00116E1F">
        <w:rPr>
          <w:rFonts w:ascii="Times New Roman" w:eastAsia="Calibri" w:hAnsi="Times New Roman" w:cs="Times New Roman"/>
        </w:rPr>
        <w:t xml:space="preserve"> </w:t>
      </w:r>
      <w:r w:rsidRPr="00116E1F">
        <w:rPr>
          <w:rFonts w:ascii="Times New Roman" w:eastAsia="Calibri" w:hAnsi="Times New Roman" w:cs="Times New Roman"/>
        </w:rPr>
        <w:t xml:space="preserve">criticality studies, criticality is still considered from an individual perspective, thus explaining the lack of a single definition of criticality between the numerous studies present. </w:t>
      </w:r>
      <w:r w:rsidRPr="00116E1F">
        <w:rPr>
          <w:rFonts w:ascii="Times New Roman" w:hAnsi="Times New Roman"/>
        </w:rPr>
        <w:t xml:space="preserve">For instance, the study by the </w:t>
      </w:r>
      <w:r w:rsidRPr="00116E1F">
        <w:rPr>
          <w:rFonts w:ascii="Times New Roman" w:hAnsi="Times New Roman"/>
          <w:noProof/>
        </w:rPr>
        <w:t>(British Geological Survey 2012)</w:t>
      </w:r>
      <w:r w:rsidRPr="00116E1F">
        <w:rPr>
          <w:rFonts w:ascii="Times New Roman" w:hAnsi="Times New Roman"/>
        </w:rPr>
        <w:t xml:space="preserve"> defines criticality, based on those elements that we need to maintain our economy and lifestyle. Whereas, the </w:t>
      </w:r>
      <w:r w:rsidR="008162D0" w:rsidRPr="00116E1F">
        <w:rPr>
          <w:rFonts w:ascii="Times New Roman" w:hAnsi="Times New Roman"/>
          <w:noProof/>
        </w:rPr>
        <w:t>Science and Technology Committee,</w:t>
      </w:r>
      <w:r w:rsidRPr="00116E1F">
        <w:rPr>
          <w:rFonts w:ascii="Times New Roman" w:hAnsi="Times New Roman"/>
          <w:noProof/>
        </w:rPr>
        <w:t xml:space="preserve"> </w:t>
      </w:r>
      <w:r w:rsidR="00381525">
        <w:rPr>
          <w:rFonts w:ascii="Times New Roman" w:hAnsi="Times New Roman"/>
          <w:noProof/>
        </w:rPr>
        <w:t>(</w:t>
      </w:r>
      <w:r w:rsidRPr="00116E1F">
        <w:rPr>
          <w:rFonts w:ascii="Times New Roman" w:hAnsi="Times New Roman"/>
          <w:noProof/>
        </w:rPr>
        <w:t>2011)</w:t>
      </w:r>
      <w:r w:rsidRPr="00116E1F">
        <w:rPr>
          <w:rFonts w:ascii="Times New Roman" w:hAnsi="Times New Roman"/>
        </w:rPr>
        <w:t xml:space="preserve"> study refers to th</w:t>
      </w:r>
      <w:r w:rsidR="001B2F5D" w:rsidRPr="00116E1F">
        <w:rPr>
          <w:rFonts w:ascii="Times New Roman" w:hAnsi="Times New Roman"/>
        </w:rPr>
        <w:t xml:space="preserve">ese materials </w:t>
      </w:r>
      <w:r w:rsidRPr="00116E1F">
        <w:rPr>
          <w:rFonts w:ascii="Times New Roman" w:hAnsi="Times New Roman"/>
        </w:rPr>
        <w:t>as ‘strategic’ not critical, and def</w:t>
      </w:r>
      <w:r w:rsidR="001B2F5D" w:rsidRPr="00116E1F">
        <w:rPr>
          <w:rFonts w:ascii="Times New Roman" w:hAnsi="Times New Roman"/>
        </w:rPr>
        <w:t xml:space="preserve">ines ‘strategic raw materials’ </w:t>
      </w:r>
      <w:r w:rsidRPr="00116E1F">
        <w:rPr>
          <w:rFonts w:ascii="Times New Roman" w:hAnsi="Times New Roman"/>
        </w:rPr>
        <w:t>as those that may be of importance to any user within the UK.</w:t>
      </w:r>
      <w:r w:rsidR="001E290A" w:rsidRPr="00116E1F">
        <w:rPr>
          <w:rFonts w:ascii="Times New Roman" w:hAnsi="Times New Roman"/>
        </w:rPr>
        <w:t xml:space="preserve"> Apart from a clear definition, a</w:t>
      </w:r>
      <w:r w:rsidRPr="00116E1F">
        <w:rPr>
          <w:rFonts w:ascii="Times New Roman" w:hAnsi="Times New Roman"/>
        </w:rPr>
        <w:t xml:space="preserve"> comprehensive review of the literature has indicated little or no studies focusing on the issue of criticality and its relevance to the steel industry. Although a wide variety of raw materials associated with steel have been investigated in the major criticality studies of interest, no specific focus has been directed on defining what elements are critical to the steel industry.</w:t>
      </w:r>
    </w:p>
    <w:p w:rsidR="00B922DC" w:rsidRPr="00116E1F" w:rsidRDefault="00221872" w:rsidP="007926FB">
      <w:pPr>
        <w:spacing w:after="0" w:line="360" w:lineRule="auto"/>
        <w:ind w:firstLine="720"/>
        <w:jc w:val="both"/>
        <w:rPr>
          <w:rFonts w:ascii="Times New Roman" w:hAnsi="Times New Roman" w:cs="Times New Roman"/>
        </w:rPr>
      </w:pPr>
      <w:r w:rsidRPr="00116E1F">
        <w:rPr>
          <w:rFonts w:ascii="Times New Roman" w:hAnsi="Times New Roman"/>
        </w:rPr>
        <w:t>In relation to</w:t>
      </w:r>
      <w:r w:rsidR="007A3FB6" w:rsidRPr="00116E1F">
        <w:rPr>
          <w:rFonts w:ascii="Times New Roman" w:hAnsi="Times New Roman"/>
        </w:rPr>
        <w:t xml:space="preserve"> MFA studies, to summarise since the year 2000, a total of 1,074 individual cycles have been constructed from approximately 350 publications for 59 elements. </w:t>
      </w:r>
      <w:r w:rsidR="00354F46">
        <w:rPr>
          <w:rFonts w:ascii="Times New Roman" w:hAnsi="Times New Roman" w:cs="Times New Roman"/>
        </w:rPr>
        <w:t>Two principal</w:t>
      </w:r>
      <w:r w:rsidR="007A3FB6" w:rsidRPr="00116E1F">
        <w:rPr>
          <w:rFonts w:ascii="Times New Roman" w:hAnsi="Times New Roman" w:cs="Times New Roman"/>
        </w:rPr>
        <w:t xml:space="preserve"> modelling methods, static or dynamic,</w:t>
      </w:r>
      <w:r w:rsidR="001E290A" w:rsidRPr="00116E1F">
        <w:rPr>
          <w:rFonts w:ascii="Times New Roman" w:hAnsi="Times New Roman" w:cs="Times New Roman"/>
        </w:rPr>
        <w:t xml:space="preserve"> have been</w:t>
      </w:r>
      <w:r w:rsidR="007A3FB6" w:rsidRPr="00116E1F">
        <w:rPr>
          <w:rFonts w:ascii="Times New Roman" w:hAnsi="Times New Roman" w:cs="Times New Roman"/>
        </w:rPr>
        <w:t xml:space="preserve"> used to create individual cycles.</w:t>
      </w:r>
      <w:r w:rsidR="007A3FB6" w:rsidRPr="00116E1F">
        <w:rPr>
          <w:rFonts w:ascii="Times New Roman" w:hAnsi="Times New Roman"/>
        </w:rPr>
        <w:t xml:space="preserve"> </w:t>
      </w:r>
      <w:r w:rsidR="00B922DC" w:rsidRPr="00116E1F">
        <w:rPr>
          <w:rFonts w:ascii="Times New Roman" w:hAnsi="Times New Roman" w:cs="Times New Roman"/>
        </w:rPr>
        <w:t>Although the literature cl</w:t>
      </w:r>
      <w:r w:rsidR="007A3FB6" w:rsidRPr="00116E1F">
        <w:rPr>
          <w:rFonts w:ascii="Times New Roman" w:hAnsi="Times New Roman" w:cs="Times New Roman"/>
        </w:rPr>
        <w:t xml:space="preserve">early highlights </w:t>
      </w:r>
      <w:r w:rsidR="00381525">
        <w:rPr>
          <w:rFonts w:ascii="Times New Roman" w:hAnsi="Times New Roman" w:cs="Times New Roman"/>
        </w:rPr>
        <w:t xml:space="preserve">the lack of dynamic rather than </w:t>
      </w:r>
      <w:r w:rsidR="00B922DC" w:rsidRPr="00116E1F">
        <w:rPr>
          <w:rFonts w:ascii="Times New Roman" w:hAnsi="Times New Roman" w:cs="Times New Roman"/>
        </w:rPr>
        <w:t>static studies, the former is much more favoured since it can provide information on reservoir stocks as well the progression of stocks and flows over time. Dynamic cycles a</w:t>
      </w:r>
      <w:r w:rsidR="00381525">
        <w:rPr>
          <w:rFonts w:ascii="Times New Roman" w:hAnsi="Times New Roman" w:cs="Times New Roman"/>
        </w:rPr>
        <w:t>lthough regarded as more useful</w:t>
      </w:r>
      <w:r w:rsidR="00B922DC" w:rsidRPr="00116E1F">
        <w:rPr>
          <w:rFonts w:ascii="Times New Roman" w:hAnsi="Times New Roman" w:cs="Times New Roman"/>
        </w:rPr>
        <w:t xml:space="preserve"> between the two cycles</w:t>
      </w:r>
      <w:r w:rsidR="00381525">
        <w:rPr>
          <w:rFonts w:ascii="Times New Roman" w:hAnsi="Times New Roman" w:cs="Times New Roman"/>
        </w:rPr>
        <w:t>,</w:t>
      </w:r>
      <w:r w:rsidR="00B922DC" w:rsidRPr="00116E1F">
        <w:rPr>
          <w:rFonts w:ascii="Times New Roman" w:hAnsi="Times New Roman" w:cs="Times New Roman"/>
        </w:rPr>
        <w:t xml:space="preserve"> require extensive information, and consequently this explains the limited amount of dynamic studies in literature. </w:t>
      </w:r>
      <w:r w:rsidR="007926FB" w:rsidRPr="00116E1F">
        <w:rPr>
          <w:rFonts w:ascii="Times New Roman" w:hAnsi="Times New Roman" w:cs="Times New Roman"/>
        </w:rPr>
        <w:t xml:space="preserve">Concerning, </w:t>
      </w:r>
      <w:r w:rsidR="001E290A" w:rsidRPr="00116E1F">
        <w:rPr>
          <w:rFonts w:ascii="Times New Roman" w:hAnsi="Times New Roman" w:cs="Times New Roman"/>
        </w:rPr>
        <w:t xml:space="preserve">lack of </w:t>
      </w:r>
      <w:r w:rsidRPr="00116E1F">
        <w:rPr>
          <w:rFonts w:ascii="Times New Roman" w:hAnsi="Times New Roman" w:cs="Times New Roman"/>
        </w:rPr>
        <w:t>knowledge</w:t>
      </w:r>
      <w:r w:rsidR="007926FB" w:rsidRPr="00116E1F">
        <w:rPr>
          <w:rFonts w:ascii="Times New Roman" w:hAnsi="Times New Roman" w:cs="Times New Roman"/>
        </w:rPr>
        <w:t xml:space="preserve">, the </w:t>
      </w:r>
      <w:r w:rsidR="00B922DC" w:rsidRPr="00116E1F">
        <w:rPr>
          <w:rFonts w:ascii="Times New Roman" w:hAnsi="Times New Roman" w:cs="Times New Roman"/>
        </w:rPr>
        <w:t>literature clearly points to a gap to create molybdenum, niobium and</w:t>
      </w:r>
      <w:r w:rsidR="001E290A" w:rsidRPr="00116E1F">
        <w:rPr>
          <w:rFonts w:ascii="Times New Roman" w:hAnsi="Times New Roman" w:cs="Times New Roman"/>
        </w:rPr>
        <w:t xml:space="preserve"> vanadium global static models.</w:t>
      </w:r>
    </w:p>
    <w:p w:rsidR="00BE4F2D" w:rsidRPr="00116E1F" w:rsidRDefault="00221872" w:rsidP="00221872">
      <w:pPr>
        <w:spacing w:after="0" w:line="360" w:lineRule="auto"/>
        <w:ind w:firstLine="720"/>
        <w:jc w:val="both"/>
        <w:rPr>
          <w:rFonts w:ascii="Times New Roman" w:hAnsi="Times New Roman" w:cs="Times New Roman"/>
        </w:rPr>
      </w:pPr>
      <w:r w:rsidRPr="00116E1F">
        <w:rPr>
          <w:rFonts w:ascii="Times New Roman" w:hAnsi="Times New Roman" w:cs="Times New Roman"/>
        </w:rPr>
        <w:t xml:space="preserve">As to LCA studies, in particular electricity, these were limited to a handful in the present literature. </w:t>
      </w:r>
      <w:r w:rsidR="00F4393E" w:rsidRPr="00116E1F">
        <w:rPr>
          <w:rFonts w:ascii="Times New Roman" w:hAnsi="Times New Roman" w:cs="Times New Roman"/>
        </w:rPr>
        <w:t xml:space="preserve">Studies </w:t>
      </w:r>
      <w:r w:rsidR="004C2AE9" w:rsidRPr="00116E1F">
        <w:rPr>
          <w:rFonts w:ascii="Times New Roman" w:hAnsi="Times New Roman" w:cs="Times New Roman"/>
        </w:rPr>
        <w:t>that were available either focu</w:t>
      </w:r>
      <w:r w:rsidR="00F4393E" w:rsidRPr="00116E1F">
        <w:rPr>
          <w:rFonts w:ascii="Times New Roman" w:hAnsi="Times New Roman" w:cs="Times New Roman"/>
        </w:rPr>
        <w:t xml:space="preserve">sed on emission factors </w:t>
      </w:r>
      <w:r w:rsidR="00F4393E" w:rsidRPr="00116E1F">
        <w:rPr>
          <w:rStyle w:val="ReferenceChar"/>
          <w:noProof/>
          <w:color w:val="auto"/>
        </w:rPr>
        <w:t>(Turconi et al. 2013)</w:t>
      </w:r>
      <w:r w:rsidR="00F4393E" w:rsidRPr="00116E1F">
        <w:rPr>
          <w:rFonts w:ascii="Times New Roman" w:hAnsi="Times New Roman" w:cs="Times New Roman"/>
        </w:rPr>
        <w:t xml:space="preserve"> or</w:t>
      </w:r>
      <w:r w:rsidR="00CF7F66" w:rsidRPr="00116E1F">
        <w:rPr>
          <w:rFonts w:ascii="Times New Roman" w:hAnsi="Times New Roman" w:cs="Times New Roman"/>
        </w:rPr>
        <w:t xml:space="preserve"> variations in</w:t>
      </w:r>
      <w:r w:rsidR="00F4393E" w:rsidRPr="00116E1F">
        <w:rPr>
          <w:rFonts w:ascii="Times New Roman" w:hAnsi="Times New Roman" w:cs="Times New Roman"/>
        </w:rPr>
        <w:t xml:space="preserve"> energy source </w:t>
      </w:r>
      <w:r w:rsidR="00F4393E" w:rsidRPr="00116E1F">
        <w:rPr>
          <w:rStyle w:val="ReferenceChar"/>
          <w:noProof/>
          <w:color w:val="auto"/>
        </w:rPr>
        <w:t>(Norgate et al. 2007)</w:t>
      </w:r>
      <w:r w:rsidR="00F4393E" w:rsidRPr="00116E1F">
        <w:rPr>
          <w:rFonts w:ascii="Times New Roman" w:hAnsi="Times New Roman" w:cs="Times New Roman"/>
        </w:rPr>
        <w:t xml:space="preserve">. However, a particular study </w:t>
      </w:r>
      <w:r w:rsidR="007B2A47" w:rsidRPr="00116E1F">
        <w:rPr>
          <w:rStyle w:val="ReferenceChar"/>
          <w:noProof/>
          <w:color w:val="auto"/>
        </w:rPr>
        <w:t>(Itten et al. 2014a)</w:t>
      </w:r>
      <w:r w:rsidR="007B2A47" w:rsidRPr="00116E1F">
        <w:rPr>
          <w:rFonts w:ascii="Times New Roman" w:hAnsi="Times New Roman" w:cs="Times New Roman"/>
        </w:rPr>
        <w:t xml:space="preserve"> highlighted</w:t>
      </w:r>
      <w:r w:rsidR="00BE4F2D" w:rsidRPr="00116E1F">
        <w:rPr>
          <w:rFonts w:ascii="Times New Roman" w:hAnsi="Times New Roman" w:cs="Times New Roman"/>
        </w:rPr>
        <w:t xml:space="preserve"> the use of</w:t>
      </w:r>
      <w:r w:rsidR="007B2A47" w:rsidRPr="00116E1F">
        <w:rPr>
          <w:rFonts w:ascii="Times New Roman" w:hAnsi="Times New Roman" w:cs="Times New Roman"/>
        </w:rPr>
        <w:t xml:space="preserve"> </w:t>
      </w:r>
      <w:r w:rsidR="00BE4F2D" w:rsidRPr="00116E1F">
        <w:rPr>
          <w:rFonts w:ascii="Times New Roman" w:eastAsia="Calibri" w:hAnsi="Times New Roman" w:cs="Times New Roman"/>
        </w:rPr>
        <w:t xml:space="preserve">life cycle inventories for electricity production. Since the majority of LCA studies particularly ferro-alloys </w:t>
      </w:r>
      <w:r w:rsidR="00BE4F2D" w:rsidRPr="00116E1F">
        <w:rPr>
          <w:rFonts w:ascii="Times New Roman" w:eastAsia="Calibri" w:hAnsi="Times New Roman" w:cs="Times New Roman"/>
          <w:noProof/>
        </w:rPr>
        <w:t>(Haque &amp; Norgate 2013)</w:t>
      </w:r>
      <w:r w:rsidRPr="00116E1F">
        <w:rPr>
          <w:rFonts w:ascii="Times New Roman" w:eastAsia="Calibri" w:hAnsi="Times New Roman" w:cs="Times New Roman"/>
        </w:rPr>
        <w:t xml:space="preserve"> based their electricity processes on a single country. This represented </w:t>
      </w:r>
      <w:r w:rsidR="00BE4F2D" w:rsidRPr="00116E1F">
        <w:rPr>
          <w:rFonts w:ascii="Times New Roman" w:eastAsia="Calibri" w:hAnsi="Times New Roman" w:cs="Times New Roman"/>
        </w:rPr>
        <w:t>an opportunity to create models based on global ferro-alloy production by applying the methodology utilised by Itten.</w:t>
      </w:r>
    </w:p>
    <w:p w:rsidR="00BE4F2D" w:rsidRPr="00116E1F" w:rsidRDefault="00BE4F2D" w:rsidP="00F4393E">
      <w:pPr>
        <w:spacing w:after="0" w:line="360" w:lineRule="auto"/>
        <w:ind w:firstLine="720"/>
        <w:jc w:val="both"/>
        <w:rPr>
          <w:rFonts w:ascii="Times New Roman" w:hAnsi="Times New Roman" w:cs="Times New Roman"/>
        </w:rPr>
      </w:pPr>
    </w:p>
    <w:p w:rsidR="00F4393E" w:rsidRPr="00116E1F" w:rsidRDefault="00F4393E" w:rsidP="006739BB">
      <w:pPr>
        <w:spacing w:after="0" w:line="360" w:lineRule="auto"/>
        <w:jc w:val="both"/>
        <w:rPr>
          <w:rFonts w:ascii="Times New Roman" w:hAnsi="Times New Roman" w:cs="Times New Roman"/>
        </w:rPr>
      </w:pPr>
    </w:p>
    <w:p w:rsidR="00EF7AC8" w:rsidRPr="00116E1F" w:rsidRDefault="00221872" w:rsidP="00AB12C0">
      <w:pPr>
        <w:spacing w:after="0" w:line="360" w:lineRule="auto"/>
        <w:ind w:firstLine="720"/>
        <w:jc w:val="both"/>
        <w:rPr>
          <w:rFonts w:ascii="Times New Roman" w:hAnsi="Times New Roman" w:cs="Times New Roman"/>
        </w:rPr>
      </w:pPr>
      <w:r w:rsidRPr="00116E1F">
        <w:rPr>
          <w:rFonts w:ascii="Times New Roman" w:hAnsi="Times New Roman" w:cs="Times New Roman"/>
        </w:rPr>
        <w:lastRenderedPageBreak/>
        <w:t>Lastly w</w:t>
      </w:r>
      <w:r w:rsidR="00AB12C0" w:rsidRPr="00116E1F">
        <w:rPr>
          <w:rFonts w:ascii="Times New Roman" w:hAnsi="Times New Roman" w:cs="Times New Roman"/>
        </w:rPr>
        <w:t>ith respect to LCA studies on ferro-alloys, t</w:t>
      </w:r>
      <w:r w:rsidR="00EF7AC8" w:rsidRPr="00116E1F">
        <w:rPr>
          <w:rFonts w:ascii="Times New Roman" w:hAnsi="Times New Roman"/>
        </w:rPr>
        <w:t xml:space="preserve">he key findings from the literature </w:t>
      </w:r>
      <w:r w:rsidR="00AB12C0" w:rsidRPr="00116E1F">
        <w:rPr>
          <w:rFonts w:ascii="Times New Roman" w:hAnsi="Times New Roman"/>
        </w:rPr>
        <w:t>were as follows</w:t>
      </w:r>
      <w:r w:rsidR="00EF7AC8" w:rsidRPr="00116E1F">
        <w:rPr>
          <w:rFonts w:ascii="Times New Roman" w:hAnsi="Times New Roman"/>
        </w:rPr>
        <w:t>:</w:t>
      </w:r>
    </w:p>
    <w:p w:rsidR="00EF7AC8" w:rsidRPr="00116E1F" w:rsidRDefault="00221872" w:rsidP="00EE7761">
      <w:pPr>
        <w:pStyle w:val="ListParagraph"/>
        <w:numPr>
          <w:ilvl w:val="0"/>
          <w:numId w:val="13"/>
        </w:numPr>
        <w:spacing w:after="0" w:line="360" w:lineRule="auto"/>
        <w:jc w:val="both"/>
        <w:rPr>
          <w:rFonts w:ascii="Times New Roman" w:hAnsi="Times New Roman"/>
        </w:rPr>
      </w:pPr>
      <w:r w:rsidRPr="00116E1F">
        <w:rPr>
          <w:rFonts w:ascii="Times New Roman" w:hAnsi="Times New Roman"/>
        </w:rPr>
        <w:t>LCA studies on ferro-alloys were</w:t>
      </w:r>
      <w:r w:rsidR="00AB12C0" w:rsidRPr="00116E1F">
        <w:rPr>
          <w:rFonts w:ascii="Times New Roman" w:hAnsi="Times New Roman"/>
        </w:rPr>
        <w:t xml:space="preserve"> generally</w:t>
      </w:r>
      <w:r w:rsidR="00EF7AC8" w:rsidRPr="00116E1F">
        <w:rPr>
          <w:rFonts w:ascii="Times New Roman" w:hAnsi="Times New Roman"/>
        </w:rPr>
        <w:t xml:space="preserve"> limited although there a num</w:t>
      </w:r>
      <w:r w:rsidRPr="00116E1F">
        <w:rPr>
          <w:rFonts w:ascii="Times New Roman" w:hAnsi="Times New Roman"/>
        </w:rPr>
        <w:t>ber of studies particularly on</w:t>
      </w:r>
      <w:r w:rsidR="00354F46">
        <w:rPr>
          <w:rFonts w:ascii="Times New Roman" w:hAnsi="Times New Roman"/>
        </w:rPr>
        <w:t xml:space="preserve"> Fe-Ni. However few</w:t>
      </w:r>
      <w:r w:rsidR="00EF7AC8" w:rsidRPr="00116E1F">
        <w:rPr>
          <w:rFonts w:ascii="Times New Roman" w:hAnsi="Times New Roman"/>
        </w:rPr>
        <w:t xml:space="preserve"> or no LCA studies have been conducted on the more exotic ferro-alloys: Fe-B, Fe-Mo, Fe-Nb, Fe-Ti and Fe-V.</w:t>
      </w:r>
    </w:p>
    <w:p w:rsidR="00381525" w:rsidRDefault="00AB12C0" w:rsidP="00EE7761">
      <w:pPr>
        <w:pStyle w:val="ListParagraph"/>
        <w:numPr>
          <w:ilvl w:val="0"/>
          <w:numId w:val="13"/>
        </w:numPr>
        <w:spacing w:after="0" w:line="360" w:lineRule="auto"/>
        <w:jc w:val="both"/>
        <w:rPr>
          <w:rFonts w:ascii="Times New Roman" w:hAnsi="Times New Roman"/>
        </w:rPr>
      </w:pPr>
      <w:r w:rsidRPr="00116E1F">
        <w:rPr>
          <w:rFonts w:ascii="Times New Roman" w:hAnsi="Times New Roman"/>
        </w:rPr>
        <w:t>Life Cycle Inventory (</w:t>
      </w:r>
      <w:r w:rsidR="00EF7AC8" w:rsidRPr="00116E1F">
        <w:rPr>
          <w:rFonts w:ascii="Times New Roman" w:hAnsi="Times New Roman"/>
        </w:rPr>
        <w:t>LCI</w:t>
      </w:r>
      <w:r w:rsidRPr="00116E1F">
        <w:rPr>
          <w:rFonts w:ascii="Times New Roman" w:hAnsi="Times New Roman"/>
        </w:rPr>
        <w:t>)</w:t>
      </w:r>
      <w:r w:rsidR="00EF7AC8" w:rsidRPr="00116E1F">
        <w:rPr>
          <w:rFonts w:ascii="Times New Roman" w:hAnsi="Times New Roman"/>
        </w:rPr>
        <w:t xml:space="preserve"> for the more c</w:t>
      </w:r>
      <w:r w:rsidR="00381525">
        <w:rPr>
          <w:rFonts w:ascii="Times New Roman" w:hAnsi="Times New Roman"/>
        </w:rPr>
        <w:t xml:space="preserve">ommon ferro-alloys e.g. Fe-Cr was readily accessible but much more limited </w:t>
      </w:r>
      <w:r w:rsidR="00EF7AC8" w:rsidRPr="00116E1F">
        <w:rPr>
          <w:rFonts w:ascii="Times New Roman" w:hAnsi="Times New Roman"/>
        </w:rPr>
        <w:t>for the exotic alloying elements</w:t>
      </w:r>
      <w:r w:rsidR="00381525">
        <w:rPr>
          <w:rFonts w:ascii="Times New Roman" w:hAnsi="Times New Roman"/>
        </w:rPr>
        <w:t xml:space="preserve"> e.g. Fe-Nb</w:t>
      </w:r>
      <w:r w:rsidR="00EF7AC8" w:rsidRPr="00116E1F">
        <w:rPr>
          <w:rFonts w:ascii="Times New Roman" w:hAnsi="Times New Roman"/>
        </w:rPr>
        <w:t xml:space="preserve">. </w:t>
      </w:r>
      <w:r w:rsidR="00381525">
        <w:rPr>
          <w:rFonts w:ascii="Times New Roman" w:hAnsi="Times New Roman"/>
        </w:rPr>
        <w:t xml:space="preserve">Additionally data </w:t>
      </w:r>
      <w:r w:rsidR="00381525" w:rsidRPr="00116E1F">
        <w:rPr>
          <w:rFonts w:ascii="Times New Roman" w:hAnsi="Times New Roman"/>
        </w:rPr>
        <w:t>obtained from scientific publications or company sustainability reports</w:t>
      </w:r>
      <w:r w:rsidR="00381525">
        <w:rPr>
          <w:rFonts w:ascii="Times New Roman" w:hAnsi="Times New Roman"/>
        </w:rPr>
        <w:t xml:space="preserve"> were unclear  as to whether they were</w:t>
      </w:r>
      <w:r w:rsidR="00381525" w:rsidRPr="00381525">
        <w:rPr>
          <w:rFonts w:ascii="Times New Roman" w:hAnsi="Times New Roman"/>
        </w:rPr>
        <w:t xml:space="preserve"> </w:t>
      </w:r>
      <w:r w:rsidR="00381525" w:rsidRPr="00116E1F">
        <w:rPr>
          <w:rFonts w:ascii="Times New Roman" w:hAnsi="Times New Roman"/>
        </w:rPr>
        <w:t>life cycle based or not</w:t>
      </w:r>
      <w:r w:rsidR="00381525">
        <w:rPr>
          <w:rFonts w:ascii="Times New Roman" w:hAnsi="Times New Roman"/>
        </w:rPr>
        <w:t>.</w:t>
      </w:r>
    </w:p>
    <w:p w:rsidR="00CF7F66" w:rsidRPr="00116E1F" w:rsidRDefault="00EF7AC8" w:rsidP="00EE7761">
      <w:pPr>
        <w:pStyle w:val="ListParagraph"/>
        <w:numPr>
          <w:ilvl w:val="0"/>
          <w:numId w:val="13"/>
        </w:numPr>
        <w:spacing w:after="0" w:line="360" w:lineRule="auto"/>
        <w:jc w:val="both"/>
        <w:rPr>
          <w:rFonts w:ascii="Times New Roman" w:hAnsi="Times New Roman"/>
        </w:rPr>
      </w:pPr>
      <w:r w:rsidRPr="00116E1F">
        <w:rPr>
          <w:rFonts w:ascii="Times New Roman" w:hAnsi="Times New Roman"/>
        </w:rPr>
        <w:t>The main stream of LCA studies have been cradle-to-gate studies with either 1 k</w:t>
      </w:r>
      <w:r w:rsidR="00FE1D4F" w:rsidRPr="00116E1F">
        <w:rPr>
          <w:rFonts w:ascii="Times New Roman" w:hAnsi="Times New Roman"/>
        </w:rPr>
        <w:t xml:space="preserve">g or 1 tonne as the </w:t>
      </w:r>
      <w:r w:rsidRPr="00116E1F">
        <w:rPr>
          <w:rFonts w:ascii="Times New Roman" w:hAnsi="Times New Roman"/>
        </w:rPr>
        <w:t>functional unit. Cradle-to-grave</w:t>
      </w:r>
      <w:r w:rsidR="00AB12C0" w:rsidRPr="00116E1F">
        <w:rPr>
          <w:rFonts w:ascii="Times New Roman" w:hAnsi="Times New Roman"/>
        </w:rPr>
        <w:t xml:space="preserve"> studies are</w:t>
      </w:r>
      <w:r w:rsidRPr="00116E1F">
        <w:rPr>
          <w:rFonts w:ascii="Times New Roman" w:hAnsi="Times New Roman"/>
        </w:rPr>
        <w:t xml:space="preserve"> limited but do represent an opportunity for investigation. </w:t>
      </w:r>
    </w:p>
    <w:p w:rsidR="00EF7AC8" w:rsidRPr="00116E1F" w:rsidRDefault="00EF7AC8" w:rsidP="00EE7761">
      <w:pPr>
        <w:pStyle w:val="ListParagraph"/>
        <w:numPr>
          <w:ilvl w:val="0"/>
          <w:numId w:val="13"/>
        </w:numPr>
        <w:spacing w:after="0" w:line="360" w:lineRule="auto"/>
        <w:jc w:val="both"/>
        <w:rPr>
          <w:rFonts w:ascii="Times New Roman" w:hAnsi="Times New Roman"/>
        </w:rPr>
      </w:pPr>
      <w:r w:rsidRPr="00116E1F">
        <w:rPr>
          <w:rFonts w:ascii="Times New Roman" w:hAnsi="Times New Roman"/>
        </w:rPr>
        <w:t xml:space="preserve">As regards to </w:t>
      </w:r>
      <w:r w:rsidR="00AB12C0" w:rsidRPr="00116E1F">
        <w:rPr>
          <w:rFonts w:ascii="Times New Roman" w:hAnsi="Times New Roman"/>
        </w:rPr>
        <w:t xml:space="preserve">LCA </w:t>
      </w:r>
      <w:r w:rsidRPr="00116E1F">
        <w:rPr>
          <w:rFonts w:ascii="Times New Roman" w:hAnsi="Times New Roman"/>
        </w:rPr>
        <w:t>software, S</w:t>
      </w:r>
      <w:r w:rsidR="00116E1F" w:rsidRPr="00116E1F">
        <w:rPr>
          <w:rFonts w:ascii="Times New Roman" w:hAnsi="Times New Roman"/>
        </w:rPr>
        <w:t>imaP</w:t>
      </w:r>
      <w:r w:rsidRPr="00116E1F">
        <w:rPr>
          <w:rFonts w:ascii="Times New Roman" w:hAnsi="Times New Roman"/>
        </w:rPr>
        <w:t>ro was the prima</w:t>
      </w:r>
      <w:r w:rsidR="00AB12C0" w:rsidRPr="00116E1F">
        <w:rPr>
          <w:rFonts w:ascii="Times New Roman" w:hAnsi="Times New Roman"/>
        </w:rPr>
        <w:t xml:space="preserve">ry software of choice for the majority of </w:t>
      </w:r>
      <w:r w:rsidRPr="00116E1F">
        <w:rPr>
          <w:rFonts w:ascii="Times New Roman" w:hAnsi="Times New Roman"/>
        </w:rPr>
        <w:t>studies</w:t>
      </w:r>
      <w:r w:rsidR="00AB12C0" w:rsidRPr="00116E1F">
        <w:rPr>
          <w:rFonts w:ascii="Times New Roman" w:hAnsi="Times New Roman"/>
        </w:rPr>
        <w:t xml:space="preserve"> in literature</w:t>
      </w:r>
      <w:r w:rsidRPr="00116E1F">
        <w:rPr>
          <w:rFonts w:ascii="Times New Roman" w:hAnsi="Times New Roman"/>
        </w:rPr>
        <w:t xml:space="preserve"> apart from </w:t>
      </w:r>
      <w:r w:rsidR="00AB12C0" w:rsidRPr="00116E1F">
        <w:rPr>
          <w:rFonts w:ascii="Times New Roman" w:hAnsi="Times New Roman"/>
        </w:rPr>
        <w:t xml:space="preserve">notable exceptions utilising  alternative LCA </w:t>
      </w:r>
      <w:r w:rsidR="00A8781D">
        <w:rPr>
          <w:rFonts w:ascii="Times New Roman" w:hAnsi="Times New Roman"/>
        </w:rPr>
        <w:t>software program</w:t>
      </w:r>
      <w:r w:rsidR="00AB12C0" w:rsidRPr="00116E1F">
        <w:rPr>
          <w:rFonts w:ascii="Times New Roman" w:hAnsi="Times New Roman"/>
        </w:rPr>
        <w:t xml:space="preserve"> </w:t>
      </w:r>
      <w:r w:rsidR="004D2D91" w:rsidRPr="00116E1F">
        <w:rPr>
          <w:rFonts w:ascii="Times New Roman" w:hAnsi="Times New Roman"/>
        </w:rPr>
        <w:t>GaBi</w:t>
      </w:r>
      <w:r w:rsidR="00417112" w:rsidRPr="00116E1F">
        <w:rPr>
          <w:rFonts w:ascii="Times New Roman" w:hAnsi="Times New Roman"/>
        </w:rPr>
        <w:t xml:space="preserve"> or</w:t>
      </w:r>
      <w:r w:rsidR="00A8781D">
        <w:rPr>
          <w:rFonts w:ascii="Times New Roman" w:hAnsi="Times New Roman"/>
        </w:rPr>
        <w:t xml:space="preserve"> internally created LCA software by</w:t>
      </w:r>
      <w:r w:rsidR="00417112" w:rsidRPr="00116E1F">
        <w:rPr>
          <w:rFonts w:ascii="Times New Roman" w:hAnsi="Times New Roman"/>
        </w:rPr>
        <w:t xml:space="preserve"> CSIRO</w:t>
      </w:r>
      <w:r w:rsidR="00A8781D">
        <w:rPr>
          <w:rFonts w:ascii="Times New Roman" w:hAnsi="Times New Roman"/>
        </w:rPr>
        <w:t xml:space="preserve"> </w:t>
      </w:r>
      <w:r w:rsidR="00A8781D" w:rsidRPr="0070645B">
        <w:rPr>
          <w:rFonts w:ascii="Times New Roman" w:hAnsi="Times New Roman"/>
        </w:rPr>
        <w:t>(Commonwealth Scientific and Industrial Research O</w:t>
      </w:r>
      <w:r w:rsidR="00A8781D">
        <w:rPr>
          <w:rFonts w:ascii="Times New Roman" w:hAnsi="Times New Roman"/>
        </w:rPr>
        <w:t>rganisation)</w:t>
      </w:r>
      <w:r w:rsidRPr="00116E1F">
        <w:rPr>
          <w:rFonts w:ascii="Times New Roman" w:hAnsi="Times New Roman"/>
        </w:rPr>
        <w:t>.</w:t>
      </w:r>
    </w:p>
    <w:p w:rsidR="00EF7AC8" w:rsidRPr="00116E1F" w:rsidRDefault="00EF7AC8" w:rsidP="00EE7761">
      <w:pPr>
        <w:pStyle w:val="ListParagraph"/>
        <w:numPr>
          <w:ilvl w:val="0"/>
          <w:numId w:val="13"/>
        </w:numPr>
        <w:spacing w:after="0" w:line="360" w:lineRule="auto"/>
        <w:jc w:val="both"/>
        <w:rPr>
          <w:rFonts w:ascii="Times New Roman" w:hAnsi="Times New Roman"/>
        </w:rPr>
      </w:pPr>
      <w:r w:rsidRPr="00116E1F">
        <w:rPr>
          <w:rFonts w:ascii="Times New Roman" w:hAnsi="Times New Roman"/>
        </w:rPr>
        <w:t xml:space="preserve">The principle impact categories used for analysis were </w:t>
      </w:r>
      <w:r w:rsidR="00417112" w:rsidRPr="00116E1F">
        <w:rPr>
          <w:rFonts w:ascii="Times New Roman" w:hAnsi="Times New Roman"/>
        </w:rPr>
        <w:t>Global Warming Potential (</w:t>
      </w:r>
      <w:r w:rsidRPr="00116E1F">
        <w:rPr>
          <w:rFonts w:ascii="Times New Roman" w:hAnsi="Times New Roman"/>
        </w:rPr>
        <w:t>GWP</w:t>
      </w:r>
      <w:r w:rsidR="00417112" w:rsidRPr="00116E1F">
        <w:rPr>
          <w:rFonts w:ascii="Times New Roman" w:hAnsi="Times New Roman"/>
        </w:rPr>
        <w:t>)</w:t>
      </w:r>
      <w:r w:rsidRPr="00116E1F">
        <w:rPr>
          <w:rFonts w:ascii="Times New Roman" w:hAnsi="Times New Roman"/>
        </w:rPr>
        <w:t xml:space="preserve"> and </w:t>
      </w:r>
      <w:r w:rsidR="00417112" w:rsidRPr="00116E1F">
        <w:rPr>
          <w:rFonts w:ascii="Times New Roman" w:hAnsi="Times New Roman"/>
        </w:rPr>
        <w:t>Gross Energy Requirement (</w:t>
      </w:r>
      <w:r w:rsidRPr="00116E1F">
        <w:rPr>
          <w:rFonts w:ascii="Times New Roman" w:hAnsi="Times New Roman"/>
        </w:rPr>
        <w:t>GER</w:t>
      </w:r>
      <w:r w:rsidR="00417112" w:rsidRPr="00116E1F">
        <w:rPr>
          <w:rFonts w:ascii="Times New Roman" w:hAnsi="Times New Roman"/>
        </w:rPr>
        <w:t>)</w:t>
      </w:r>
      <w:r w:rsidRPr="00116E1F">
        <w:rPr>
          <w:rFonts w:ascii="Times New Roman" w:hAnsi="Times New Roman"/>
        </w:rPr>
        <w:t xml:space="preserve"> in the majority of LCA studies. Other environmental impact categories such as </w:t>
      </w:r>
      <w:r w:rsidR="00417112" w:rsidRPr="00116E1F">
        <w:rPr>
          <w:rFonts w:ascii="Times New Roman" w:hAnsi="Times New Roman"/>
        </w:rPr>
        <w:t>Acidification Potential (</w:t>
      </w:r>
      <w:r w:rsidRPr="00116E1F">
        <w:rPr>
          <w:rFonts w:ascii="Times New Roman" w:hAnsi="Times New Roman"/>
        </w:rPr>
        <w:t>AP</w:t>
      </w:r>
      <w:r w:rsidR="00417112" w:rsidRPr="00116E1F">
        <w:rPr>
          <w:rFonts w:ascii="Times New Roman" w:hAnsi="Times New Roman"/>
        </w:rPr>
        <w:t>)</w:t>
      </w:r>
      <w:r w:rsidRPr="00116E1F">
        <w:rPr>
          <w:rFonts w:ascii="Times New Roman" w:hAnsi="Times New Roman"/>
        </w:rPr>
        <w:t xml:space="preserve">, </w:t>
      </w:r>
      <w:r w:rsidR="00417112" w:rsidRPr="00116E1F">
        <w:rPr>
          <w:rFonts w:ascii="Times New Roman" w:hAnsi="Times New Roman"/>
        </w:rPr>
        <w:t>Solid Waste Burden (</w:t>
      </w:r>
      <w:r w:rsidRPr="00116E1F">
        <w:rPr>
          <w:rFonts w:ascii="Times New Roman" w:hAnsi="Times New Roman"/>
        </w:rPr>
        <w:t>SWB</w:t>
      </w:r>
      <w:r w:rsidR="00417112" w:rsidRPr="00116E1F">
        <w:rPr>
          <w:rFonts w:ascii="Times New Roman" w:hAnsi="Times New Roman"/>
        </w:rPr>
        <w:t>)</w:t>
      </w:r>
      <w:r w:rsidRPr="00116E1F">
        <w:rPr>
          <w:rFonts w:ascii="Times New Roman" w:hAnsi="Times New Roman"/>
        </w:rPr>
        <w:t xml:space="preserve">, </w:t>
      </w:r>
      <w:r w:rsidR="00417112" w:rsidRPr="00116E1F">
        <w:rPr>
          <w:rFonts w:ascii="Times New Roman" w:hAnsi="Times New Roman"/>
        </w:rPr>
        <w:t>and Eutrophication Potential (</w:t>
      </w:r>
      <w:r w:rsidRPr="00116E1F">
        <w:rPr>
          <w:rFonts w:ascii="Times New Roman" w:hAnsi="Times New Roman"/>
        </w:rPr>
        <w:t>EP</w:t>
      </w:r>
      <w:r w:rsidR="00417112" w:rsidRPr="00116E1F">
        <w:rPr>
          <w:rFonts w:ascii="Times New Roman" w:hAnsi="Times New Roman"/>
        </w:rPr>
        <w:t>)</w:t>
      </w:r>
      <w:r w:rsidRPr="00116E1F">
        <w:rPr>
          <w:rFonts w:ascii="Times New Roman" w:hAnsi="Times New Roman"/>
        </w:rPr>
        <w:t xml:space="preserve"> were also used, but water impact categories less so.</w:t>
      </w:r>
    </w:p>
    <w:p w:rsidR="00EF7AC8" w:rsidRPr="00116E1F" w:rsidRDefault="00EF7AC8" w:rsidP="00EF7AC8">
      <w:pPr>
        <w:spacing w:after="0" w:line="360" w:lineRule="auto"/>
        <w:jc w:val="both"/>
        <w:rPr>
          <w:rFonts w:ascii="Times New Roman" w:hAnsi="Times New Roman"/>
        </w:rPr>
      </w:pPr>
    </w:p>
    <w:p w:rsidR="00EF7AC8" w:rsidRDefault="001C7F0A" w:rsidP="007668C9">
      <w:pPr>
        <w:spacing w:after="0" w:line="360" w:lineRule="auto"/>
        <w:ind w:firstLine="720"/>
        <w:jc w:val="both"/>
        <w:rPr>
          <w:rFonts w:ascii="Times New Roman" w:hAnsi="Times New Roman"/>
        </w:rPr>
      </w:pPr>
      <w:r w:rsidRPr="00116E1F">
        <w:rPr>
          <w:rFonts w:ascii="Times New Roman" w:hAnsi="Times New Roman"/>
        </w:rPr>
        <w:t xml:space="preserve">Building on work already done by </w:t>
      </w:r>
      <w:r w:rsidRPr="00116E1F">
        <w:rPr>
          <w:rFonts w:ascii="Times New Roman" w:hAnsi="Times New Roman"/>
          <w:noProof/>
        </w:rPr>
        <w:t>(Haque &amp; Norgate 2013)</w:t>
      </w:r>
      <w:r w:rsidRPr="00116E1F">
        <w:rPr>
          <w:rFonts w:ascii="Times New Roman" w:hAnsi="Times New Roman"/>
        </w:rPr>
        <w:t xml:space="preserve"> </w:t>
      </w:r>
      <w:r w:rsidR="007668C9" w:rsidRPr="00116E1F">
        <w:rPr>
          <w:rFonts w:ascii="Times New Roman" w:hAnsi="Times New Roman"/>
        </w:rPr>
        <w:t>there was an opportunity to conduct a literature review on exi</w:t>
      </w:r>
      <w:r w:rsidR="00354F46">
        <w:rPr>
          <w:rFonts w:ascii="Times New Roman" w:hAnsi="Times New Roman"/>
        </w:rPr>
        <w:t>sting common ferro-alloy models,</w:t>
      </w:r>
      <w:r w:rsidR="007668C9" w:rsidRPr="00116E1F">
        <w:rPr>
          <w:rFonts w:ascii="Times New Roman" w:hAnsi="Times New Roman"/>
        </w:rPr>
        <w:t xml:space="preserve"> </w:t>
      </w:r>
      <w:r w:rsidR="00354F46">
        <w:rPr>
          <w:rFonts w:ascii="Times New Roman" w:hAnsi="Times New Roman"/>
        </w:rPr>
        <w:t>w</w:t>
      </w:r>
      <w:r w:rsidR="007668C9" w:rsidRPr="00116E1F">
        <w:rPr>
          <w:rFonts w:ascii="Times New Roman" w:hAnsi="Times New Roman"/>
        </w:rPr>
        <w:t>ith the aim of using this understanding to constru</w:t>
      </w:r>
      <w:r w:rsidR="00354F46">
        <w:rPr>
          <w:rFonts w:ascii="Times New Roman" w:hAnsi="Times New Roman"/>
        </w:rPr>
        <w:t>ct the more exotic ferro-alloys</w:t>
      </w:r>
      <w:r w:rsidR="007668C9" w:rsidRPr="00116E1F">
        <w:rPr>
          <w:rFonts w:ascii="Times New Roman" w:hAnsi="Times New Roman"/>
        </w:rPr>
        <w:t xml:space="preserve"> </w:t>
      </w:r>
      <w:r w:rsidR="00354F46">
        <w:rPr>
          <w:rFonts w:ascii="Times New Roman" w:hAnsi="Times New Roman"/>
        </w:rPr>
        <w:t>t</w:t>
      </w:r>
      <w:r w:rsidR="00EF7AC8" w:rsidRPr="00116E1F">
        <w:rPr>
          <w:rFonts w:ascii="Times New Roman" w:hAnsi="Times New Roman"/>
        </w:rPr>
        <w:t>hus allowing creation of a robust methodology as well contributing to the knowledge gap in the field of LCA.</w:t>
      </w:r>
    </w:p>
    <w:p w:rsidR="00116E1F" w:rsidRPr="00116E1F" w:rsidRDefault="00116E1F" w:rsidP="00116E1F">
      <w:pPr>
        <w:spacing w:after="0" w:line="360" w:lineRule="auto"/>
        <w:jc w:val="both"/>
        <w:rPr>
          <w:rFonts w:ascii="Times New Roman" w:hAnsi="Times New Roman"/>
        </w:rPr>
      </w:pPr>
    </w:p>
    <w:p w:rsidR="00116E1F" w:rsidRDefault="00116E1F" w:rsidP="007668C9">
      <w:pPr>
        <w:spacing w:after="0" w:line="360" w:lineRule="auto"/>
        <w:ind w:firstLine="720"/>
        <w:jc w:val="both"/>
        <w:rPr>
          <w:rFonts w:ascii="Times New Roman" w:hAnsi="Times New Roman"/>
        </w:rPr>
        <w:sectPr w:rsidR="00116E1F">
          <w:pgSz w:w="11906" w:h="16838"/>
          <w:pgMar w:top="1440" w:right="1440" w:bottom="1440" w:left="1440" w:header="708" w:footer="708" w:gutter="0"/>
          <w:cols w:space="708"/>
          <w:docGrid w:linePitch="360"/>
        </w:sectPr>
      </w:pPr>
    </w:p>
    <w:p w:rsidR="00BE4F2D" w:rsidRPr="00FA70C5" w:rsidRDefault="00BE4F2D" w:rsidP="00BE4F2D">
      <w:pPr>
        <w:pStyle w:val="Heading2"/>
      </w:pPr>
      <w:r>
        <w:lastRenderedPageBreak/>
        <w:t>1.3 Introduction to present research</w:t>
      </w:r>
      <w:r w:rsidR="00981ADF">
        <w:t xml:space="preserve"> </w:t>
      </w:r>
    </w:p>
    <w:p w:rsidR="006E37E2" w:rsidRPr="00116E1F" w:rsidRDefault="004D5B2D" w:rsidP="004405D7">
      <w:pPr>
        <w:spacing w:after="0" w:line="360" w:lineRule="auto"/>
        <w:ind w:firstLine="720"/>
        <w:rPr>
          <w:rFonts w:ascii="Times New Roman" w:hAnsi="Times New Roman"/>
        </w:rPr>
      </w:pPr>
      <w:r w:rsidRPr="00116E1F">
        <w:rPr>
          <w:rFonts w:ascii="Times New Roman" w:hAnsi="Times New Roman"/>
        </w:rPr>
        <w:t xml:space="preserve"> With a number of gaps identified in the present literature, a structured approach was used to fill these gaps. </w:t>
      </w:r>
    </w:p>
    <w:p w:rsidR="004405D7" w:rsidRPr="00116E1F" w:rsidRDefault="00E20F91" w:rsidP="00FE1D4F">
      <w:pPr>
        <w:spacing w:after="0" w:line="360" w:lineRule="auto"/>
        <w:ind w:firstLine="720"/>
        <w:jc w:val="both"/>
        <w:rPr>
          <w:rFonts w:ascii="Times New Roman" w:eastAsia="Calibri" w:hAnsi="Times New Roman" w:cs="Times New Roman"/>
        </w:rPr>
      </w:pPr>
      <w:r w:rsidRPr="00116E1F">
        <w:rPr>
          <w:rFonts w:ascii="Times New Roman" w:hAnsi="Times New Roman"/>
        </w:rPr>
        <w:t>The structure of the research was initially based on understanding cri</w:t>
      </w:r>
      <w:r w:rsidR="006E37E2" w:rsidRPr="00116E1F">
        <w:rPr>
          <w:rFonts w:ascii="Times New Roman" w:hAnsi="Times New Roman"/>
        </w:rPr>
        <w:t>ticality. This was conducted by firstly understanding terminology related to criticality. After establishing the definition</w:t>
      </w:r>
      <w:r w:rsidR="00FE1D4F" w:rsidRPr="00116E1F">
        <w:rPr>
          <w:rFonts w:ascii="Times New Roman" w:hAnsi="Times New Roman"/>
        </w:rPr>
        <w:t xml:space="preserve"> of criticality</w:t>
      </w:r>
      <w:r w:rsidR="006E37E2" w:rsidRPr="00116E1F">
        <w:rPr>
          <w:rFonts w:ascii="Times New Roman" w:hAnsi="Times New Roman"/>
        </w:rPr>
        <w:t xml:space="preserve">, </w:t>
      </w:r>
      <w:r w:rsidR="00FE1D4F" w:rsidRPr="00116E1F">
        <w:rPr>
          <w:rFonts w:ascii="Times New Roman" w:hAnsi="Times New Roman"/>
        </w:rPr>
        <w:t>10 specific studies were selected form literature</w:t>
      </w:r>
      <w:r w:rsidR="006E37E2" w:rsidRPr="00116E1F">
        <w:rPr>
          <w:rFonts w:ascii="Times New Roman" w:hAnsi="Times New Roman"/>
        </w:rPr>
        <w:t>.</w:t>
      </w:r>
      <w:r w:rsidR="00FE1D4F" w:rsidRPr="00116E1F">
        <w:rPr>
          <w:rFonts w:ascii="Times New Roman" w:eastAsia="Calibri" w:hAnsi="Times New Roman" w:cs="Times New Roman"/>
        </w:rPr>
        <w:t xml:space="preserve"> Selection of these studies was based on </w:t>
      </w:r>
      <w:r w:rsidR="006E37E2" w:rsidRPr="00116E1F">
        <w:rPr>
          <w:rFonts w:ascii="Times New Roman" w:eastAsia="Calibri" w:hAnsi="Times New Roman" w:cs="Times New Roman"/>
        </w:rPr>
        <w:t>leading experts in the field</w:t>
      </w:r>
      <w:r w:rsidR="008E727F" w:rsidRPr="00116E1F">
        <w:rPr>
          <w:rFonts w:ascii="Times New Roman" w:eastAsia="Calibri" w:hAnsi="Times New Roman" w:cs="Times New Roman"/>
        </w:rPr>
        <w:t>,</w:t>
      </w:r>
      <w:r w:rsidR="006E37E2" w:rsidRPr="00116E1F">
        <w:rPr>
          <w:rFonts w:ascii="Times New Roman" w:eastAsia="Calibri" w:hAnsi="Times New Roman" w:cs="Times New Roman"/>
        </w:rPr>
        <w:t xml:space="preserve"> in terms of researchers (i.e. Thomas Graedel) and organisations (i.e. BGS, European Commission).</w:t>
      </w:r>
      <w:r w:rsidR="00130CE9" w:rsidRPr="00116E1F">
        <w:rPr>
          <w:rFonts w:ascii="Times New Roman" w:eastAsia="Calibri" w:hAnsi="Times New Roman" w:cs="Times New Roman"/>
        </w:rPr>
        <w:t xml:space="preserve"> These</w:t>
      </w:r>
      <w:r w:rsidR="00FE1D4F" w:rsidRPr="00116E1F">
        <w:rPr>
          <w:rFonts w:ascii="Times New Roman" w:eastAsia="Calibri" w:hAnsi="Times New Roman" w:cs="Times New Roman"/>
        </w:rPr>
        <w:t xml:space="preserve"> 10</w:t>
      </w:r>
      <w:r w:rsidR="00130CE9" w:rsidRPr="00116E1F">
        <w:rPr>
          <w:rFonts w:ascii="Times New Roman" w:eastAsia="Calibri" w:hAnsi="Times New Roman" w:cs="Times New Roman"/>
        </w:rPr>
        <w:t xml:space="preserve"> studies were then</w:t>
      </w:r>
      <w:r w:rsidR="00FE1D4F" w:rsidRPr="00116E1F">
        <w:rPr>
          <w:rFonts w:ascii="Times New Roman" w:eastAsia="Calibri" w:hAnsi="Times New Roman" w:cs="Times New Roman"/>
        </w:rPr>
        <w:t xml:space="preserve"> </w:t>
      </w:r>
      <w:r w:rsidR="00130CE9" w:rsidRPr="00116E1F">
        <w:rPr>
          <w:rFonts w:ascii="Times New Roman" w:eastAsia="Calibri" w:hAnsi="Times New Roman" w:cs="Times New Roman"/>
        </w:rPr>
        <w:t>investigated</w:t>
      </w:r>
      <w:r w:rsidR="00FE1D4F" w:rsidRPr="00116E1F">
        <w:rPr>
          <w:rFonts w:ascii="Times New Roman" w:eastAsia="Calibri" w:hAnsi="Times New Roman" w:cs="Times New Roman"/>
        </w:rPr>
        <w:t xml:space="preserve"> firstly,</w:t>
      </w:r>
      <w:r w:rsidR="00130CE9" w:rsidRPr="00116E1F">
        <w:rPr>
          <w:rFonts w:ascii="Times New Roman" w:eastAsia="Calibri" w:hAnsi="Times New Roman" w:cs="Times New Roman"/>
        </w:rPr>
        <w:t xml:space="preserve"> in terms of materials and then in depth by factors used to assess criticality. </w:t>
      </w:r>
    </w:p>
    <w:p w:rsidR="00A905E8" w:rsidRPr="00116E1F" w:rsidRDefault="00130CE9" w:rsidP="00A905E8">
      <w:pPr>
        <w:spacing w:after="0" w:line="360" w:lineRule="auto"/>
        <w:ind w:firstLine="720"/>
        <w:jc w:val="both"/>
        <w:rPr>
          <w:rFonts w:ascii="Times New Roman" w:hAnsi="Times New Roman" w:cs="Times New Roman"/>
        </w:rPr>
      </w:pPr>
      <w:r w:rsidRPr="00116E1F">
        <w:rPr>
          <w:rFonts w:ascii="Times New Roman" w:eastAsia="Calibri" w:hAnsi="Times New Roman" w:cs="Times New Roman"/>
        </w:rPr>
        <w:t>An overall summar</w:t>
      </w:r>
      <w:r w:rsidR="00D0401C" w:rsidRPr="00116E1F">
        <w:rPr>
          <w:rFonts w:ascii="Times New Roman" w:eastAsia="Calibri" w:hAnsi="Times New Roman" w:cs="Times New Roman"/>
        </w:rPr>
        <w:t xml:space="preserve">y of the findings indicated </w:t>
      </w:r>
      <w:r w:rsidR="00D0401C" w:rsidRPr="00116E1F">
        <w:rPr>
          <w:rFonts w:ascii="Times New Roman" w:hAnsi="Times New Roman" w:cs="Times New Roman"/>
        </w:rPr>
        <w:t>little or no studies focussing on the issue of criticality and its relevance to the steel industry. Although a wide variety of raw materials were investigated, in the 10 studies of interest, no specific focus was directed on elements related to steel.</w:t>
      </w:r>
      <w:r w:rsidR="004405D7" w:rsidRPr="00116E1F">
        <w:rPr>
          <w:rFonts w:ascii="Times New Roman" w:hAnsi="Times New Roman" w:cs="Times New Roman"/>
        </w:rPr>
        <w:t xml:space="preserve"> </w:t>
      </w:r>
      <w:r w:rsidR="00D0401C" w:rsidRPr="00116E1F">
        <w:rPr>
          <w:rFonts w:ascii="Times New Roman" w:eastAsia="Calibri" w:hAnsi="Times New Roman" w:cs="Times New Roman"/>
        </w:rPr>
        <w:t>Additionally, t</w:t>
      </w:r>
      <w:r w:rsidRPr="00116E1F">
        <w:rPr>
          <w:rFonts w:ascii="Times New Roman" w:hAnsi="Times New Roman" w:cs="Times New Roman"/>
        </w:rPr>
        <w:t>he main factors used to assess criticality</w:t>
      </w:r>
      <w:r w:rsidR="008E727F" w:rsidRPr="00116E1F">
        <w:rPr>
          <w:rFonts w:ascii="Times New Roman" w:hAnsi="Times New Roman" w:cs="Times New Roman"/>
        </w:rPr>
        <w:t xml:space="preserve"> in the majority of studies were</w:t>
      </w:r>
      <w:r w:rsidRPr="00116E1F">
        <w:rPr>
          <w:rFonts w:ascii="Times New Roman" w:hAnsi="Times New Roman" w:cs="Times New Roman"/>
        </w:rPr>
        <w:t xml:space="preserve"> supply risk and vulnerability in terms of impact of supply disruption or importance of use. </w:t>
      </w:r>
    </w:p>
    <w:p w:rsidR="00A905E8" w:rsidRPr="00116E1F" w:rsidRDefault="004405D7" w:rsidP="00D437F1">
      <w:pPr>
        <w:spacing w:after="0" w:line="360" w:lineRule="auto"/>
        <w:ind w:firstLine="720"/>
        <w:jc w:val="both"/>
        <w:rPr>
          <w:rFonts w:ascii="Times New Roman" w:hAnsi="Times New Roman" w:cs="Times New Roman"/>
        </w:rPr>
      </w:pPr>
      <w:r w:rsidRPr="00116E1F">
        <w:rPr>
          <w:rFonts w:ascii="Times New Roman" w:hAnsi="Times New Roman" w:cs="Times New Roman"/>
        </w:rPr>
        <w:t>In general</w:t>
      </w:r>
      <w:r w:rsidR="00D0401C" w:rsidRPr="00116E1F">
        <w:rPr>
          <w:rFonts w:ascii="Times New Roman" w:hAnsi="Times New Roman" w:cs="Times New Roman"/>
        </w:rPr>
        <w:t>, investigation</w:t>
      </w:r>
      <w:r w:rsidRPr="00116E1F">
        <w:rPr>
          <w:rFonts w:ascii="Times New Roman" w:hAnsi="Times New Roman" w:cs="Times New Roman"/>
        </w:rPr>
        <w:t xml:space="preserve">s into criticality have helped consolidate current understanding of minerals criticality and develop improved methodologies to assess future developments and markets. </w:t>
      </w:r>
      <w:r w:rsidR="00D437F1" w:rsidRPr="00116E1F">
        <w:rPr>
          <w:rFonts w:ascii="Times New Roman" w:hAnsi="Times New Roman" w:cs="Times New Roman"/>
        </w:rPr>
        <w:t>In addition they have aided in the selection and justification of 4 elements of interest: chromium, molybdenum, niobium and vanadium used in further work associated with MFA.</w:t>
      </w:r>
    </w:p>
    <w:p w:rsidR="00947636" w:rsidRPr="00116E1F" w:rsidRDefault="003571EA" w:rsidP="00713D6E">
      <w:pPr>
        <w:spacing w:after="0" w:line="360" w:lineRule="auto"/>
        <w:ind w:firstLine="720"/>
        <w:jc w:val="both"/>
        <w:rPr>
          <w:rFonts w:ascii="Times New Roman" w:hAnsi="Times New Roman" w:cs="Times New Roman"/>
        </w:rPr>
      </w:pPr>
      <w:r w:rsidRPr="00116E1F">
        <w:rPr>
          <w:rFonts w:ascii="Times New Roman" w:hAnsi="Times New Roman" w:cs="Times New Roman"/>
        </w:rPr>
        <w:t xml:space="preserve">With regards to MFA, the novelty of the work was to create global flow diagrams particularly for niobium and vanadium, not currently present in literature. For each of the 4 elements, data from literature was sought for a single year </w:t>
      </w:r>
      <w:r w:rsidR="00FE1D4F" w:rsidRPr="00116E1F">
        <w:rPr>
          <w:rFonts w:ascii="Times New Roman" w:hAnsi="Times New Roman" w:cs="Times New Roman"/>
        </w:rPr>
        <w:t>in terms of 4 categories: Extraction, Processing, Applications</w:t>
      </w:r>
      <w:r w:rsidRPr="00116E1F">
        <w:rPr>
          <w:rFonts w:ascii="Times New Roman" w:hAnsi="Times New Roman" w:cs="Times New Roman"/>
        </w:rPr>
        <w:t xml:space="preserve"> and Metallurgical Applications. </w:t>
      </w:r>
      <w:r w:rsidRPr="00116E1F">
        <w:rPr>
          <w:rFonts w:ascii="Times New Roman" w:eastAsia="Calibri" w:hAnsi="Times New Roman" w:cs="Times New Roman"/>
        </w:rPr>
        <w:t>Via the use of commercial software from Umberto called e</w:t>
      </w:r>
      <w:proofErr w:type="gramStart"/>
      <w:r w:rsidRPr="00116E1F">
        <w:rPr>
          <w:rFonts w:ascii="Times New Roman" w:eastAsia="Calibri" w:hAnsi="Times New Roman" w:cs="Times New Roman"/>
        </w:rPr>
        <w:t>!Sankey</w:t>
      </w:r>
      <w:proofErr w:type="gramEnd"/>
      <w:r w:rsidRPr="00116E1F">
        <w:rPr>
          <w:rFonts w:ascii="Times New Roman" w:eastAsia="Calibri" w:hAnsi="Times New Roman" w:cs="Times New Roman"/>
        </w:rPr>
        <w:t xml:space="preserve"> pro version 3.2, Sankey diagrams were</w:t>
      </w:r>
      <w:r w:rsidR="00713D6E" w:rsidRPr="00116E1F">
        <w:rPr>
          <w:rFonts w:ascii="Times New Roman" w:eastAsia="Calibri" w:hAnsi="Times New Roman" w:cs="Times New Roman"/>
        </w:rPr>
        <w:t xml:space="preserve"> created using this data </w:t>
      </w:r>
      <w:r w:rsidRPr="00116E1F">
        <w:rPr>
          <w:rFonts w:ascii="Times New Roman" w:eastAsia="Calibri" w:hAnsi="Times New Roman" w:cs="Times New Roman"/>
        </w:rPr>
        <w:t xml:space="preserve">to present global mass flows of </w:t>
      </w:r>
      <w:r w:rsidRPr="00116E1F">
        <w:rPr>
          <w:rFonts w:ascii="Times New Roman" w:hAnsi="Times New Roman" w:cs="Times New Roman"/>
        </w:rPr>
        <w:t>chromium, molybdenum, niobium and vanadium</w:t>
      </w:r>
      <w:r w:rsidRPr="00116E1F">
        <w:rPr>
          <w:rFonts w:ascii="Times New Roman" w:eastAsia="Calibri" w:hAnsi="Times New Roman" w:cs="Times New Roman"/>
        </w:rPr>
        <w:t>.</w:t>
      </w:r>
      <w:r w:rsidRPr="00116E1F">
        <w:rPr>
          <w:rFonts w:ascii="Times New Roman" w:hAnsi="Times New Roman" w:cs="Times New Roman"/>
        </w:rPr>
        <w:t xml:space="preserve"> </w:t>
      </w:r>
      <w:r w:rsidR="00713D6E" w:rsidRPr="00116E1F">
        <w:rPr>
          <w:rFonts w:ascii="Times New Roman" w:hAnsi="Times New Roman" w:cs="Times New Roman"/>
        </w:rPr>
        <w:t>Chromium and molybdenum were modelled first due to the abundance in literature which allowed a robust methodology to be developed. This was then applied to the more exotic elements, niobium and vanadium, where data was less freely available or outdated by decades. A global flow diagram of steel was also constructed, again to aid in understanding the methodology behind MFA modelling as well as creating</w:t>
      </w:r>
      <w:r w:rsidR="00FE1D4F" w:rsidRPr="00116E1F">
        <w:rPr>
          <w:rFonts w:ascii="Times New Roman" w:hAnsi="Times New Roman" w:cs="Times New Roman"/>
        </w:rPr>
        <w:t xml:space="preserve"> the link between steel and </w:t>
      </w:r>
      <w:r w:rsidR="00713D6E" w:rsidRPr="00116E1F">
        <w:rPr>
          <w:rFonts w:ascii="Times New Roman" w:hAnsi="Times New Roman" w:cs="Times New Roman"/>
        </w:rPr>
        <w:t>alloying elements.</w:t>
      </w:r>
      <w:r w:rsidR="00947636" w:rsidRPr="00116E1F">
        <w:rPr>
          <w:rFonts w:ascii="Times New Roman" w:hAnsi="Times New Roman" w:cs="Times New Roman"/>
        </w:rPr>
        <w:t xml:space="preserve"> </w:t>
      </w:r>
    </w:p>
    <w:p w:rsidR="0076127F" w:rsidRPr="00116E1F" w:rsidRDefault="00947636" w:rsidP="00BA2F9D">
      <w:pPr>
        <w:spacing w:after="0" w:line="360" w:lineRule="auto"/>
        <w:ind w:firstLine="720"/>
        <w:jc w:val="both"/>
        <w:rPr>
          <w:rFonts w:ascii="Times New Roman" w:hAnsi="Times New Roman" w:cs="Times New Roman"/>
        </w:rPr>
      </w:pPr>
      <w:r w:rsidRPr="00116E1F">
        <w:rPr>
          <w:rFonts w:ascii="Times New Roman" w:hAnsi="Times New Roman" w:cs="Times New Roman"/>
        </w:rPr>
        <w:t>Principle findings of the 5 Sankey diagrams highlighted a number of areas</w:t>
      </w:r>
      <w:r w:rsidR="00354F46">
        <w:rPr>
          <w:rFonts w:ascii="Times New Roman" w:hAnsi="Times New Roman" w:cs="Times New Roman"/>
        </w:rPr>
        <w:t>,</w:t>
      </w:r>
      <w:r w:rsidRPr="00116E1F">
        <w:rPr>
          <w:rFonts w:ascii="Times New Roman" w:hAnsi="Times New Roman" w:cs="Times New Roman"/>
        </w:rPr>
        <w:t xml:space="preserve"> especially recycling and losses where more emphasis of future work could be placed. Nevertheless the use of Sankey diagrams as a visualisation tool, particularly on elements not previously modelled, has generated interest and provided direction for further research.</w:t>
      </w:r>
    </w:p>
    <w:p w:rsidR="00EF7B0C" w:rsidRPr="00116E1F" w:rsidRDefault="00CA6986" w:rsidP="00EF7B0C">
      <w:pPr>
        <w:spacing w:after="0" w:line="360" w:lineRule="auto"/>
        <w:ind w:firstLine="720"/>
        <w:jc w:val="both"/>
        <w:rPr>
          <w:rFonts w:ascii="Times New Roman" w:hAnsi="Times New Roman" w:cs="Times New Roman"/>
        </w:rPr>
      </w:pPr>
      <w:r w:rsidRPr="00116E1F">
        <w:rPr>
          <w:rFonts w:ascii="Times New Roman" w:hAnsi="Times New Roman" w:cs="Times New Roman"/>
        </w:rPr>
        <w:t xml:space="preserve">Regarding LCA, having identified the gaps in literature as previously mentioned, the objective was to contribute an original piece of work that was both novel and achievable in terms of data and time scale. </w:t>
      </w:r>
      <w:r w:rsidR="00EF7B0C" w:rsidRPr="00116E1F">
        <w:rPr>
          <w:rFonts w:ascii="Times New Roman" w:hAnsi="Times New Roman" w:cs="Times New Roman"/>
        </w:rPr>
        <w:t xml:space="preserve">Building on work already done by </w:t>
      </w:r>
      <w:r w:rsidR="00EF7B0C" w:rsidRPr="00116E1F">
        <w:rPr>
          <w:rFonts w:ascii="Times New Roman" w:hAnsi="Times New Roman" w:cs="Times New Roman"/>
          <w:noProof/>
        </w:rPr>
        <w:t>(Haque &amp; Norgate 2013)</w:t>
      </w:r>
      <w:r w:rsidR="00EF7B0C" w:rsidRPr="00116E1F">
        <w:rPr>
          <w:rFonts w:ascii="Times New Roman" w:hAnsi="Times New Roman" w:cs="Times New Roman"/>
        </w:rPr>
        <w:t xml:space="preserve"> the following method w</w:t>
      </w:r>
      <w:r w:rsidR="00FE1D4F" w:rsidRPr="00116E1F">
        <w:rPr>
          <w:rFonts w:ascii="Times New Roman" w:hAnsi="Times New Roman" w:cs="Times New Roman"/>
        </w:rPr>
        <w:t>as used to develop a novel study</w:t>
      </w:r>
      <w:r w:rsidR="00EF7B0C" w:rsidRPr="00116E1F">
        <w:rPr>
          <w:rFonts w:ascii="Times New Roman" w:hAnsi="Times New Roman" w:cs="Times New Roman"/>
        </w:rPr>
        <w:t>:</w:t>
      </w:r>
    </w:p>
    <w:p w:rsidR="00EF7B0C" w:rsidRPr="00116E1F" w:rsidRDefault="00FE1D4F" w:rsidP="00EE7761">
      <w:pPr>
        <w:pStyle w:val="ListParagraph"/>
        <w:numPr>
          <w:ilvl w:val="0"/>
          <w:numId w:val="22"/>
        </w:numPr>
        <w:spacing w:after="0" w:line="360" w:lineRule="auto"/>
        <w:jc w:val="both"/>
        <w:rPr>
          <w:rFonts w:ascii="Times New Roman" w:hAnsi="Times New Roman" w:cs="Times New Roman"/>
        </w:rPr>
      </w:pPr>
      <w:r w:rsidRPr="00116E1F">
        <w:rPr>
          <w:rFonts w:ascii="Times New Roman" w:hAnsi="Times New Roman" w:cs="Times New Roman"/>
        </w:rPr>
        <w:lastRenderedPageBreak/>
        <w:t>Utilising data from</w:t>
      </w:r>
      <w:r w:rsidR="00EF7B0C" w:rsidRPr="00116E1F">
        <w:rPr>
          <w:rFonts w:ascii="Times New Roman" w:hAnsi="Times New Roman" w:cs="Times New Roman"/>
        </w:rPr>
        <w:t xml:space="preserve"> </w:t>
      </w:r>
      <w:r w:rsidR="00EF7B0C" w:rsidRPr="00116E1F">
        <w:rPr>
          <w:rFonts w:ascii="Times New Roman" w:hAnsi="Times New Roman" w:cs="Times New Roman"/>
          <w:noProof/>
        </w:rPr>
        <w:t>(Haque &amp; Norgate 2013)</w:t>
      </w:r>
      <w:r w:rsidR="00EF7B0C" w:rsidRPr="00116E1F">
        <w:rPr>
          <w:rFonts w:ascii="Times New Roman" w:hAnsi="Times New Roman" w:cs="Times New Roman"/>
        </w:rPr>
        <w:t xml:space="preserve"> and</w:t>
      </w:r>
      <w:r w:rsidRPr="00116E1F">
        <w:rPr>
          <w:rFonts w:ascii="Times New Roman" w:hAnsi="Times New Roman" w:cs="Times New Roman"/>
        </w:rPr>
        <w:t xml:space="preserve"> utilising</w:t>
      </w:r>
      <w:r w:rsidR="00EF7B0C" w:rsidRPr="00116E1F">
        <w:rPr>
          <w:rFonts w:ascii="Times New Roman" w:hAnsi="Times New Roman" w:cs="Times New Roman"/>
        </w:rPr>
        <w:t xml:space="preserve"> LCA software </w:t>
      </w:r>
      <w:r w:rsidR="004D2D91" w:rsidRPr="00116E1F">
        <w:rPr>
          <w:rFonts w:ascii="Times New Roman" w:hAnsi="Times New Roman" w:cs="Times New Roman"/>
        </w:rPr>
        <w:t>GaBi</w:t>
      </w:r>
      <w:r w:rsidR="00EF7B0C" w:rsidRPr="00116E1F">
        <w:rPr>
          <w:rFonts w:ascii="Times New Roman" w:hAnsi="Times New Roman" w:cs="Times New Roman"/>
        </w:rPr>
        <w:t>, ferro-alloy models were created with the intention of replicating similar results by the original author. Thus establishing a robust method to model ferro-alloys.</w:t>
      </w:r>
    </w:p>
    <w:p w:rsidR="00713D6E" w:rsidRPr="00116E1F" w:rsidRDefault="00EF7B0C" w:rsidP="00EE7761">
      <w:pPr>
        <w:pStyle w:val="ListParagraph"/>
        <w:numPr>
          <w:ilvl w:val="0"/>
          <w:numId w:val="22"/>
        </w:numPr>
        <w:spacing w:after="0" w:line="360" w:lineRule="auto"/>
        <w:jc w:val="both"/>
        <w:rPr>
          <w:rFonts w:ascii="Times New Roman" w:hAnsi="Times New Roman" w:cs="Times New Roman"/>
        </w:rPr>
      </w:pPr>
      <w:r w:rsidRPr="00116E1F">
        <w:rPr>
          <w:rFonts w:ascii="Times New Roman" w:hAnsi="Times New Roman" w:cs="Times New Roman"/>
        </w:rPr>
        <w:t xml:space="preserve">Having replicated the original author, data was gathered to model the more </w:t>
      </w:r>
      <w:r w:rsidRPr="00116E1F">
        <w:rPr>
          <w:rFonts w:ascii="Times New Roman" w:hAnsi="Times New Roman"/>
        </w:rPr>
        <w:t>exotic ferro-alloys: Fe-B, Fe-Mo, Fe-Nb, Fe-Ti and Fe-V. Anticipating the lack or limited amount of data, the robustness of the ferro-alloy methodology would bring reliability and accuracy to the results.</w:t>
      </w:r>
    </w:p>
    <w:p w:rsidR="00EF7B0C" w:rsidRPr="00116E1F" w:rsidRDefault="00EF7B0C" w:rsidP="00EE7761">
      <w:pPr>
        <w:pStyle w:val="ListParagraph"/>
        <w:numPr>
          <w:ilvl w:val="0"/>
          <w:numId w:val="22"/>
        </w:numPr>
        <w:spacing w:after="0" w:line="360" w:lineRule="auto"/>
        <w:jc w:val="both"/>
        <w:rPr>
          <w:rFonts w:ascii="Times New Roman" w:hAnsi="Times New Roman" w:cs="Times New Roman"/>
        </w:rPr>
      </w:pPr>
      <w:r w:rsidRPr="00116E1F">
        <w:rPr>
          <w:rFonts w:ascii="Times New Roman" w:hAnsi="Times New Roman"/>
        </w:rPr>
        <w:t>A number of other data sources were used to create multiple v</w:t>
      </w:r>
      <w:r w:rsidR="00DC6A2D" w:rsidRPr="00116E1F">
        <w:rPr>
          <w:rFonts w:ascii="Times New Roman" w:hAnsi="Times New Roman"/>
        </w:rPr>
        <w:t>ersions of the same ferro-alloy. Therefore conducting a review of the literature into LCA of ferro-alloys. In addition, within these alternative data sources, a number of variations such as high carbon and low carbon ferro-alloy grades were also investigated.</w:t>
      </w:r>
    </w:p>
    <w:p w:rsidR="00DC6A2D" w:rsidRPr="00116E1F" w:rsidRDefault="00DC6A2D" w:rsidP="00EE7761">
      <w:pPr>
        <w:pStyle w:val="ListParagraph"/>
        <w:numPr>
          <w:ilvl w:val="0"/>
          <w:numId w:val="22"/>
        </w:numPr>
        <w:spacing w:after="0" w:line="360" w:lineRule="auto"/>
        <w:jc w:val="both"/>
        <w:rPr>
          <w:rFonts w:ascii="Times New Roman" w:hAnsi="Times New Roman" w:cs="Times New Roman"/>
        </w:rPr>
      </w:pPr>
      <w:r w:rsidRPr="00116E1F">
        <w:rPr>
          <w:rFonts w:ascii="Times New Roman" w:hAnsi="Times New Roman"/>
        </w:rPr>
        <w:t>The electricity process from the original model (i.e. Australia) was altered and an average electricity model based on global ferro-alloy production used instead. This was for ferro-alloys: Fe-Cr, Fe-Mn, Fe-Ni, Fe-Si and Si-Mn.</w:t>
      </w:r>
    </w:p>
    <w:p w:rsidR="00DC6A2D" w:rsidRPr="00116E1F" w:rsidRDefault="00DC6A2D" w:rsidP="00EE7761">
      <w:pPr>
        <w:pStyle w:val="ListParagraph"/>
        <w:numPr>
          <w:ilvl w:val="0"/>
          <w:numId w:val="22"/>
        </w:numPr>
        <w:spacing w:after="0" w:line="360" w:lineRule="auto"/>
        <w:jc w:val="both"/>
        <w:rPr>
          <w:rFonts w:ascii="Times New Roman" w:hAnsi="Times New Roman" w:cs="Times New Roman"/>
        </w:rPr>
      </w:pPr>
      <w:r w:rsidRPr="00116E1F">
        <w:rPr>
          <w:rFonts w:ascii="Times New Roman" w:hAnsi="Times New Roman"/>
        </w:rPr>
        <w:t>The average electricity models were created by firstly determining the top three global producers. Secondly by obtaining data from the International Energy Agency (IEA) relating to the breakdown of electricity grid mixes by fuel source for each of these countries. In total electrici</w:t>
      </w:r>
      <w:r w:rsidR="0094475A">
        <w:rPr>
          <w:rFonts w:ascii="Times New Roman" w:hAnsi="Times New Roman"/>
        </w:rPr>
        <w:t>ty grid mixes were created for 8</w:t>
      </w:r>
      <w:r w:rsidRPr="00116E1F">
        <w:rPr>
          <w:rFonts w:ascii="Times New Roman" w:hAnsi="Times New Roman"/>
        </w:rPr>
        <w:t xml:space="preserve"> countries</w:t>
      </w:r>
      <w:r w:rsidR="006D72CE" w:rsidRPr="00116E1F">
        <w:rPr>
          <w:rFonts w:ascii="Times New Roman" w:hAnsi="Times New Roman"/>
        </w:rPr>
        <w:t xml:space="preserve"> namely: C</w:t>
      </w:r>
      <w:r w:rsidR="0094475A">
        <w:rPr>
          <w:rFonts w:ascii="Times New Roman" w:hAnsi="Times New Roman"/>
        </w:rPr>
        <w:t>hina, India, Japan, Kazakhstan</w:t>
      </w:r>
      <w:r w:rsidR="006D72CE" w:rsidRPr="00116E1F">
        <w:rPr>
          <w:rFonts w:ascii="Times New Roman" w:hAnsi="Times New Roman"/>
        </w:rPr>
        <w:t>, Norway, Russi</w:t>
      </w:r>
      <w:r w:rsidR="0094475A">
        <w:rPr>
          <w:rFonts w:ascii="Times New Roman" w:hAnsi="Times New Roman"/>
        </w:rPr>
        <w:t>an Federation, South Africa and Ukraine, as well as for New Caledonia a territory of France.</w:t>
      </w:r>
    </w:p>
    <w:p w:rsidR="006A62D1" w:rsidRPr="00116E1F" w:rsidRDefault="00DC6A2D" w:rsidP="00EE7761">
      <w:pPr>
        <w:pStyle w:val="ListParagraph"/>
        <w:numPr>
          <w:ilvl w:val="0"/>
          <w:numId w:val="22"/>
        </w:numPr>
        <w:spacing w:after="0" w:line="360" w:lineRule="auto"/>
        <w:jc w:val="both"/>
        <w:rPr>
          <w:rFonts w:ascii="Times New Roman" w:hAnsi="Times New Roman" w:cs="Times New Roman"/>
        </w:rPr>
      </w:pPr>
      <w:r w:rsidRPr="00116E1F">
        <w:rPr>
          <w:rFonts w:ascii="Times New Roman" w:hAnsi="Times New Roman"/>
        </w:rPr>
        <w:t xml:space="preserve"> </w:t>
      </w:r>
      <w:r w:rsidR="006D72CE" w:rsidRPr="00116E1F">
        <w:rPr>
          <w:rFonts w:ascii="Times New Roman" w:hAnsi="Times New Roman"/>
        </w:rPr>
        <w:t xml:space="preserve">The robustness of the average electricity models was tested in terms of GWP via </w:t>
      </w:r>
      <w:r w:rsidR="006D72CE" w:rsidRPr="00116E1F">
        <w:rPr>
          <w:rFonts w:ascii="Times New Roman" w:eastAsia="Calibri" w:hAnsi="Times New Roman" w:cs="Times New Roman"/>
        </w:rPr>
        <w:t xml:space="preserve">a sample of three countries (India, Japan and Norway).Selection of these three was based on their presence in both the software program </w:t>
      </w:r>
      <w:r w:rsidR="004D2D91" w:rsidRPr="00116E1F">
        <w:rPr>
          <w:rFonts w:ascii="Times New Roman" w:eastAsia="Calibri" w:hAnsi="Times New Roman" w:cs="Times New Roman"/>
        </w:rPr>
        <w:t>GaBi</w:t>
      </w:r>
      <w:r w:rsidR="006D72CE" w:rsidRPr="00116E1F">
        <w:rPr>
          <w:rFonts w:ascii="Times New Roman" w:eastAsia="Calibri" w:hAnsi="Times New Roman" w:cs="Times New Roman"/>
        </w:rPr>
        <w:t xml:space="preserve"> and IEA online statistics database for the year 2011.</w:t>
      </w:r>
      <w:r w:rsidR="00FE1D4F" w:rsidRPr="00116E1F">
        <w:rPr>
          <w:rFonts w:ascii="Times New Roman" w:eastAsia="Calibri" w:hAnsi="Times New Roman" w:cs="Times New Roman"/>
        </w:rPr>
        <w:t xml:space="preserve"> The results between the</w:t>
      </w:r>
      <w:r w:rsidR="001518DB" w:rsidRPr="00116E1F">
        <w:rPr>
          <w:rFonts w:ascii="Times New Roman" w:eastAsia="Calibri" w:hAnsi="Times New Roman" w:cs="Times New Roman"/>
        </w:rPr>
        <w:t xml:space="preserve"> 2 databases and 3 countries were</w:t>
      </w:r>
      <w:r w:rsidR="00FE1D4F" w:rsidRPr="00116E1F">
        <w:rPr>
          <w:rFonts w:ascii="Times New Roman" w:eastAsia="Calibri" w:hAnsi="Times New Roman" w:cs="Times New Roman"/>
        </w:rPr>
        <w:t xml:space="preserve"> identical</w:t>
      </w:r>
      <w:r w:rsidR="001518DB" w:rsidRPr="00116E1F">
        <w:rPr>
          <w:rFonts w:ascii="Times New Roman" w:eastAsia="Calibri" w:hAnsi="Times New Roman" w:cs="Times New Roman"/>
        </w:rPr>
        <w:t>,</w:t>
      </w:r>
      <w:r w:rsidR="00FE1D4F" w:rsidRPr="00116E1F">
        <w:rPr>
          <w:rFonts w:ascii="Times New Roman" w:eastAsia="Calibri" w:hAnsi="Times New Roman" w:cs="Times New Roman"/>
        </w:rPr>
        <w:t xml:space="preserve"> illustrating </w:t>
      </w:r>
      <w:r w:rsidR="006D72CE" w:rsidRPr="00116E1F">
        <w:rPr>
          <w:rFonts w:ascii="Times New Roman" w:eastAsia="Calibri" w:hAnsi="Times New Roman" w:cs="Times New Roman"/>
        </w:rPr>
        <w:t>reliability in the method developed and used.</w:t>
      </w:r>
    </w:p>
    <w:p w:rsidR="001518DB" w:rsidRPr="00116E1F" w:rsidRDefault="006D72CE" w:rsidP="00EE7761">
      <w:pPr>
        <w:pStyle w:val="ListParagraph"/>
        <w:numPr>
          <w:ilvl w:val="0"/>
          <w:numId w:val="22"/>
        </w:numPr>
        <w:spacing w:after="0" w:line="360" w:lineRule="auto"/>
        <w:jc w:val="both"/>
        <w:rPr>
          <w:rFonts w:ascii="Times New Roman" w:hAnsi="Times New Roman" w:cs="Times New Roman"/>
        </w:rPr>
      </w:pPr>
      <w:r w:rsidRPr="00116E1F">
        <w:rPr>
          <w:rFonts w:ascii="Times New Roman" w:hAnsi="Times New Roman" w:cs="Times New Roman"/>
        </w:rPr>
        <w:t xml:space="preserve">From the l0 ferro-alloys investigated, one was selected </w:t>
      </w:r>
      <w:r w:rsidR="001518DB" w:rsidRPr="00116E1F">
        <w:rPr>
          <w:rFonts w:ascii="Times New Roman" w:hAnsi="Times New Roman" w:cs="Times New Roman"/>
        </w:rPr>
        <w:t>for each ferro-alloy as a representative of the process. These were then utilised in 8 grades of steel data obtained from Tata Steel, to determine the additional impacts of alloying additions in grades of steel.</w:t>
      </w:r>
    </w:p>
    <w:p w:rsidR="00BA2F9D" w:rsidRPr="00116E1F" w:rsidRDefault="00BA2F9D" w:rsidP="00E24094">
      <w:pPr>
        <w:spacing w:after="0" w:line="360" w:lineRule="auto"/>
        <w:ind w:firstLine="720"/>
        <w:jc w:val="both"/>
        <w:rPr>
          <w:rFonts w:ascii="Times New Roman" w:hAnsi="Times New Roman" w:cs="Times New Roman"/>
        </w:rPr>
      </w:pPr>
    </w:p>
    <w:p w:rsidR="00E24094" w:rsidRPr="00981ADF" w:rsidRDefault="00632D5D" w:rsidP="00E24094">
      <w:pPr>
        <w:spacing w:after="0" w:line="360" w:lineRule="auto"/>
        <w:ind w:firstLine="720"/>
        <w:jc w:val="both"/>
        <w:rPr>
          <w:rFonts w:ascii="Times New Roman" w:eastAsia="Calibri" w:hAnsi="Times New Roman" w:cs="Times New Roman"/>
        </w:rPr>
      </w:pPr>
      <w:r w:rsidRPr="00116E1F">
        <w:rPr>
          <w:rFonts w:ascii="Times New Roman" w:hAnsi="Times New Roman" w:cs="Times New Roman"/>
        </w:rPr>
        <w:t xml:space="preserve">The overall summary of the findings did indicate for average electricity models, that </w:t>
      </w:r>
      <w:r w:rsidR="00E24094" w:rsidRPr="00116E1F">
        <w:rPr>
          <w:rFonts w:ascii="Times New Roman" w:hAnsi="Times New Roman" w:cs="Times New Roman"/>
        </w:rPr>
        <w:t xml:space="preserve">percentage of </w:t>
      </w:r>
      <w:r w:rsidRPr="00116E1F">
        <w:rPr>
          <w:rFonts w:ascii="Times New Roman" w:hAnsi="Times New Roman" w:cs="Times New Roman"/>
        </w:rPr>
        <w:t>global production and breakdown of fuel both contributed significantly to explaining the resul</w:t>
      </w:r>
      <w:r w:rsidR="00E24094" w:rsidRPr="00116E1F">
        <w:rPr>
          <w:rFonts w:ascii="Times New Roman" w:hAnsi="Times New Roman" w:cs="Times New Roman"/>
        </w:rPr>
        <w:t>ts and trends. For ferro-alloys, 5 existing common ferro-alloy models were updated and 5 new models were created for the more exotic elements. However, more importantly an extensive overview of ferro-alloy literature was conducted highlighting data sources, production routes and gaps. As regards to grades of steel, significant additional CO</w:t>
      </w:r>
      <w:r w:rsidR="00E24094" w:rsidRPr="00116E1F">
        <w:rPr>
          <w:rFonts w:ascii="Times New Roman" w:hAnsi="Times New Roman" w:cs="Times New Roman"/>
          <w:vertAlign w:val="subscript"/>
        </w:rPr>
        <w:t xml:space="preserve">2 </w:t>
      </w:r>
      <w:r w:rsidR="00F026DC">
        <w:rPr>
          <w:rFonts w:ascii="Times New Roman" w:hAnsi="Times New Roman" w:cs="Times New Roman"/>
        </w:rPr>
        <w:t xml:space="preserve">impacts </w:t>
      </w:r>
      <w:r w:rsidR="00E24094" w:rsidRPr="00116E1F">
        <w:rPr>
          <w:rFonts w:ascii="Times New Roman" w:hAnsi="Times New Roman" w:cs="Times New Roman"/>
        </w:rPr>
        <w:t xml:space="preserve">were produced from dual phase steel grades, DP800 and </w:t>
      </w:r>
      <w:r w:rsidR="00E24094" w:rsidRPr="00981ADF">
        <w:rPr>
          <w:rFonts w:ascii="Times New Roman" w:hAnsi="Times New Roman" w:cs="Times New Roman"/>
        </w:rPr>
        <w:lastRenderedPageBreak/>
        <w:t xml:space="preserve">DP600. Yet, </w:t>
      </w:r>
      <w:r w:rsidR="00E24094" w:rsidRPr="00981ADF">
        <w:rPr>
          <w:rFonts w:ascii="Times New Roman" w:eastAsia="Calibri" w:hAnsi="Times New Roman" w:cs="Times New Roman"/>
        </w:rPr>
        <w:t xml:space="preserve">both the alloying addition amount and emission factor related to that alloying addition, played a pivotal role in influencing the end result. </w:t>
      </w:r>
    </w:p>
    <w:p w:rsidR="00B56084" w:rsidRDefault="00E24094" w:rsidP="00B56084">
      <w:pPr>
        <w:spacing w:after="0" w:line="360" w:lineRule="auto"/>
        <w:ind w:firstLine="720"/>
        <w:jc w:val="both"/>
        <w:rPr>
          <w:rFonts w:ascii="Times New Roman" w:hAnsi="Times New Roman" w:cs="Times New Roman"/>
        </w:rPr>
      </w:pPr>
      <w:r w:rsidRPr="00981ADF">
        <w:rPr>
          <w:rFonts w:ascii="Times New Roman" w:hAnsi="Times New Roman" w:cs="Times New Roman"/>
        </w:rPr>
        <w:t>Nevertheless, the results were not the only thing that emphasised the value of this study. Methods developed to model average electricity grid m</w:t>
      </w:r>
      <w:r w:rsidR="00D628CD" w:rsidRPr="00981ADF">
        <w:rPr>
          <w:rFonts w:ascii="Times New Roman" w:hAnsi="Times New Roman" w:cs="Times New Roman"/>
        </w:rPr>
        <w:t>ixes and ferro-alloys, were themselves novel because of their potential use and applications beyond this research. For example, ferro-alloy models developed in this research were utilised by Tata Steel in order to develop</w:t>
      </w:r>
      <w:r w:rsidR="00B56084">
        <w:rPr>
          <w:rFonts w:ascii="Times New Roman" w:hAnsi="Times New Roman" w:cs="Times New Roman"/>
        </w:rPr>
        <w:t xml:space="preserve"> an ‘automotive master model’. </w:t>
      </w:r>
    </w:p>
    <w:p w:rsidR="002B0D0B" w:rsidRPr="00981ADF" w:rsidRDefault="00D628CD" w:rsidP="00B56084">
      <w:pPr>
        <w:spacing w:after="0" w:line="360" w:lineRule="auto"/>
        <w:ind w:firstLine="720"/>
        <w:jc w:val="both"/>
        <w:rPr>
          <w:rFonts w:ascii="Times New Roman" w:hAnsi="Times New Roman" w:cs="Times New Roman"/>
        </w:rPr>
      </w:pPr>
      <w:r w:rsidRPr="00981ADF">
        <w:rPr>
          <w:rFonts w:ascii="Times New Roman" w:hAnsi="Times New Roman" w:cs="Times New Roman"/>
        </w:rPr>
        <w:t xml:space="preserve">In this master model, </w:t>
      </w:r>
      <w:r w:rsidR="002B0D0B" w:rsidRPr="00981ADF">
        <w:rPr>
          <w:rFonts w:ascii="Times New Roman" w:hAnsi="Times New Roman" w:cs="Times New Roman"/>
        </w:rPr>
        <w:t>the ferro-alloy processes were key ingredients and so a range of grades could be investigated by variations in ferro-alloys.</w:t>
      </w:r>
      <w:r w:rsidR="004C2AE9">
        <w:rPr>
          <w:rFonts w:ascii="Times New Roman" w:hAnsi="Times New Roman" w:cs="Times New Roman"/>
        </w:rPr>
        <w:t xml:space="preserve"> This is p</w:t>
      </w:r>
      <w:r w:rsidR="002B0D0B" w:rsidRPr="00981ADF">
        <w:rPr>
          <w:rFonts w:ascii="Times New Roman" w:hAnsi="Times New Roman" w:cs="Times New Roman"/>
        </w:rPr>
        <w:t>articularly useful in the automotive industry, where light-weighting, cost reduction and environmental emissions are becoming more stringent.</w:t>
      </w:r>
    </w:p>
    <w:p w:rsidR="00E24094" w:rsidRDefault="00D628CD" w:rsidP="002B0D0B">
      <w:pPr>
        <w:spacing w:after="0" w:line="360" w:lineRule="auto"/>
        <w:ind w:firstLine="720"/>
        <w:jc w:val="both"/>
        <w:rPr>
          <w:rFonts w:ascii="Times New Roman" w:hAnsi="Times New Roman" w:cs="Times New Roman"/>
        </w:rPr>
      </w:pPr>
      <w:r w:rsidRPr="00981ADF">
        <w:rPr>
          <w:rFonts w:ascii="Times New Roman" w:hAnsi="Times New Roman" w:cs="Times New Roman"/>
        </w:rPr>
        <w:t xml:space="preserve">Although </w:t>
      </w:r>
      <w:r w:rsidR="002B0D0B" w:rsidRPr="00981ADF">
        <w:rPr>
          <w:rFonts w:ascii="Times New Roman" w:hAnsi="Times New Roman" w:cs="Times New Roman"/>
        </w:rPr>
        <w:t xml:space="preserve">not investigated here, substitutability of elements particularly where data was missing or market conditions had changed would have been </w:t>
      </w:r>
      <w:r w:rsidRPr="00981ADF">
        <w:rPr>
          <w:rFonts w:ascii="Times New Roman" w:hAnsi="Times New Roman" w:cs="Times New Roman"/>
        </w:rPr>
        <w:t>very useful in advancing LCA related work.</w:t>
      </w:r>
    </w:p>
    <w:p w:rsidR="00632D5D" w:rsidRDefault="00632D5D" w:rsidP="00632D5D">
      <w:pPr>
        <w:spacing w:after="0" w:line="360" w:lineRule="auto"/>
        <w:jc w:val="both"/>
        <w:rPr>
          <w:rFonts w:ascii="Times New Roman" w:hAnsi="Times New Roman" w:cs="Times New Roman"/>
        </w:rPr>
      </w:pPr>
    </w:p>
    <w:p w:rsidR="00116E1F" w:rsidRDefault="00116E1F" w:rsidP="005B475A">
      <w:pPr>
        <w:spacing w:after="0" w:line="360" w:lineRule="auto"/>
        <w:rPr>
          <w:rFonts w:ascii="Times New Roman" w:eastAsia="Calibri" w:hAnsi="Times New Roman" w:cs="Times New Roman"/>
        </w:rPr>
        <w:sectPr w:rsidR="00116E1F">
          <w:pgSz w:w="11906" w:h="16838"/>
          <w:pgMar w:top="1440" w:right="1440" w:bottom="1440" w:left="1440" w:header="708" w:footer="708" w:gutter="0"/>
          <w:cols w:space="708"/>
          <w:docGrid w:linePitch="360"/>
        </w:sectPr>
      </w:pPr>
    </w:p>
    <w:p w:rsidR="00300C7C" w:rsidRPr="00F557F1" w:rsidRDefault="00300C7C" w:rsidP="00F557F1">
      <w:pPr>
        <w:pStyle w:val="Heading1"/>
      </w:pPr>
      <w:r w:rsidRPr="00F557F1">
        <w:lastRenderedPageBreak/>
        <w:t>2. General Background</w:t>
      </w:r>
      <w:r w:rsidR="00116E1F" w:rsidRPr="00F557F1">
        <w:t xml:space="preserve"> </w:t>
      </w:r>
    </w:p>
    <w:p w:rsidR="00300C7C" w:rsidRPr="00F557F1" w:rsidRDefault="00300C7C" w:rsidP="00F557F1">
      <w:pPr>
        <w:pStyle w:val="Heading2"/>
      </w:pPr>
      <w:r w:rsidRPr="00F557F1">
        <w:t>2.1 The Concept of Material Flow Analysis</w:t>
      </w:r>
      <w:r w:rsidR="00DD699C" w:rsidRPr="00F557F1">
        <w:t xml:space="preserve"> (MFA)</w:t>
      </w:r>
      <w:r w:rsidRPr="00F557F1">
        <w:t xml:space="preserve"> </w:t>
      </w:r>
    </w:p>
    <w:p w:rsidR="00DD699C" w:rsidRPr="00116E1F" w:rsidRDefault="00300C7C" w:rsidP="00300C7C">
      <w:pPr>
        <w:spacing w:line="360" w:lineRule="auto"/>
        <w:ind w:firstLine="720"/>
        <w:jc w:val="both"/>
        <w:rPr>
          <w:rFonts w:ascii="Times New Roman" w:eastAsia="Calibri" w:hAnsi="Times New Roman" w:cs="Times New Roman"/>
        </w:rPr>
      </w:pPr>
      <w:r w:rsidRPr="00116E1F">
        <w:rPr>
          <w:rFonts w:ascii="Times New Roman" w:eastAsia="Calibri" w:hAnsi="Times New Roman" w:cs="Times New Roman"/>
        </w:rPr>
        <w:t xml:space="preserve">According to </w:t>
      </w:r>
      <w:r w:rsidR="00DD21BB" w:rsidRPr="00116E1F">
        <w:rPr>
          <w:rStyle w:val="ReferenceChar"/>
          <w:rFonts w:cs="Times New Roman"/>
          <w:noProof/>
          <w:color w:val="auto"/>
        </w:rPr>
        <w:t>(Brunner &amp; Rechberger 2004)</w:t>
      </w:r>
      <w:r w:rsidRPr="00116E1F">
        <w:rPr>
          <w:rStyle w:val="ReferenceChar"/>
          <w:rFonts w:cs="Times New Roman"/>
          <w:color w:val="auto"/>
        </w:rPr>
        <w:t>,</w:t>
      </w:r>
      <w:r w:rsidR="00DD699C" w:rsidRPr="00116E1F">
        <w:rPr>
          <w:rFonts w:ascii="Times New Roman" w:eastAsia="Calibri" w:hAnsi="Times New Roman" w:cs="Times New Roman"/>
        </w:rPr>
        <w:t xml:space="preserve"> MFA</w:t>
      </w:r>
      <w:r w:rsidR="004C2AE9" w:rsidRPr="00116E1F">
        <w:rPr>
          <w:rFonts w:ascii="Times New Roman" w:eastAsia="Calibri" w:hAnsi="Times New Roman" w:cs="Times New Roman"/>
        </w:rPr>
        <w:t xml:space="preserve"> can be defined </w:t>
      </w:r>
      <w:r w:rsidRPr="00116E1F">
        <w:rPr>
          <w:rFonts w:ascii="Times New Roman" w:eastAsia="Calibri" w:hAnsi="Times New Roman" w:cs="Times New Roman"/>
        </w:rPr>
        <w:t>as, “A systematic assessment of the flows and stocks of materials within a system defined in space and time”. It is based upon the fi</w:t>
      </w:r>
      <w:r w:rsidR="00DD699C" w:rsidRPr="00116E1F">
        <w:rPr>
          <w:rFonts w:ascii="Times New Roman" w:eastAsia="Calibri" w:hAnsi="Times New Roman" w:cs="Times New Roman"/>
        </w:rPr>
        <w:t xml:space="preserve">rst law of thermodynamics </w:t>
      </w:r>
      <w:r w:rsidRPr="00116E1F">
        <w:rPr>
          <w:rFonts w:ascii="Times New Roman" w:eastAsia="Calibri" w:hAnsi="Times New Roman" w:cs="Times New Roman"/>
        </w:rPr>
        <w:t>where total inputs for a given system must by definition, equal total outputs, plus net accumulation of materials in the system. This mass balance principle holds true for any sub-system from a nation’s economy to industrial sectors and even individual households</w:t>
      </w:r>
      <w:r w:rsidR="00DD699C" w:rsidRPr="00116E1F">
        <w:rPr>
          <w:rFonts w:ascii="Times New Roman" w:eastAsia="Calibri" w:hAnsi="Times New Roman" w:cs="Times New Roman"/>
        </w:rPr>
        <w:t xml:space="preserve"> </w:t>
      </w:r>
      <w:r w:rsidR="00DD699C" w:rsidRPr="00116E1F">
        <w:rPr>
          <w:rStyle w:val="ReferenceChar"/>
          <w:rFonts w:cs="Times New Roman"/>
          <w:noProof/>
          <w:color w:val="auto"/>
        </w:rPr>
        <w:t>(Hinterberger et al. 2003)</w:t>
      </w:r>
      <w:r w:rsidRPr="00116E1F">
        <w:rPr>
          <w:rFonts w:ascii="Times New Roman" w:eastAsia="Calibri" w:hAnsi="Times New Roman" w:cs="Times New Roman"/>
        </w:rPr>
        <w:t xml:space="preserve">.  As illustrated by </w:t>
      </w:r>
      <w:r w:rsidR="00A6415F" w:rsidRPr="00116E1F">
        <w:rPr>
          <w:rFonts w:ascii="Times New Roman" w:hAnsi="Times New Roman" w:cs="Times New Roman"/>
        </w:rPr>
        <w:fldChar w:fldCharType="begin"/>
      </w:r>
      <w:r w:rsidR="00A6415F" w:rsidRPr="00116E1F">
        <w:rPr>
          <w:rFonts w:ascii="Times New Roman" w:hAnsi="Times New Roman" w:cs="Times New Roman"/>
        </w:rPr>
        <w:instrText xml:space="preserve"> REF _Ref468391205 \h  \* MERGEFORMAT </w:instrText>
      </w:r>
      <w:r w:rsidR="00A6415F" w:rsidRPr="00116E1F">
        <w:rPr>
          <w:rFonts w:ascii="Times New Roman" w:hAnsi="Times New Roman" w:cs="Times New Roman"/>
        </w:rPr>
      </w:r>
      <w:r w:rsidR="00A6415F" w:rsidRPr="00116E1F">
        <w:rPr>
          <w:rFonts w:ascii="Times New Roman" w:hAnsi="Times New Roman" w:cs="Times New Roman"/>
        </w:rPr>
        <w:fldChar w:fldCharType="separate"/>
      </w:r>
      <w:r w:rsidR="009F5483" w:rsidRPr="009F5483">
        <w:rPr>
          <w:rStyle w:val="FiguresChar"/>
          <w:color w:val="auto"/>
        </w:rPr>
        <w:t>Figure 1</w:t>
      </w:r>
      <w:r w:rsidR="00A6415F" w:rsidRPr="00116E1F">
        <w:rPr>
          <w:rFonts w:ascii="Times New Roman" w:hAnsi="Times New Roman" w:cs="Times New Roman"/>
        </w:rPr>
        <w:fldChar w:fldCharType="end"/>
      </w:r>
      <w:r w:rsidRPr="00116E1F">
        <w:rPr>
          <w:rFonts w:ascii="Times New Roman" w:eastAsia="Calibri" w:hAnsi="Times New Roman" w:cs="Times New Roman"/>
        </w:rPr>
        <w:t>, MFAs follow the lifecycle of a p</w:t>
      </w:r>
      <w:r w:rsidR="00DD699C" w:rsidRPr="00116E1F">
        <w:rPr>
          <w:rFonts w:ascii="Times New Roman" w:eastAsia="Calibri" w:hAnsi="Times New Roman" w:cs="Times New Roman"/>
        </w:rPr>
        <w:t>roduct, beginning initially at</w:t>
      </w:r>
      <w:r w:rsidRPr="00116E1F">
        <w:rPr>
          <w:rFonts w:ascii="Times New Roman" w:eastAsia="Calibri" w:hAnsi="Times New Roman" w:cs="Times New Roman"/>
        </w:rPr>
        <w:t xml:space="preserve"> extr</w:t>
      </w:r>
      <w:r w:rsidR="00DD699C" w:rsidRPr="00116E1F">
        <w:rPr>
          <w:rFonts w:ascii="Times New Roman" w:eastAsia="Calibri" w:hAnsi="Times New Roman" w:cs="Times New Roman"/>
        </w:rPr>
        <w:t>action followed by production</w:t>
      </w:r>
      <w:r w:rsidRPr="00116E1F">
        <w:rPr>
          <w:rFonts w:ascii="Times New Roman" w:eastAsia="Calibri" w:hAnsi="Times New Roman" w:cs="Times New Roman"/>
        </w:rPr>
        <w:t xml:space="preserve">, and then to </w:t>
      </w:r>
      <w:r w:rsidR="00DD699C" w:rsidRPr="00116E1F">
        <w:rPr>
          <w:rFonts w:ascii="Times New Roman" w:eastAsia="Calibri" w:hAnsi="Times New Roman" w:cs="Times New Roman"/>
        </w:rPr>
        <w:t>consumption</w:t>
      </w:r>
      <w:r w:rsidRPr="00116E1F">
        <w:rPr>
          <w:rFonts w:ascii="Times New Roman" w:eastAsia="Calibri" w:hAnsi="Times New Roman" w:cs="Times New Roman"/>
        </w:rPr>
        <w:t xml:space="preserve"> and </w:t>
      </w:r>
      <w:r w:rsidR="00DD699C" w:rsidRPr="00116E1F">
        <w:rPr>
          <w:rFonts w:ascii="Times New Roman" w:eastAsia="Calibri" w:hAnsi="Times New Roman" w:cs="Times New Roman"/>
        </w:rPr>
        <w:t xml:space="preserve">finally ending with </w:t>
      </w:r>
      <w:r w:rsidRPr="00116E1F">
        <w:rPr>
          <w:rFonts w:ascii="Times New Roman" w:eastAsia="Calibri" w:hAnsi="Times New Roman" w:cs="Times New Roman"/>
        </w:rPr>
        <w:t>d</w:t>
      </w:r>
      <w:r w:rsidR="00DD699C" w:rsidRPr="00116E1F">
        <w:rPr>
          <w:rFonts w:ascii="Times New Roman" w:eastAsia="Calibri" w:hAnsi="Times New Roman" w:cs="Times New Roman"/>
        </w:rPr>
        <w:t xml:space="preserve">isposal of wastes </w:t>
      </w:r>
      <w:r w:rsidR="00DD699C" w:rsidRPr="00116E1F">
        <w:rPr>
          <w:rStyle w:val="ReferenceChar"/>
          <w:rFonts w:cs="Times New Roman"/>
          <w:noProof/>
          <w:color w:val="auto"/>
        </w:rPr>
        <w:t>(Haberl &amp; Weisz 2007)</w:t>
      </w:r>
      <w:r w:rsidR="00DD699C" w:rsidRPr="00116E1F">
        <w:rPr>
          <w:rFonts w:ascii="Times New Roman" w:eastAsia="Calibri" w:hAnsi="Times New Roman" w:cs="Times New Roman"/>
        </w:rPr>
        <w:t xml:space="preserve">. </w:t>
      </w:r>
    </w:p>
    <w:p w:rsidR="00300C7C" w:rsidRPr="00116E1F" w:rsidRDefault="00BE325C" w:rsidP="00300C7C">
      <w:pPr>
        <w:spacing w:line="360" w:lineRule="auto"/>
        <w:jc w:val="both"/>
        <w:rPr>
          <w:rFonts w:ascii="Times New Roman" w:eastAsia="Calibri" w:hAnsi="Times New Roman" w:cs="Times New Roman"/>
        </w:rPr>
      </w:pPr>
      <w:r w:rsidRPr="00116E1F">
        <w:rPr>
          <w:noProof/>
        </w:rPr>
        <mc:AlternateContent>
          <mc:Choice Requires="wpg">
            <w:drawing>
              <wp:anchor distT="0" distB="0" distL="114300" distR="114300" simplePos="0" relativeHeight="251680768" behindDoc="0" locked="0" layoutInCell="1" allowOverlap="1">
                <wp:simplePos x="0" y="0"/>
                <wp:positionH relativeFrom="column">
                  <wp:posOffset>0</wp:posOffset>
                </wp:positionH>
                <wp:positionV relativeFrom="paragraph">
                  <wp:posOffset>6985</wp:posOffset>
                </wp:positionV>
                <wp:extent cx="5464175" cy="3063240"/>
                <wp:effectExtent l="0" t="0" r="22225" b="3810"/>
                <wp:wrapNone/>
                <wp:docPr id="17425" name="Group 17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4175" cy="3063240"/>
                          <a:chOff x="0" y="0"/>
                          <a:chExt cx="54641" cy="30635"/>
                        </a:xfrm>
                      </wpg:grpSpPr>
                      <wps:wsp>
                        <wps:cNvPr id="17426" name="Flowchart: Process 17415"/>
                        <wps:cNvSpPr>
                          <a:spLocks noChangeArrowheads="1"/>
                        </wps:cNvSpPr>
                        <wps:spPr bwMode="auto">
                          <a:xfrm>
                            <a:off x="11262" y="0"/>
                            <a:ext cx="43379" cy="21946"/>
                          </a:xfrm>
                          <a:prstGeom prst="flowChartProcess">
                            <a:avLst/>
                          </a:prstGeom>
                          <a:solidFill>
                            <a:schemeClr val="bg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7428" name="Flowchart: Process 17416"/>
                        <wps:cNvSpPr>
                          <a:spLocks noChangeArrowheads="1"/>
                        </wps:cNvSpPr>
                        <wps:spPr bwMode="auto">
                          <a:xfrm>
                            <a:off x="12505" y="3658"/>
                            <a:ext cx="14923" cy="15874"/>
                          </a:xfrm>
                          <a:prstGeom prst="flowChartProcess">
                            <a:avLst/>
                          </a:prstGeom>
                          <a:solidFill>
                            <a:schemeClr val="accent1">
                              <a:lumMod val="100000"/>
                              <a:lumOff val="0"/>
                            </a:schemeClr>
                          </a:solidFill>
                          <a:ln w="12700">
                            <a:solidFill>
                              <a:schemeClr val="accent1">
                                <a:lumMod val="50000"/>
                                <a:lumOff val="0"/>
                              </a:schemeClr>
                            </a:solidFill>
                            <a:miter lim="800000"/>
                            <a:headEnd/>
                            <a:tailEnd/>
                          </a:ln>
                        </wps:spPr>
                        <wps:txbx>
                          <w:txbxContent>
                            <w:p w:rsidR="008F124C" w:rsidRPr="00C62560" w:rsidRDefault="008F124C" w:rsidP="00300C7C">
                              <w:pPr>
                                <w:jc w:val="center"/>
                              </w:pPr>
                              <w:r w:rsidRPr="00C62560">
                                <w:t>Production</w:t>
                              </w:r>
                            </w:p>
                          </w:txbxContent>
                        </wps:txbx>
                        <wps:bodyPr rot="0" vert="horz" wrap="square" lIns="91440" tIns="45720" rIns="91440" bIns="45720" anchor="ctr" anchorCtr="0" upright="1">
                          <a:noAutofit/>
                        </wps:bodyPr>
                      </wps:wsp>
                      <wps:wsp>
                        <wps:cNvPr id="17429" name="Flowchart: Process 17417"/>
                        <wps:cNvSpPr>
                          <a:spLocks noChangeArrowheads="1"/>
                        </wps:cNvSpPr>
                        <wps:spPr bwMode="auto">
                          <a:xfrm>
                            <a:off x="1754" y="0"/>
                            <a:ext cx="3551" cy="21859"/>
                          </a:xfrm>
                          <a:prstGeom prst="flowChartProcess">
                            <a:avLst/>
                          </a:prstGeom>
                          <a:solidFill>
                            <a:schemeClr val="accent1">
                              <a:lumMod val="100000"/>
                              <a:lumOff val="0"/>
                            </a:schemeClr>
                          </a:solidFill>
                          <a:ln w="12700">
                            <a:solidFill>
                              <a:schemeClr val="accent1">
                                <a:lumMod val="50000"/>
                                <a:lumOff val="0"/>
                              </a:schemeClr>
                            </a:solidFill>
                            <a:miter lim="800000"/>
                            <a:headEnd/>
                            <a:tailEnd/>
                          </a:ln>
                        </wps:spPr>
                        <wps:txbx>
                          <w:txbxContent>
                            <w:p w:rsidR="008F124C" w:rsidRPr="00C62560" w:rsidRDefault="008F124C" w:rsidP="00300C7C">
                              <w:pPr>
                                <w:pStyle w:val="NormalWeb"/>
                                <w:spacing w:before="0" w:beforeAutospacing="0" w:after="160" w:afterAutospacing="0" w:line="252" w:lineRule="auto"/>
                                <w:jc w:val="center"/>
                                <w:rPr>
                                  <w:rFonts w:asciiTheme="minorHAnsi" w:hAnsiTheme="minorHAnsi"/>
                                </w:rPr>
                              </w:pPr>
                              <w:r>
                                <w:rPr>
                                  <w:rFonts w:asciiTheme="minorHAnsi" w:eastAsia="Calibri" w:hAnsiTheme="minorHAnsi"/>
                                  <w:sz w:val="22"/>
                                  <w:szCs w:val="22"/>
                                </w:rPr>
                                <w:br/>
                              </w:r>
                              <w:r w:rsidRPr="00C62560">
                                <w:rPr>
                                  <w:rFonts w:asciiTheme="minorHAnsi" w:eastAsia="Calibri" w:hAnsiTheme="minorHAnsi"/>
                                  <w:sz w:val="22"/>
                                  <w:szCs w:val="22"/>
                                </w:rPr>
                                <w:t>Other region/countries</w:t>
                              </w:r>
                            </w:p>
                          </w:txbxContent>
                        </wps:txbx>
                        <wps:bodyPr rot="0" vert="vert270" wrap="square" lIns="91440" tIns="45720" rIns="91440" bIns="45720" anchor="ctr" anchorCtr="0" upright="1">
                          <a:noAutofit/>
                        </wps:bodyPr>
                      </wps:wsp>
                      <wps:wsp>
                        <wps:cNvPr id="17430" name="Straight Arrow Connector 17418"/>
                        <wps:cNvCnPr>
                          <a:cxnSpLocks noChangeShapeType="1"/>
                        </wps:cNvCnPr>
                        <wps:spPr bwMode="auto">
                          <a:xfrm>
                            <a:off x="5482" y="4754"/>
                            <a:ext cx="7023"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7431" name="Straight Arrow Connector 17419"/>
                        <wps:cNvCnPr>
                          <a:cxnSpLocks noChangeShapeType="1"/>
                        </wps:cNvCnPr>
                        <wps:spPr bwMode="auto">
                          <a:xfrm flipH="1">
                            <a:off x="5409" y="15067"/>
                            <a:ext cx="7055"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7432" name="Flowchart: Process 17420"/>
                        <wps:cNvSpPr>
                          <a:spLocks noChangeArrowheads="1"/>
                        </wps:cNvSpPr>
                        <wps:spPr bwMode="auto">
                          <a:xfrm>
                            <a:off x="17451" y="23191"/>
                            <a:ext cx="10197" cy="2852"/>
                          </a:xfrm>
                          <a:prstGeom prst="flowChartProcess">
                            <a:avLst/>
                          </a:prstGeom>
                          <a:solidFill>
                            <a:schemeClr val="accent1">
                              <a:lumMod val="100000"/>
                              <a:lumOff val="0"/>
                            </a:schemeClr>
                          </a:solidFill>
                          <a:ln w="12700">
                            <a:solidFill>
                              <a:schemeClr val="accent1">
                                <a:lumMod val="50000"/>
                                <a:lumOff val="0"/>
                              </a:schemeClr>
                            </a:solidFill>
                            <a:miter lim="800000"/>
                            <a:headEnd/>
                            <a:tailEnd/>
                          </a:ln>
                        </wps:spPr>
                        <wps:txbx>
                          <w:txbxContent>
                            <w:p w:rsidR="008F124C" w:rsidRPr="00C62560" w:rsidRDefault="008F124C" w:rsidP="00300C7C">
                              <w:pPr>
                                <w:pStyle w:val="NormalWeb"/>
                                <w:spacing w:before="0" w:beforeAutospacing="0" w:after="160" w:afterAutospacing="0" w:line="254" w:lineRule="auto"/>
                                <w:jc w:val="center"/>
                                <w:rPr>
                                  <w:rFonts w:asciiTheme="minorHAnsi" w:eastAsia="Calibri" w:hAnsiTheme="minorHAnsi"/>
                                  <w:sz w:val="22"/>
                                  <w:szCs w:val="22"/>
                                </w:rPr>
                              </w:pPr>
                              <w:r w:rsidRPr="00C62560">
                                <w:rPr>
                                  <w:rFonts w:asciiTheme="minorHAnsi" w:eastAsia="Calibri" w:hAnsiTheme="minorHAnsi"/>
                                  <w:sz w:val="22"/>
                                  <w:szCs w:val="22"/>
                                </w:rPr>
                                <w:t>Hidden flows</w:t>
                              </w:r>
                            </w:p>
                          </w:txbxContent>
                        </wps:txbx>
                        <wps:bodyPr rot="0" vert="horz" wrap="square" lIns="91440" tIns="45720" rIns="91440" bIns="45720" anchor="ctr" anchorCtr="0" upright="1">
                          <a:noAutofit/>
                        </wps:bodyPr>
                      </wps:wsp>
                      <wpg:grpSp>
                        <wpg:cNvPr id="17433" name="Group 17421"/>
                        <wpg:cNvGrpSpPr>
                          <a:grpSpLocks/>
                        </wpg:cNvGrpSpPr>
                        <wpg:grpSpPr bwMode="auto">
                          <a:xfrm>
                            <a:off x="9550" y="16752"/>
                            <a:ext cx="9144" cy="10461"/>
                            <a:chOff x="12992" y="19238"/>
                            <a:chExt cx="9144" cy="10461"/>
                          </a:xfrm>
                        </wpg:grpSpPr>
                        <wps:wsp>
                          <wps:cNvPr id="17434" name="Flowchart: Process 17422"/>
                          <wps:cNvSpPr>
                            <a:spLocks noChangeArrowheads="1"/>
                          </wps:cNvSpPr>
                          <wps:spPr bwMode="auto">
                            <a:xfrm>
                              <a:off x="12992" y="24914"/>
                              <a:ext cx="9144" cy="4785"/>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8F124C" w:rsidRPr="009B158D" w:rsidRDefault="008F124C" w:rsidP="00300C7C">
                                <w:pPr>
                                  <w:pStyle w:val="NormalWeb"/>
                                  <w:spacing w:before="0" w:beforeAutospacing="0" w:after="160" w:afterAutospacing="0" w:line="254" w:lineRule="auto"/>
                                  <w:jc w:val="center"/>
                                  <w:rPr>
                                    <w:rFonts w:asciiTheme="minorHAnsi" w:hAnsiTheme="minorHAnsi"/>
                                    <w:color w:val="000000" w:themeColor="text1"/>
                                  </w:rPr>
                                </w:pPr>
                                <w:r w:rsidRPr="009B158D">
                                  <w:rPr>
                                    <w:rFonts w:asciiTheme="minorHAnsi" w:eastAsia="Calibri" w:hAnsiTheme="minorHAnsi"/>
                                    <w:color w:val="000000" w:themeColor="text1"/>
                                    <w:sz w:val="22"/>
                                    <w:szCs w:val="22"/>
                                  </w:rPr>
                                  <w:t>Material extraction</w:t>
                                </w:r>
                              </w:p>
                            </w:txbxContent>
                          </wps:txbx>
                          <wps:bodyPr rot="0" vert="horz" wrap="square" lIns="91440" tIns="45720" rIns="91440" bIns="45720" anchor="ctr" anchorCtr="0" upright="1">
                            <a:noAutofit/>
                          </wps:bodyPr>
                        </wps:wsp>
                        <wps:wsp>
                          <wps:cNvPr id="17435" name="Straight Arrow Connector 17423"/>
                          <wps:cNvCnPr>
                            <a:cxnSpLocks noChangeShapeType="1"/>
                          </wps:cNvCnPr>
                          <wps:spPr bwMode="auto">
                            <a:xfrm flipV="1">
                              <a:off x="17702" y="19238"/>
                              <a:ext cx="0" cy="6218"/>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17436" name="Flowchart: Process 17424"/>
                        <wps:cNvSpPr>
                          <a:spLocks noChangeArrowheads="1"/>
                        </wps:cNvSpPr>
                        <wps:spPr bwMode="auto">
                          <a:xfrm>
                            <a:off x="10164" y="211"/>
                            <a:ext cx="21170" cy="3175"/>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8F124C" w:rsidRPr="009B158D" w:rsidRDefault="008F124C" w:rsidP="00300C7C">
                              <w:pPr>
                                <w:pStyle w:val="NormalWeb"/>
                                <w:spacing w:before="0" w:beforeAutospacing="0" w:after="160" w:afterAutospacing="0" w:line="252" w:lineRule="auto"/>
                                <w:jc w:val="center"/>
                                <w:rPr>
                                  <w:rFonts w:asciiTheme="minorHAnsi" w:hAnsiTheme="minorHAnsi"/>
                                  <w:color w:val="000000" w:themeColor="text1"/>
                                </w:rPr>
                              </w:pPr>
                              <w:r w:rsidRPr="009B158D">
                                <w:rPr>
                                  <w:rFonts w:asciiTheme="minorHAnsi" w:eastAsia="Calibri" w:hAnsiTheme="minorHAnsi"/>
                                  <w:color w:val="000000" w:themeColor="text1"/>
                                  <w:sz w:val="22"/>
                                  <w:szCs w:val="22"/>
                                </w:rPr>
                                <w:t>Domestic/regional economy</w:t>
                              </w:r>
                            </w:p>
                          </w:txbxContent>
                        </wps:txbx>
                        <wps:bodyPr rot="0" vert="horz" wrap="square" lIns="91440" tIns="45720" rIns="91440" bIns="45720" anchor="ctr" anchorCtr="0" upright="1">
                          <a:noAutofit/>
                        </wps:bodyPr>
                      </wps:wsp>
                      <wps:wsp>
                        <wps:cNvPr id="17437" name="Flowchart: Process 17425"/>
                        <wps:cNvSpPr>
                          <a:spLocks noChangeArrowheads="1"/>
                        </wps:cNvSpPr>
                        <wps:spPr bwMode="auto">
                          <a:xfrm>
                            <a:off x="36942" y="13571"/>
                            <a:ext cx="9758" cy="3176"/>
                          </a:xfrm>
                          <a:prstGeom prst="flowChartProcess">
                            <a:avLst/>
                          </a:prstGeom>
                          <a:solidFill>
                            <a:schemeClr val="accent1">
                              <a:lumMod val="100000"/>
                              <a:lumOff val="0"/>
                            </a:schemeClr>
                          </a:solidFill>
                          <a:ln w="12700">
                            <a:solidFill>
                              <a:schemeClr val="accent1">
                                <a:lumMod val="50000"/>
                                <a:lumOff val="0"/>
                              </a:schemeClr>
                            </a:solidFill>
                            <a:miter lim="800000"/>
                            <a:headEnd/>
                            <a:tailEnd/>
                          </a:ln>
                        </wps:spPr>
                        <wps:txbx>
                          <w:txbxContent>
                            <w:p w:rsidR="008F124C" w:rsidRPr="00C62560" w:rsidRDefault="008F124C" w:rsidP="00300C7C">
                              <w:pPr>
                                <w:pStyle w:val="NormalWeb"/>
                                <w:spacing w:before="0" w:beforeAutospacing="0" w:after="160" w:afterAutospacing="0" w:line="254" w:lineRule="auto"/>
                                <w:jc w:val="center"/>
                                <w:rPr>
                                  <w:rFonts w:asciiTheme="minorHAnsi" w:hAnsiTheme="minorHAnsi"/>
                                </w:rPr>
                              </w:pPr>
                              <w:r w:rsidRPr="00C62560">
                                <w:rPr>
                                  <w:rFonts w:asciiTheme="minorHAnsi" w:eastAsia="Calibri" w:hAnsiTheme="minorHAnsi"/>
                                  <w:sz w:val="22"/>
                                  <w:szCs w:val="22"/>
                                </w:rPr>
                                <w:t>Consumption</w:t>
                              </w:r>
                            </w:p>
                          </w:txbxContent>
                        </wps:txbx>
                        <wps:bodyPr rot="0" vert="horz" wrap="square" lIns="91440" tIns="45720" rIns="91440" bIns="45720" anchor="ctr" anchorCtr="0" upright="1">
                          <a:noAutofit/>
                        </wps:bodyPr>
                      </wps:wsp>
                      <wps:wsp>
                        <wps:cNvPr id="17438" name="Flowchart: Process 17426"/>
                        <wps:cNvSpPr>
                          <a:spLocks noChangeArrowheads="1"/>
                        </wps:cNvSpPr>
                        <wps:spPr bwMode="auto">
                          <a:xfrm>
                            <a:off x="44074" y="7700"/>
                            <a:ext cx="9144" cy="4734"/>
                          </a:xfrm>
                          <a:prstGeom prst="flowChartProcess">
                            <a:avLst/>
                          </a:prstGeom>
                          <a:solidFill>
                            <a:schemeClr val="accent1">
                              <a:lumMod val="100000"/>
                              <a:lumOff val="0"/>
                            </a:schemeClr>
                          </a:solidFill>
                          <a:ln w="12700">
                            <a:solidFill>
                              <a:schemeClr val="accent1">
                                <a:lumMod val="50000"/>
                                <a:lumOff val="0"/>
                              </a:schemeClr>
                            </a:solidFill>
                            <a:miter lim="800000"/>
                            <a:headEnd/>
                            <a:tailEnd/>
                          </a:ln>
                        </wps:spPr>
                        <wps:txbx>
                          <w:txbxContent>
                            <w:p w:rsidR="008F124C" w:rsidRPr="00C62560" w:rsidRDefault="008F124C" w:rsidP="00300C7C">
                              <w:pPr>
                                <w:pStyle w:val="NormalWeb"/>
                                <w:spacing w:before="0" w:beforeAutospacing="0" w:after="160" w:afterAutospacing="0" w:line="254" w:lineRule="auto"/>
                                <w:jc w:val="center"/>
                                <w:rPr>
                                  <w:rFonts w:asciiTheme="minorHAnsi" w:hAnsiTheme="minorHAnsi"/>
                                </w:rPr>
                              </w:pPr>
                              <w:r w:rsidRPr="00C62560">
                                <w:rPr>
                                  <w:rFonts w:asciiTheme="minorHAnsi" w:eastAsia="Calibri" w:hAnsiTheme="minorHAnsi"/>
                                  <w:sz w:val="22"/>
                                  <w:szCs w:val="22"/>
                                </w:rPr>
                                <w:t>Physical Stock</w:t>
                              </w:r>
                            </w:p>
                          </w:txbxContent>
                        </wps:txbx>
                        <wps:bodyPr rot="0" vert="horz" wrap="square" lIns="91440" tIns="45720" rIns="91440" bIns="45720" anchor="ctr" anchorCtr="0" upright="1">
                          <a:noAutofit/>
                        </wps:bodyPr>
                      </wps:wsp>
                      <wps:wsp>
                        <wps:cNvPr id="17439" name="Elbow Connector 17427"/>
                        <wps:cNvCnPr>
                          <a:cxnSpLocks noChangeShapeType="1"/>
                          <a:endCxn id="17436" idx="0"/>
                        </wps:cNvCnPr>
                        <wps:spPr bwMode="auto">
                          <a:xfrm>
                            <a:off x="27425" y="5478"/>
                            <a:ext cx="21221" cy="2222"/>
                          </a:xfrm>
                          <a:prstGeom prst="bentConnector2">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641" name="Elbow Connector 17428"/>
                        <wps:cNvCnPr>
                          <a:cxnSpLocks noChangeShapeType="1"/>
                        </wps:cNvCnPr>
                        <wps:spPr bwMode="auto">
                          <a:xfrm>
                            <a:off x="27427" y="10385"/>
                            <a:ext cx="14392" cy="3184"/>
                          </a:xfrm>
                          <a:prstGeom prst="bentConnector2">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642" name="Flowchart: Process 17429"/>
                        <wps:cNvSpPr>
                          <a:spLocks noChangeArrowheads="1"/>
                        </wps:cNvSpPr>
                        <wps:spPr bwMode="auto">
                          <a:xfrm>
                            <a:off x="29591" y="3656"/>
                            <a:ext cx="4930" cy="8778"/>
                          </a:xfrm>
                          <a:prstGeom prst="flowChartProcess">
                            <a:avLst/>
                          </a:prstGeom>
                          <a:noFill/>
                          <a:ln w="12700">
                            <a:solidFill>
                              <a:schemeClr val="accent1">
                                <a:lumMod val="50000"/>
                                <a:lumOff val="0"/>
                              </a:schemeClr>
                            </a:solidFill>
                            <a:prstDash val="sysDash"/>
                            <a:miter lim="800000"/>
                            <a:headEnd/>
                            <a:tailEnd/>
                          </a:ln>
                          <a:extLst>
                            <a:ext uri="{909E8E84-426E-40DD-AFC4-6F175D3DCCD1}">
                              <a14:hiddenFill xmlns:a14="http://schemas.microsoft.com/office/drawing/2010/main">
                                <a:solidFill>
                                  <a:srgbClr val="FFFFFF"/>
                                </a:solidFill>
                              </a14:hiddenFill>
                            </a:ext>
                          </a:extLst>
                        </wps:spPr>
                        <wps:txbx>
                          <w:txbxContent>
                            <w:p w:rsidR="008F124C" w:rsidRPr="009B158D" w:rsidRDefault="008F124C" w:rsidP="00300C7C">
                              <w:pPr>
                                <w:pStyle w:val="NormalWeb"/>
                                <w:spacing w:before="0" w:beforeAutospacing="0" w:after="160" w:afterAutospacing="0" w:line="254" w:lineRule="auto"/>
                                <w:jc w:val="center"/>
                                <w:rPr>
                                  <w:rFonts w:asciiTheme="minorHAnsi" w:hAnsiTheme="minorHAnsi"/>
                                  <w:color w:val="000000" w:themeColor="text1"/>
                                </w:rPr>
                              </w:pPr>
                              <w:r w:rsidRPr="009B158D">
                                <w:rPr>
                                  <w:rFonts w:asciiTheme="minorHAnsi" w:eastAsia="Calibri" w:hAnsiTheme="minorHAnsi"/>
                                  <w:color w:val="000000" w:themeColor="text1"/>
                                  <w:sz w:val="22"/>
                                  <w:szCs w:val="22"/>
                                </w:rPr>
                                <w:t>PC</w:t>
                              </w:r>
                            </w:p>
                          </w:txbxContent>
                        </wps:txbx>
                        <wps:bodyPr rot="0" vert="horz" wrap="square" lIns="91440" tIns="45720" rIns="91440" bIns="45720" anchor="ctr" anchorCtr="0" upright="1">
                          <a:noAutofit/>
                        </wps:bodyPr>
                      </wps:wsp>
                      <wps:wsp>
                        <wps:cNvPr id="643" name="Flowchart: Process 17430"/>
                        <wps:cNvSpPr>
                          <a:spLocks noChangeArrowheads="1"/>
                        </wps:cNvSpPr>
                        <wps:spPr bwMode="auto">
                          <a:xfrm>
                            <a:off x="36876" y="23255"/>
                            <a:ext cx="9144" cy="2831"/>
                          </a:xfrm>
                          <a:prstGeom prst="flowChartProcess">
                            <a:avLst/>
                          </a:prstGeom>
                          <a:solidFill>
                            <a:schemeClr val="accent1">
                              <a:lumMod val="100000"/>
                              <a:lumOff val="0"/>
                            </a:schemeClr>
                          </a:solidFill>
                          <a:ln w="12700">
                            <a:solidFill>
                              <a:schemeClr val="accent1">
                                <a:lumMod val="50000"/>
                                <a:lumOff val="0"/>
                              </a:schemeClr>
                            </a:solidFill>
                            <a:miter lim="800000"/>
                            <a:headEnd/>
                            <a:tailEnd/>
                          </a:ln>
                        </wps:spPr>
                        <wps:txbx>
                          <w:txbxContent>
                            <w:p w:rsidR="008F124C" w:rsidRPr="00C62560" w:rsidRDefault="008F124C" w:rsidP="00300C7C">
                              <w:pPr>
                                <w:pStyle w:val="NormalWeb"/>
                                <w:spacing w:before="0" w:beforeAutospacing="0" w:after="160" w:afterAutospacing="0" w:line="256" w:lineRule="auto"/>
                                <w:jc w:val="center"/>
                                <w:rPr>
                                  <w:rFonts w:asciiTheme="minorHAnsi" w:hAnsiTheme="minorHAnsi"/>
                                </w:rPr>
                              </w:pPr>
                              <w:r w:rsidRPr="00C62560">
                                <w:rPr>
                                  <w:rFonts w:asciiTheme="minorHAnsi" w:eastAsia="Calibri" w:hAnsiTheme="minorHAnsi"/>
                                  <w:sz w:val="22"/>
                                  <w:szCs w:val="22"/>
                                </w:rPr>
                                <w:t>Waste</w:t>
                              </w:r>
                            </w:p>
                          </w:txbxContent>
                        </wps:txbx>
                        <wps:bodyPr rot="0" vert="horz" wrap="square" lIns="91440" tIns="45720" rIns="91440" bIns="45720" anchor="ctr" anchorCtr="0" upright="1">
                          <a:noAutofit/>
                        </wps:bodyPr>
                      </wps:wsp>
                      <wps:wsp>
                        <wps:cNvPr id="644" name="Straight Arrow Connector 17431"/>
                        <wps:cNvCnPr>
                          <a:cxnSpLocks noChangeShapeType="1"/>
                        </wps:cNvCnPr>
                        <wps:spPr bwMode="auto">
                          <a:xfrm flipH="1">
                            <a:off x="43023" y="16827"/>
                            <a:ext cx="93" cy="6422"/>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645" name="Elbow Connector 17432"/>
                        <wps:cNvCnPr>
                          <a:cxnSpLocks noChangeShapeType="1"/>
                          <a:endCxn id="17432" idx="0"/>
                        </wps:cNvCnPr>
                        <wps:spPr bwMode="auto">
                          <a:xfrm>
                            <a:off x="27853" y="17745"/>
                            <a:ext cx="13595" cy="5510"/>
                          </a:xfrm>
                          <a:prstGeom prst="bentConnector2">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cNvPr id="646" name="Group 17433"/>
                        <wpg:cNvGrpSpPr>
                          <a:grpSpLocks/>
                        </wpg:cNvGrpSpPr>
                        <wpg:grpSpPr bwMode="auto">
                          <a:xfrm>
                            <a:off x="21061" y="16952"/>
                            <a:ext cx="2463" cy="6297"/>
                            <a:chOff x="21284" y="19438"/>
                            <a:chExt cx="2462" cy="6297"/>
                          </a:xfrm>
                        </wpg:grpSpPr>
                        <wps:wsp>
                          <wps:cNvPr id="647" name="Elbow Connector 17434"/>
                          <wps:cNvCnPr>
                            <a:cxnSpLocks noChangeShapeType="1"/>
                          </wps:cNvCnPr>
                          <wps:spPr bwMode="auto">
                            <a:xfrm rot="16200000" flipV="1">
                              <a:off x="18170" y="22554"/>
                              <a:ext cx="6230" cy="1"/>
                            </a:xfrm>
                            <a:prstGeom prst="bentConnector3">
                              <a:avLst>
                                <a:gd name="adj1" fmla="val 50000"/>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48" name="Straight Connector 17435"/>
                          <wps:cNvCnPr>
                            <a:cxnSpLocks noChangeShapeType="1"/>
                          </wps:cNvCnPr>
                          <wps:spPr bwMode="auto">
                            <a:xfrm>
                              <a:off x="23747" y="19438"/>
                              <a:ext cx="0" cy="6297"/>
                            </a:xfrm>
                            <a:prstGeom prst="line">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649" name="Straight Connector 17436"/>
                          <wps:cNvCnPr>
                            <a:cxnSpLocks noChangeShapeType="1"/>
                          </wps:cNvCnPr>
                          <wps:spPr bwMode="auto">
                            <a:xfrm>
                              <a:off x="21284" y="19470"/>
                              <a:ext cx="2455"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s:wsp>
                        <wps:cNvPr id="650" name="Flowchart: Process 17437"/>
                        <wps:cNvSpPr>
                          <a:spLocks noChangeArrowheads="1"/>
                        </wps:cNvSpPr>
                        <wps:spPr bwMode="auto">
                          <a:xfrm>
                            <a:off x="0" y="27065"/>
                            <a:ext cx="15989" cy="3570"/>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8F124C" w:rsidRPr="009B158D" w:rsidRDefault="008F124C" w:rsidP="00300C7C">
                              <w:pPr>
                                <w:jc w:val="center"/>
                                <w:rPr>
                                  <w:color w:val="000000" w:themeColor="text1"/>
                                </w:rPr>
                              </w:pPr>
                              <w:r w:rsidRPr="009B158D">
                                <w:rPr>
                                  <w:color w:val="000000" w:themeColor="text1"/>
                                </w:rPr>
                                <w:t>Physical Environment</w:t>
                              </w:r>
                            </w:p>
                          </w:txbxContent>
                        </wps:txbx>
                        <wps:bodyPr rot="0" vert="horz" wrap="square" lIns="91440" tIns="45720" rIns="91440" bIns="45720" anchor="ctr" anchorCtr="0" upright="1">
                          <a:noAutofit/>
                        </wps:bodyPr>
                      </wps:wsp>
                      <wps:wsp>
                        <wps:cNvPr id="651" name="Text Box 17438"/>
                        <wps:cNvSpPr txBox="1">
                          <a:spLocks noChangeArrowheads="1"/>
                        </wps:cNvSpPr>
                        <wps:spPr bwMode="auto">
                          <a:xfrm>
                            <a:off x="5964" y="2869"/>
                            <a:ext cx="6732" cy="2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F124C" w:rsidRDefault="008F124C" w:rsidP="00300C7C">
                              <w:r>
                                <w:t>Exports</w:t>
                              </w:r>
                            </w:p>
                          </w:txbxContent>
                        </wps:txbx>
                        <wps:bodyPr rot="0" vert="horz" wrap="square" lIns="91440" tIns="45720" rIns="91440" bIns="45720" anchor="t" anchorCtr="0" upright="1">
                          <a:noAutofit/>
                        </wps:bodyPr>
                      </wps:wsp>
                      <wps:wsp>
                        <wps:cNvPr id="652" name="Text Box 40"/>
                        <wps:cNvSpPr txBox="1">
                          <a:spLocks noChangeArrowheads="1"/>
                        </wps:cNvSpPr>
                        <wps:spPr bwMode="auto">
                          <a:xfrm>
                            <a:off x="5774" y="13086"/>
                            <a:ext cx="6731" cy="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F124C" w:rsidRPr="00C62560" w:rsidRDefault="008F124C" w:rsidP="00300C7C">
                              <w:pPr>
                                <w:pStyle w:val="NormalWeb"/>
                                <w:spacing w:before="0" w:beforeAutospacing="0" w:after="160" w:afterAutospacing="0" w:line="256" w:lineRule="auto"/>
                                <w:rPr>
                                  <w:rFonts w:asciiTheme="minorHAnsi" w:hAnsiTheme="minorHAnsi"/>
                                </w:rPr>
                              </w:pPr>
                              <w:r w:rsidRPr="00C62560">
                                <w:rPr>
                                  <w:rFonts w:asciiTheme="minorHAnsi" w:eastAsia="Calibri" w:hAnsiTheme="minorHAnsi"/>
                                  <w:sz w:val="22"/>
                                  <w:szCs w:val="22"/>
                                </w:rPr>
                                <w:t>Imports</w:t>
                              </w:r>
                            </w:p>
                          </w:txbxContent>
                        </wps:txbx>
                        <wps:bodyPr rot="0" vert="horz" wrap="square" lIns="91440" tIns="45720" rIns="91440" bIns="45720" anchor="t" anchorCtr="0" upright="1">
                          <a:noAutofit/>
                        </wps:bodyPr>
                      </wps:wsp>
                      <wps:wsp>
                        <wps:cNvPr id="653" name="Flowchart: Process 17600"/>
                        <wps:cNvSpPr>
                          <a:spLocks noChangeArrowheads="1"/>
                        </wps:cNvSpPr>
                        <wps:spPr bwMode="auto">
                          <a:xfrm>
                            <a:off x="38354" y="1206"/>
                            <a:ext cx="14732" cy="2667"/>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8F124C" w:rsidRPr="009B158D" w:rsidRDefault="008F124C" w:rsidP="00300C7C">
                              <w:pPr>
                                <w:jc w:val="center"/>
                                <w:rPr>
                                  <w:color w:val="000000" w:themeColor="text1"/>
                                </w:rPr>
                              </w:pPr>
                              <w:r w:rsidRPr="009B158D">
                                <w:rPr>
                                  <w:color w:val="000000" w:themeColor="text1"/>
                                </w:rPr>
                                <w:t>Net additions to stock</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7414" o:spid="_x0000_s1026" style="position:absolute;left:0;text-align:left;margin-left:0;margin-top:.55pt;width:430.25pt;height:241.2pt;z-index:251680768" coordsize="54641,30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">
                <v:shapetype id="_x0000_t109" coordsize="21600,21600" o:spt="109" path="m,l,21600r21600,l21600,xe">
                  <v:stroke joinstyle="miter"/>
                  <v:path gradientshapeok="t" o:connecttype="rect"/>
                </v:shapetype>
                <v:shape id="Flowchart: Process 17415" o:spid="_x0000_s1027" type="#_x0000_t109" style="position:absolute;left:11262;width:43379;height:21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VwsQA&#10;AADeAAAADwAAAGRycy9kb3ducmV2LnhtbERPTUvDQBC9C/6HZQRvdmORVtJuggpCexHTCm1vQ3bM&#10;BrOzITum8d+7gtDbPN7nrMvJd2qkIbaBDdzPMlDEdbAtNwY+9q93j6CiIFvsApOBH4pQFtdXa8xt&#10;OHNF404alUI45mjAifS51rF25DHOQk+cuM8weJQEh0bbAc8p3Hd6nmUL7bHl1OCwpxdH9dfu2xs4&#10;9cJu+b4d+e0g2eY4Vvtq+2zM7c30tAIlNMlF/O/e2DR/+TBfwN876QZd/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6FcLEAAAA3gAAAA8AAAAAAAAAAAAAAAAAmAIAAGRycy9k&#10;b3ducmV2LnhtbFBLBQYAAAAABAAEAPUAAACJAwAAAAA=&#10;" fillcolor="white [3212]" strokecolor="#1f4d78 [1604]" strokeweight="1pt"/>
                <v:shape id="Flowchart: Process 17416" o:spid="_x0000_s1028" type="#_x0000_t109" style="position:absolute;left:12505;top:3658;width:14923;height:15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qm2scA&#10;AADeAAAADwAAAGRycy9kb3ducmV2LnhtbESPQWvCQBCF70L/wzIFL6IbQ7E2dZWiiF5jC21v0+w0&#10;Cc3OhuxG03/vHARvM7w3732z2gyuUWfqQu3ZwHyWgCIuvK25NPDxvp8uQYWIbLHxTAb+KcBm/TBa&#10;YWb9hXM6n2KpJIRDhgaqGNtM61BU5DDMfEss2q/vHEZZu1LbDi8S7hqdJslCO6xZGipsaVtR8Xfq&#10;nYGffjsprH7Zz/v8K/2O+SH53B2MGT8Ob6+gIg3xbr5dH63gPz+lwivvyAx6f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KptrHAAAA3gAAAA8AAAAAAAAAAAAAAAAAmAIAAGRy&#10;cy9kb3ducmV2LnhtbFBLBQYAAAAABAAEAPUAAACMAwAAAAA=&#10;" fillcolor="#5b9bd5 [3204]" strokecolor="#1f4d78 [1604]" strokeweight="1pt">
                  <v:textbox>
                    <w:txbxContent>
                      <w:p w:rsidR="008F124C" w:rsidRPr="00C62560" w:rsidRDefault="008F124C" w:rsidP="00300C7C">
                        <w:pPr>
                          <w:jc w:val="center"/>
                        </w:pPr>
                        <w:r w:rsidRPr="00C62560">
                          <w:t>Production</w:t>
                        </w:r>
                      </w:p>
                    </w:txbxContent>
                  </v:textbox>
                </v:shape>
                <v:shape id="Flowchart: Process 17417" o:spid="_x0000_s1029" type="#_x0000_t109" style="position:absolute;left:1754;width:3551;height:218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kb5MUA&#10;AADeAAAADwAAAGRycy9kb3ducmV2LnhtbERPS4vCMBC+C/6HMIIXWVPFVbcaRcQX7GV9wOJtaMa2&#10;2ExKE7X+eyMs7G0+vudM57UpxJ0ql1tW0OtGIIgTq3NOFZyO648xCOeRNRaWScGTHMxnzcYUY20f&#10;vKf7wacihLCLUUHmfRlL6ZKMDLquLYkDd7GVQR9glUpd4SOEm0L2o2goDeYcGjIsaZlRcj3cjILr&#10;jxz95vvN92683harz855O+yVSrVb9WICwlPt/8V/7p0O80eD/he83wk3yN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eRvkxQAAAN4AAAAPAAAAAAAAAAAAAAAAAJgCAABkcnMv&#10;ZG93bnJldi54bWxQSwUGAAAAAAQABAD1AAAAigMAAAAA&#10;" fillcolor="#5b9bd5 [3204]" strokecolor="#1f4d78 [1604]" strokeweight="1pt">
                  <v:textbox style="layout-flow:vertical;mso-layout-flow-alt:bottom-to-top">
                    <w:txbxContent>
                      <w:p w:rsidR="008F124C" w:rsidRPr="00C62560" w:rsidRDefault="008F124C" w:rsidP="00300C7C">
                        <w:pPr>
                          <w:pStyle w:val="NormalWeb"/>
                          <w:spacing w:before="0" w:beforeAutospacing="0" w:after="160" w:afterAutospacing="0" w:line="252" w:lineRule="auto"/>
                          <w:jc w:val="center"/>
                          <w:rPr>
                            <w:rFonts w:asciiTheme="minorHAnsi" w:hAnsiTheme="minorHAnsi"/>
                          </w:rPr>
                        </w:pPr>
                        <w:r>
                          <w:rPr>
                            <w:rFonts w:asciiTheme="minorHAnsi" w:eastAsia="Calibri" w:hAnsiTheme="minorHAnsi"/>
                            <w:sz w:val="22"/>
                            <w:szCs w:val="22"/>
                          </w:rPr>
                          <w:br/>
                        </w:r>
                        <w:r w:rsidRPr="00C62560">
                          <w:rPr>
                            <w:rFonts w:asciiTheme="minorHAnsi" w:eastAsia="Calibri" w:hAnsiTheme="minorHAnsi"/>
                            <w:sz w:val="22"/>
                            <w:szCs w:val="22"/>
                          </w:rPr>
                          <w:t>Other region/countries</w:t>
                        </w:r>
                      </w:p>
                    </w:txbxContent>
                  </v:textbox>
                </v:shape>
                <v:shapetype id="_x0000_t32" coordsize="21600,21600" o:spt="32" o:oned="t" path="m,l21600,21600e" filled="f">
                  <v:path arrowok="t" fillok="f" o:connecttype="none"/>
                  <o:lock v:ext="edit" shapetype="t"/>
                </v:shapetype>
                <v:shape id="Straight Arrow Connector 17418" o:spid="_x0000_s1030" type="#_x0000_t32" style="position:absolute;left:5482;top:4754;width:702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IlwMcAAADeAAAADwAAAGRycy9kb3ducmV2LnhtbESPQW/CMAyF70j8h8hIu40UGN3WERAw&#10;TYLdBmhnq/HaisYpTUa7f48Pk7jZ8vN771uselerK7Wh8mxgMk5AEefeVlwYOB0/Hl9AhYhssfZM&#10;Bv4owGo5HCwws77jL7oeYqHEhEOGBsoYm0zrkJfkMIx9Qyy3H986jLK2hbYtdmLuaj1NklQ7rFgS&#10;SmxoW1J+Pvw6Ax3G79fNurhsN+/7XT+vL+nx9GnMw6hfv4GK1Me7+P97Z6X+89NMAARHZt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IiXAxwAAAN4AAAAPAAAAAAAA&#10;AAAAAAAAAKECAABkcnMvZG93bnJldi54bWxQSwUGAAAAAAQABAD5AAAAlQMAAAAA&#10;" strokecolor="black [3200]" strokeweight=".5pt">
                  <v:stroke endarrow="block" joinstyle="miter"/>
                </v:shape>
                <v:shape id="Straight Arrow Connector 17419" o:spid="_x0000_s1031" type="#_x0000_t32" style="position:absolute;left:5409;top:15067;width:705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vVEsQAAADeAAAADwAAAGRycy9kb3ducmV2LnhtbERPTWvCQBC9F/oflin0UnSjCVVSVxGL&#10;tFdTEb1Ns9MkNDsbMqum/75bKHibx/ucxWpwrbpQL41nA5NxAoq49LbhysD+Yzuag5KAbLH1TAZ+&#10;SGC1vL9bYG79lXd0KUKlYghLjgbqELpcaylrcihj3xFH7sv3DkOEfaVtj9cY7lo9TZJn7bDh2FBj&#10;R5uayu/i7AykIZPpLjvOpDhVn0/2NU3l8GbM48OwfgEVaAg38b/73cb5syydwN878Qa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K9USxAAAAN4AAAAPAAAAAAAAAAAA&#10;AAAAAKECAABkcnMvZG93bnJldi54bWxQSwUGAAAAAAQABAD5AAAAkgMAAAAA&#10;" strokecolor="black [3200]" strokeweight=".5pt">
                  <v:stroke endarrow="block" joinstyle="miter"/>
                </v:shape>
                <v:shape id="Flowchart: Process 17420" o:spid="_x0000_s1032" type="#_x0000_t109" style="position:absolute;left:17451;top:23191;width:10197;height:28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sH7cQA&#10;AADeAAAADwAAAGRycy9kb3ducmV2LnhtbERPTWvCQBC9C/0PyxS8SN0YxbapqxRF9BoVtLdpdpqE&#10;ZmdDdqPx37uC4G0e73Nmi85U4kyNKy0rGA0jEMSZ1SXnCg779dsHCOeRNVaWScGVHCzmL70ZJtpe&#10;OKXzzucihLBLUEHhfZ1I6bKCDLqhrYkD92cbgz7AJpe6wUsIN5WMo2gqDZYcGgqsaVlQ9r9rjYLf&#10;djnItPxcj9r0FP/4dBMdVxul+q/d9xcIT51/ih/urQ7z3yfjGO7vhBv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7B+3EAAAA3gAAAA8AAAAAAAAAAAAAAAAAmAIAAGRycy9k&#10;b3ducmV2LnhtbFBLBQYAAAAABAAEAPUAAACJAwAAAAA=&#10;" fillcolor="#5b9bd5 [3204]" strokecolor="#1f4d78 [1604]" strokeweight="1pt">
                  <v:textbox>
                    <w:txbxContent>
                      <w:p w:rsidR="008F124C" w:rsidRPr="00C62560" w:rsidRDefault="008F124C" w:rsidP="00300C7C">
                        <w:pPr>
                          <w:pStyle w:val="NormalWeb"/>
                          <w:spacing w:before="0" w:beforeAutospacing="0" w:after="160" w:afterAutospacing="0" w:line="254" w:lineRule="auto"/>
                          <w:jc w:val="center"/>
                          <w:rPr>
                            <w:rFonts w:asciiTheme="minorHAnsi" w:eastAsia="Calibri" w:hAnsiTheme="minorHAnsi"/>
                            <w:sz w:val="22"/>
                            <w:szCs w:val="22"/>
                          </w:rPr>
                        </w:pPr>
                        <w:r w:rsidRPr="00C62560">
                          <w:rPr>
                            <w:rFonts w:asciiTheme="minorHAnsi" w:eastAsia="Calibri" w:hAnsiTheme="minorHAnsi"/>
                            <w:sz w:val="22"/>
                            <w:szCs w:val="22"/>
                          </w:rPr>
                          <w:t>Hidden flows</w:t>
                        </w:r>
                      </w:p>
                    </w:txbxContent>
                  </v:textbox>
                </v:shape>
                <v:group id="Group 17421" o:spid="_x0000_s1033" style="position:absolute;left:9550;top:16752;width:9144;height:10461" coordorigin="12992,19238" coordsize="9144,104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rBfFAAAA3gAA&#10;AA8AAAAAAAAAAAAAAAAAqgIAAGRycy9kb3ducmV2LnhtbFBLBQYAAAAABAAEAPoAAACcAwAAAAA=&#10;">
                  <v:shape id="Flowchart: Process 17422" o:spid="_x0000_s1034" type="#_x0000_t109" style="position:absolute;left:12992;top:24914;width:9144;height:47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z8mMMA&#10;AADeAAAADwAAAGRycy9kb3ducmV2LnhtbERPS4vCMBC+C/sfwix4EU1XxS3VKIvg62i3F29DM7al&#10;zaQ0Ueu/NwsL3ubje85q05tG3KlzlWUFX5MIBHFudcWFgux3N45BOI+ssbFMCp7kYLP+GKww0fbB&#10;Z7qnvhAhhF2CCkrv20RKl5dk0E1sSxy4q+0M+gC7QuoOHyHcNHIaRQtpsOLQUGJL25LyOr0ZBXVe&#10;n6bHS3GLs/jQjPR+m7X8VGr42f8sQXjq/Vv87z7qMP97PpvD3zvhBr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z8mMMAAADeAAAADwAAAAAAAAAAAAAAAACYAgAAZHJzL2Rv&#10;d25yZXYueG1sUEsFBgAAAAAEAAQA9QAAAIgDAAAAAA==&#10;" filled="f" stroked="f" strokeweight="1pt">
                    <v:textbox>
                      <w:txbxContent>
                        <w:p w:rsidR="008F124C" w:rsidRPr="009B158D" w:rsidRDefault="008F124C" w:rsidP="00300C7C">
                          <w:pPr>
                            <w:pStyle w:val="NormalWeb"/>
                            <w:spacing w:before="0" w:beforeAutospacing="0" w:after="160" w:afterAutospacing="0" w:line="254" w:lineRule="auto"/>
                            <w:jc w:val="center"/>
                            <w:rPr>
                              <w:rFonts w:asciiTheme="minorHAnsi" w:hAnsiTheme="minorHAnsi"/>
                              <w:color w:val="000000" w:themeColor="text1"/>
                            </w:rPr>
                          </w:pPr>
                          <w:r w:rsidRPr="009B158D">
                            <w:rPr>
                              <w:rFonts w:asciiTheme="minorHAnsi" w:eastAsia="Calibri" w:hAnsiTheme="minorHAnsi"/>
                              <w:color w:val="000000" w:themeColor="text1"/>
                              <w:sz w:val="22"/>
                              <w:szCs w:val="22"/>
                            </w:rPr>
                            <w:t>Material extraction</w:t>
                          </w:r>
                        </w:p>
                      </w:txbxContent>
                    </v:textbox>
                  </v:shape>
                  <v:shape id="Straight Arrow Connector 17423" o:spid="_x0000_s1035" type="#_x0000_t32" style="position:absolute;left:17702;top:19238;width:0;height:62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DTEcUAAADeAAAADwAAAGRycy9kb3ducmV2LnhtbERPTWvCQBC9F/oflhF6KbrRRC2pq0hL&#10;sVfTUtrbNDsmodnZkNlq+u+7guBtHu9zVpvBtepIvTSeDUwnCSji0tuGKwPvby/jB1ASkC22nsnA&#10;Hwls1rc3K8ytP/GejkWoVAxhydFAHUKXay1lTQ5l4jviyB187zBE2Ffa9niK4a7VsyRZaIcNx4Ya&#10;O3qqqfwpfp2BNGQy22efSym+qu97+5ym8rEz5m40bB9BBRrCVXxxv9o4f5mlczi/E2/Q6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xDTEcUAAADeAAAADwAAAAAAAAAA&#10;AAAAAAChAgAAZHJzL2Rvd25yZXYueG1sUEsFBgAAAAAEAAQA+QAAAJMDAAAAAA==&#10;" strokecolor="black [3200]" strokeweight=".5pt">
                    <v:stroke endarrow="block" joinstyle="miter"/>
                  </v:shape>
                </v:group>
                <v:shape id="Flowchart: Process 17424" o:spid="_x0000_s1036" type="#_x0000_t109" style="position:absolute;left:10164;top:211;width:21170;height:3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LHdMMA&#10;AADeAAAADwAAAGRycy9kb3ducmV2LnhtbERPS4vCMBC+C/sfwgh7EU19UEs1yiK4q0e1F29DM7al&#10;zaQ0Ueu/3wgLe5uP7znrbW8a8aDOVZYVTCcRCOLc6ooLBdllP05AOI+ssbFMCl7kYLv5GKwx1fbJ&#10;J3qcfSFCCLsUFZTet6mULi/JoJvYljhwN9sZ9AF2hdQdPkO4aeQsimJpsOLQUGJLu5Ly+nw3Cuq8&#10;Ps4O1+KeZMlPM9Lfu6zll1Kfw/5rBcJT7//Ff+6DDvOXi3kM73fCD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LHdMMAAADeAAAADwAAAAAAAAAAAAAAAACYAgAAZHJzL2Rv&#10;d25yZXYueG1sUEsFBgAAAAAEAAQA9QAAAIgDAAAAAA==&#10;" filled="f" stroked="f" strokeweight="1pt">
                  <v:textbox>
                    <w:txbxContent>
                      <w:p w:rsidR="008F124C" w:rsidRPr="009B158D" w:rsidRDefault="008F124C" w:rsidP="00300C7C">
                        <w:pPr>
                          <w:pStyle w:val="NormalWeb"/>
                          <w:spacing w:before="0" w:beforeAutospacing="0" w:after="160" w:afterAutospacing="0" w:line="252" w:lineRule="auto"/>
                          <w:jc w:val="center"/>
                          <w:rPr>
                            <w:rFonts w:asciiTheme="minorHAnsi" w:hAnsiTheme="minorHAnsi"/>
                            <w:color w:val="000000" w:themeColor="text1"/>
                          </w:rPr>
                        </w:pPr>
                        <w:r w:rsidRPr="009B158D">
                          <w:rPr>
                            <w:rFonts w:asciiTheme="minorHAnsi" w:eastAsia="Calibri" w:hAnsiTheme="minorHAnsi"/>
                            <w:color w:val="000000" w:themeColor="text1"/>
                            <w:sz w:val="22"/>
                            <w:szCs w:val="22"/>
                          </w:rPr>
                          <w:t>Domestic/regional economy</w:t>
                        </w:r>
                      </w:p>
                    </w:txbxContent>
                  </v:textbox>
                </v:shape>
                <v:shape id="Flowchart: Process 17425" o:spid="_x0000_s1037" type="#_x0000_t109" style="position:absolute;left:36942;top:13571;width:9758;height:31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ykdcUA&#10;AADeAAAADwAAAGRycy9kb3ducmV2LnhtbERPTWvCQBC9C/0PyxS8SN2opakxGymK2GtsQXsbs2MS&#10;mp0N2Y3Gf98tFHqbx/ucdD2YRlypc7VlBbNpBIK4sLrmUsHnx+7pFYTzyBoby6TgTg7W2cMoxUTb&#10;G+d0PfhShBB2CSqovG8TKV1RkUE3tS1x4C62M+gD7EqpO7yFcNPIeRS9SIM1h4YKW9pUVHwfeqPg&#10;3G8mhZbL3azPT/Mvn++j43av1PhxeFuB8DT4f/Gf+12H+fHzIobfd8INMv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jKR1xQAAAN4AAAAPAAAAAAAAAAAAAAAAAJgCAABkcnMv&#10;ZG93bnJldi54bWxQSwUGAAAAAAQABAD1AAAAigMAAAAA&#10;" fillcolor="#5b9bd5 [3204]" strokecolor="#1f4d78 [1604]" strokeweight="1pt">
                  <v:textbox>
                    <w:txbxContent>
                      <w:p w:rsidR="008F124C" w:rsidRPr="00C62560" w:rsidRDefault="008F124C" w:rsidP="00300C7C">
                        <w:pPr>
                          <w:pStyle w:val="NormalWeb"/>
                          <w:spacing w:before="0" w:beforeAutospacing="0" w:after="160" w:afterAutospacing="0" w:line="254" w:lineRule="auto"/>
                          <w:jc w:val="center"/>
                          <w:rPr>
                            <w:rFonts w:asciiTheme="minorHAnsi" w:hAnsiTheme="minorHAnsi"/>
                          </w:rPr>
                        </w:pPr>
                        <w:r w:rsidRPr="00C62560">
                          <w:rPr>
                            <w:rFonts w:asciiTheme="minorHAnsi" w:eastAsia="Calibri" w:hAnsiTheme="minorHAnsi"/>
                            <w:sz w:val="22"/>
                            <w:szCs w:val="22"/>
                          </w:rPr>
                          <w:t>Consumption</w:t>
                        </w:r>
                      </w:p>
                    </w:txbxContent>
                  </v:textbox>
                </v:shape>
                <v:shape id="Flowchart: Process 17426" o:spid="_x0000_s1038" type="#_x0000_t109" style="position:absolute;left:44074;top:7700;width:9144;height:47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MwB8gA&#10;AADeAAAADwAAAGRycy9kb3ducmV2LnhtbESPT2vCQBDF74V+h2UKvRTdqMU/qasUi9hrVGi9jdlp&#10;EpqdDdmNxm/fORS8zfDevPeb5bp3tbpQGyrPBkbDBBRx7m3FhYHjYTuYgwoR2WLtmQzcKMB69fiw&#10;xNT6K2d02cdCSQiHFA2UMTap1iEvyWEY+oZYtB/fOoyytoW2LV4l3NV6nCRT7bBiaSixoU1J+e++&#10;cwbO3eYlt3qxHXXZ9/gUs13y9bEz5vmpf38DFamPd/P/9acV/NnrRHjlHZlBr/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EzAHyAAAAN4AAAAPAAAAAAAAAAAAAAAAAJgCAABk&#10;cnMvZG93bnJldi54bWxQSwUGAAAAAAQABAD1AAAAjQMAAAAA&#10;" fillcolor="#5b9bd5 [3204]" strokecolor="#1f4d78 [1604]" strokeweight="1pt">
                  <v:textbox>
                    <w:txbxContent>
                      <w:p w:rsidR="008F124C" w:rsidRPr="00C62560" w:rsidRDefault="008F124C" w:rsidP="00300C7C">
                        <w:pPr>
                          <w:pStyle w:val="NormalWeb"/>
                          <w:spacing w:before="0" w:beforeAutospacing="0" w:after="160" w:afterAutospacing="0" w:line="254" w:lineRule="auto"/>
                          <w:jc w:val="center"/>
                          <w:rPr>
                            <w:rFonts w:asciiTheme="minorHAnsi" w:hAnsiTheme="minorHAnsi"/>
                          </w:rPr>
                        </w:pPr>
                        <w:r w:rsidRPr="00C62560">
                          <w:rPr>
                            <w:rFonts w:asciiTheme="minorHAnsi" w:eastAsia="Calibri" w:hAnsiTheme="minorHAnsi"/>
                            <w:sz w:val="22"/>
                            <w:szCs w:val="22"/>
                          </w:rPr>
                          <w:t>Physical Stock</w:t>
                        </w:r>
                      </w:p>
                    </w:txbxContent>
                  </v:textbox>
                </v:shape>
                <v:shapetype id="_x0000_t33" coordsize="21600,21600" o:spt="33" o:oned="t" path="m,l21600,r,21600e" filled="f">
                  <v:stroke joinstyle="miter"/>
                  <v:path arrowok="t" fillok="f" o:connecttype="none"/>
                  <o:lock v:ext="edit" shapetype="t"/>
                </v:shapetype>
                <v:shape id="Elbow Connector 17427" o:spid="_x0000_s1039" type="#_x0000_t33" style="position:absolute;left:27425;top:5478;width:21221;height:222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y+GscAAADeAAAADwAAAGRycy9kb3ducmV2LnhtbERP20oDMRB9L/gPYYS+2WzVelmbFrEU&#10;WxDEKvg6bKab6GaybtLdbb++KQh9m8O5znTeu0q01ATrWcF4lIEgLry2XCr4+lxePYAIEVlj5ZkU&#10;7CnAfHYxmGKufccf1G5iKVIIhxwVmBjrXMpQGHIYRr4mTtzWNw5jgk0pdYNdCneVvM6yO+nQcmow&#10;WNOLoeJ3s3MKvifjtfl7r1db+7b/eV3YQ7duD0oNL/vnJxCR+ngW/7tXOs2/v715hNM76QY5O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7jL4axwAAAN4AAAAPAAAAAAAA&#10;AAAAAAAAAKECAABkcnMvZG93bnJldi54bWxQSwUGAAAAAAQABAD5AAAAlQMAAAAA&#10;" strokecolor="black [3200]" strokeweight=".5pt">
                  <v:stroke endarrow="block"/>
                </v:shape>
                <v:shape id="Elbow Connector 17428" o:spid="_x0000_s1040" type="#_x0000_t33" style="position:absolute;left:27427;top:10385;width:14392;height:318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SscAAADcAAAADwAAAGRycy9kb3ducmV2LnhtbESPUUvDMBSF3wX/Q7gD31xacUPqsjGU&#10;4QYD2RR8vTR3TbS56ZrYdvv1y0Dw8XDO+Q5nthhcLTpqg/WsIB9nIIhLry1XCj4/VvdPIEJE1lh7&#10;JgUnCrCY397MsNC+5x11+1iJBOFQoAITY1NIGUpDDsPYN8TJO/jWYUyyraRusU9wV8uHLJtKh5bT&#10;gsGGXgyVP/tfp+Brkm/M8b1ZH+z29P32as/9pjsrdTcals8gIg3xP/zXXmsF08ccrmfSEZD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6T5KxwAAANwAAAAPAAAAAAAA&#10;AAAAAAAAAKECAABkcnMvZG93bnJldi54bWxQSwUGAAAAAAQABAD5AAAAlQMAAAAA&#10;" strokecolor="black [3200]" strokeweight=".5pt">
                  <v:stroke endarrow="block"/>
                </v:shape>
                <v:shape id="Flowchart: Process 17429" o:spid="_x0000_s1041" type="#_x0000_t109" style="position:absolute;left:29591;top:3656;width:4930;height:87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tul8QA&#10;AADcAAAADwAAAGRycy9kb3ducmV2LnhtbESP3YrCMBSE74V9h3AW9k7TdUWlGmURBEFQ/HmAY3O2&#10;KTYn3SbW6tMbQfBymJlvmOm8taVoqPaFYwXfvQQEceZ0wbmC42HZHYPwAVlj6ZgU3MjDfPbRmWKq&#10;3ZV31OxDLiKEfYoKTAhVKqXPDFn0PVcRR+/P1RZDlHUudY3XCLel7CfJUFosOC4YrGhhKDvvL1bB&#10;4ed/c8qXYbtq7qPt5ezMepHtlPr6bH8nIAK14R1+tVdawXDQh+eZe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bbpfEAAAA3AAAAA8AAAAAAAAAAAAAAAAAmAIAAGRycy9k&#10;b3ducmV2LnhtbFBLBQYAAAAABAAEAPUAAACJAwAAAAA=&#10;" filled="f" strokecolor="#1f4d78 [1604]" strokeweight="1pt">
                  <v:stroke dashstyle="3 1"/>
                  <v:textbox>
                    <w:txbxContent>
                      <w:p w:rsidR="008F124C" w:rsidRPr="009B158D" w:rsidRDefault="008F124C" w:rsidP="00300C7C">
                        <w:pPr>
                          <w:pStyle w:val="NormalWeb"/>
                          <w:spacing w:before="0" w:beforeAutospacing="0" w:after="160" w:afterAutospacing="0" w:line="254" w:lineRule="auto"/>
                          <w:jc w:val="center"/>
                          <w:rPr>
                            <w:rFonts w:asciiTheme="minorHAnsi" w:hAnsiTheme="minorHAnsi"/>
                            <w:color w:val="000000" w:themeColor="text1"/>
                          </w:rPr>
                        </w:pPr>
                        <w:r w:rsidRPr="009B158D">
                          <w:rPr>
                            <w:rFonts w:asciiTheme="minorHAnsi" w:eastAsia="Calibri" w:hAnsiTheme="minorHAnsi"/>
                            <w:color w:val="000000" w:themeColor="text1"/>
                            <w:sz w:val="22"/>
                            <w:szCs w:val="22"/>
                          </w:rPr>
                          <w:t>PC</w:t>
                        </w:r>
                      </w:p>
                    </w:txbxContent>
                  </v:textbox>
                </v:shape>
                <v:shape id="Flowchart: Process 17430" o:spid="_x0000_s1042" type="#_x0000_t109" style="position:absolute;left:36876;top:23255;width:9144;height:28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5oxcYA&#10;AADcAAAADwAAAGRycy9kb3ducmV2LnhtbESPQWvCQBSE7wX/w/KEXopuTIu00VWKJaTXqFB7e2af&#10;STD7NmQ3Jv333ULB4zAz3zDr7WgacaPO1ZYVLOYRCOLC6ppLBcdDOnsF4TyyxsYyKfghB9vN5GGN&#10;ibYD53Tb+1IECLsEFVTet4mUrqjIoJvbljh4F9sZ9EF2pdQdDgFuGhlH0VIarDksVNjSrqLiuu+N&#10;gnO/eyq0fEsXfX6Kv32eRV8fmVKP0/F9BcLT6O/h//anVrB8eYa/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5oxcYAAADcAAAADwAAAAAAAAAAAAAAAACYAgAAZHJz&#10;L2Rvd25yZXYueG1sUEsFBgAAAAAEAAQA9QAAAIsDAAAAAA==&#10;" fillcolor="#5b9bd5 [3204]" strokecolor="#1f4d78 [1604]" strokeweight="1pt">
                  <v:textbox>
                    <w:txbxContent>
                      <w:p w:rsidR="008F124C" w:rsidRPr="00C62560" w:rsidRDefault="008F124C" w:rsidP="00300C7C">
                        <w:pPr>
                          <w:pStyle w:val="NormalWeb"/>
                          <w:spacing w:before="0" w:beforeAutospacing="0" w:after="160" w:afterAutospacing="0" w:line="256" w:lineRule="auto"/>
                          <w:jc w:val="center"/>
                          <w:rPr>
                            <w:rFonts w:asciiTheme="minorHAnsi" w:hAnsiTheme="minorHAnsi"/>
                          </w:rPr>
                        </w:pPr>
                        <w:r w:rsidRPr="00C62560">
                          <w:rPr>
                            <w:rFonts w:asciiTheme="minorHAnsi" w:eastAsia="Calibri" w:hAnsiTheme="minorHAnsi"/>
                            <w:sz w:val="22"/>
                            <w:szCs w:val="22"/>
                          </w:rPr>
                          <w:t>Waste</w:t>
                        </w:r>
                      </w:p>
                    </w:txbxContent>
                  </v:textbox>
                </v:shape>
                <v:shape id="Straight Arrow Connector 17431" o:spid="_x0000_s1043" type="#_x0000_t32" style="position:absolute;left:43023;top:16827;width:93;height:64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xR7cUAAADcAAAADwAAAGRycy9kb3ducmV2LnhtbESPQUvDQBSE74L/YXlCL2I3bUKU2G2R&#10;llKvTUX09sw+k2D2bcjbtum/dwWhx2FmvmEWq9F16kSDtJ4NzKYJKOLK25ZrA2+H7cMTKAnIFjvP&#10;ZOBCAqvl7c0CC+vPvKdTGWoVISwFGmhC6AutpWrIoUx9Txy9bz84DFEOtbYDniPcdXqeJLl22HJc&#10;aLCndUPVT3l0BtKQyXyffTxK+Vl/3dtNmsr7zpjJ3fjyDCrQGK7h//arNZBnGfydiUdAL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oxR7cUAAADcAAAADwAAAAAAAAAA&#10;AAAAAAChAgAAZHJzL2Rvd25yZXYueG1sUEsFBgAAAAAEAAQA+QAAAJMDAAAAAA==&#10;" strokecolor="black [3200]" strokeweight=".5pt">
                  <v:stroke endarrow="block" joinstyle="miter"/>
                </v:shape>
                <v:shape id="Elbow Connector 17432" o:spid="_x0000_s1044" type="#_x0000_t33" style="position:absolute;left:27853;top:17745;width:13595;height:551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I4SccAAADcAAAADwAAAGRycy9kb3ducmV2LnhtbESPUUvDMBSF3wX/Q7jC3mw62YZ0y4Yo&#10;4gYD2RR8vTR3TWZzU5us7fbrjSDs8XDO+Q5nsRpcLTpqg/WsYJzlIIhLry1XCj4/Xu8fQYSIrLH2&#10;TArOFGC1vL1ZYKF9zzvq9rESCcKhQAUmxqaQMpSGHIbMN8TJO/jWYUyyraRusU9wV8uHPJ9Jh5bT&#10;gsGGng2V3/uTU/A1HW/Mz3uzPtjt+fj2Yi/9prsoNbobnuYgIg3xGv5vr7WC2WQK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0jhJxwAAANwAAAAPAAAAAAAA&#10;AAAAAAAAAKECAABkcnMvZG93bnJldi54bWxQSwUGAAAAAAQABAD5AAAAlQMAAAAA&#10;" strokecolor="black [3200]" strokeweight=".5pt">
                  <v:stroke endarrow="block"/>
                </v:shape>
                <v:group id="Group 17433" o:spid="_x0000_s1045" style="position:absolute;left:21061;top:16952;width:2463;height:6297" coordorigin="21284,19438" coordsize="2462,6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TFsUAAADcAAAADwAAAGRycy9kb3ducmV2LnhtbESPT2vCQBTE7wW/w/KE&#10;3uomtg0SXUVExYMU/APi7ZF9JsHs25Bdk/jtu4WCx2FmfsPMFr2pREuNKy0riEcRCOLM6pJzBefT&#10;5mMCwnlkjZVlUvAkB4v54G2GqbYdH6g9+lwECLsUFRTe16mULivIoBvZmjh4N9sY9EE2udQNdgFu&#10;KjmOokQaLDksFFjTqqDsfnwYBdsOu+VnvG7399vqeT19/1z2MSn1PuyXUxCeev8K/7d3WkHylc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2h0xbFAAAA3AAA&#10;AA8AAAAAAAAAAAAAAAAAqgIAAGRycy9kb3ducmV2LnhtbFBLBQYAAAAABAAEAPoAAACc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7434" o:spid="_x0000_s1046" type="#_x0000_t34" style="position:absolute;left:18170;top:22554;width:6230;height:1;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niV8UAAADcAAAADwAAAGRycy9kb3ducmV2LnhtbESPQWsCMRSE74X+h/AK3mq2pdiyGkVa&#10;Kl5a0BbF2yN57q7ue1mSqOu/bwqFHoeZ+YaZzHpu1ZlCbLwYeBgWoEisd41UBr6/3u9fQMWE4rD1&#10;QgauFGE2vb2ZYOn8RVZ0XqdKZYjEEg3UKXWl1tHWxBiHviPJ3t4HxpRlqLQLeMlwbvVjUYw0YyN5&#10;ocaOXmuyx/WJDdBme1pdF7a3b7tPDgvPH+2BjRnc9fMxqER9+g//tZfOwOjpGX7P5COgp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oniV8UAAADcAAAADwAAAAAAAAAA&#10;AAAAAAChAgAAZHJzL2Rvd25yZXYueG1sUEsFBgAAAAAEAAQA+QAAAJMDAAAAAA==&#10;" strokecolor="black [3213]" strokeweight=".5pt"/>
                  <v:line id="Straight Connector 17435" o:spid="_x0000_s1047" style="position:absolute;visibility:visible;mso-wrap-style:square" from="23747,19438" to="23747,25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XUZcEAAADcAAAADwAAAGRycy9kb3ducmV2LnhtbERP3UrDMBS+H+wdwhG8GS7ZkLLVpmMM&#10;BEVQ9vMAh+bYlDYnJYlb9/bmQvDy4/uvdpMbxJVC7DxrWC0VCOLGm45bDZfz69MGREzIBgfPpOFO&#10;EXb1fFZhafyNj3Q9pVbkEI4larApjaWUsbHkMC79SJy5bx8cpgxDK03AWw53g1wrVUiHHecGiyMd&#10;LDX96cdp+Pr0oWib+0atP7bvi6PtXeqV1o8P0/4FRKIp/Yv/3G9GQ/Gc1+Yz+QjI+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JdRlwQAAANwAAAAPAAAAAAAAAAAAAAAA&#10;AKECAABkcnMvZG93bnJldi54bWxQSwUGAAAAAAQABAD5AAAAjwMAAAAA&#10;" strokecolor="black [3200]" strokeweight=".5pt">
                    <v:stroke endarrow="block" joinstyle="miter"/>
                  </v:line>
                  <v:line id="Straight Connector 17436" o:spid="_x0000_s1048" style="position:absolute;visibility:visible;mso-wrap-style:square" from="21284,19470" to="23739,19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3l0MUAAADcAAAADwAAAGRycy9kb3ducmV2LnhtbESPQWvCQBSE7wX/w/IKvZS6sRbR6Coi&#10;FQSL2rh4fmRfk2D2bchuNf57t1DwOMzMN8xs0dlaXKj1lWMFg34Cgjh3puJCgT6u38YgfEA2WDsm&#10;BTfysJj3nmaYGnflb7pkoRARwj5FBWUITSqlz0uy6PuuIY7ej2sthijbQpoWrxFua/meJCNpseK4&#10;UGJDq5Lyc/ZrFWz15PQ63I+1tsdshwddfe6/Vkq9PHfLKYhAXXiE/9sbo2D0MYG/M/EIy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z3l0MUAAADcAAAADwAAAAAAAAAA&#10;AAAAAAChAgAAZHJzL2Rvd25yZXYueG1sUEsFBgAAAAAEAAQA+QAAAJMDAAAAAA==&#10;" strokecolor="black [3200]" strokeweight=".5pt">
                    <v:stroke joinstyle="miter"/>
                  </v:line>
                </v:group>
                <v:shape id="Flowchart: Process 17437" o:spid="_x0000_s1049" type="#_x0000_t109" style="position:absolute;top:27065;width:15989;height:35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Czwr0A&#10;AADcAAAADwAAAGRycy9kb3ducmV2LnhtbERPuwrCMBTdBf8hXMFFNFVQSjWKCL5GtYvbpbm2pc1N&#10;aaLWvzeD4Hg479WmM7V4UetKywqmkwgEcWZ1ybmC9LYfxyCcR9ZYWyYFH3KwWfd7K0y0ffOFXlef&#10;ixDCLkEFhfdNIqXLCjLoJrYhDtzDtgZ9gG0udYvvEG5qOYuihTRYcmgosKFdQVl1fRoFVVadZ6d7&#10;/ozT+FiP9GGXNvxRajjotksQnjr/F//cJ61gMQ/zw5lwBO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eCzwr0AAADcAAAADwAAAAAAAAAAAAAAAACYAgAAZHJzL2Rvd25yZXYu&#10;eG1sUEsFBgAAAAAEAAQA9QAAAIIDAAAAAA==&#10;" filled="f" stroked="f" strokeweight="1pt">
                  <v:textbox>
                    <w:txbxContent>
                      <w:p w:rsidR="008F124C" w:rsidRPr="009B158D" w:rsidRDefault="008F124C" w:rsidP="00300C7C">
                        <w:pPr>
                          <w:jc w:val="center"/>
                          <w:rPr>
                            <w:color w:val="000000" w:themeColor="text1"/>
                          </w:rPr>
                        </w:pPr>
                        <w:r w:rsidRPr="009B158D">
                          <w:rPr>
                            <w:color w:val="000000" w:themeColor="text1"/>
                          </w:rPr>
                          <w:t>Physical Environment</w:t>
                        </w:r>
                      </w:p>
                    </w:txbxContent>
                  </v:textbox>
                </v:shape>
                <v:shapetype id="_x0000_t202" coordsize="21600,21600" o:spt="202" path="m,l,21600r21600,l21600,xe">
                  <v:stroke joinstyle="miter"/>
                  <v:path gradientshapeok="t" o:connecttype="rect"/>
                </v:shapetype>
                <v:shape id="Text Box 17438" o:spid="_x0000_s1050" type="#_x0000_t202" style="position:absolute;left:5964;top:2869;width:6732;height:2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FN4McA&#10;AADcAAAADwAAAGRycy9kb3ducmV2LnhtbESPQWvCQBSE74X+h+UJvdVNhIikbkIISEtpD1ovvb1m&#10;n0kw+zbNbmP013cFweMwM98w63wynRhpcK1lBfE8AkFcWd1yrWD/tXlegXAeWWNnmRScyUGePT6s&#10;MdX2xFsad74WAcIuRQWN930qpasaMujmticO3sEOBn2QQy31gKcAN51cRNFSGmw5LDTYU9lQddz9&#10;GQXv5eYTtz8Ls7p05evHoeh/99+JUk+zqXgB4Wny9/Ct/aYVLJMYrmfC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BTeDHAAAA3AAAAA8AAAAAAAAAAAAAAAAAmAIAAGRy&#10;cy9kb3ducmV2LnhtbFBLBQYAAAAABAAEAPUAAACMAwAAAAA=&#10;" filled="f" stroked="f" strokeweight=".5pt">
                  <v:textbox>
                    <w:txbxContent>
                      <w:p w:rsidR="008F124C" w:rsidRDefault="008F124C" w:rsidP="00300C7C">
                        <w:r>
                          <w:t>Exports</w:t>
                        </w:r>
                      </w:p>
                    </w:txbxContent>
                  </v:textbox>
                </v:shape>
                <v:shape id="Text Box 40" o:spid="_x0000_s1051" type="#_x0000_t202" style="position:absolute;left:5774;top:13086;width:6731;height:2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PTl8YA&#10;AADcAAAADwAAAGRycy9kb3ducmV2LnhtbESPQWvCQBSE70L/w/IKvZlNA4qkWUMISIu0BzWX3p7Z&#10;ZxLMvk2zq6b99d1CweMwM98wWT6ZXlxpdJ1lBc9RDIK4trrjRkF12MxXIJxH1thbJgXf5CBfP8wy&#10;TLW98Y6ue9+IAGGXooLW+yGV0tUtGXSRHYiDd7KjQR/k2Eg94i3ATS+TOF5Kgx2HhRYHKluqz/uL&#10;UbAtNx+4OyZm9dOXr++nYviqPhdKPT1OxQsIT5O/h//bb1rBcpHA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PTl8YAAADcAAAADwAAAAAAAAAAAAAAAACYAgAAZHJz&#10;L2Rvd25yZXYueG1sUEsFBgAAAAAEAAQA9QAAAIsDAAAAAA==&#10;" filled="f" stroked="f" strokeweight=".5pt">
                  <v:textbox>
                    <w:txbxContent>
                      <w:p w:rsidR="008F124C" w:rsidRPr="00C62560" w:rsidRDefault="008F124C" w:rsidP="00300C7C">
                        <w:pPr>
                          <w:pStyle w:val="NormalWeb"/>
                          <w:spacing w:before="0" w:beforeAutospacing="0" w:after="160" w:afterAutospacing="0" w:line="256" w:lineRule="auto"/>
                          <w:rPr>
                            <w:rFonts w:asciiTheme="minorHAnsi" w:hAnsiTheme="minorHAnsi"/>
                          </w:rPr>
                        </w:pPr>
                        <w:r w:rsidRPr="00C62560">
                          <w:rPr>
                            <w:rFonts w:asciiTheme="minorHAnsi" w:eastAsia="Calibri" w:hAnsiTheme="minorHAnsi"/>
                            <w:sz w:val="22"/>
                            <w:szCs w:val="22"/>
                          </w:rPr>
                          <w:t>Imports</w:t>
                        </w:r>
                      </w:p>
                    </w:txbxContent>
                  </v:textbox>
                </v:shape>
                <v:shape id="Flowchart: Process 17600" o:spid="_x0000_s1052" type="#_x0000_t109" style="position:absolute;left:38354;top:1206;width:14732;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IttcIA&#10;AADcAAAADwAAAGRycy9kb3ducmV2LnhtbESPzarCMBSE9xd8h3AENxdNVa6UahQR/Fte7cbdoTm2&#10;pc1JaaLWtzeC4HKYmW+YxaoztbhT60rLCsajCARxZnXJuYL0vB3GIJxH1lhbJgVPcrBa9n4WmGj7&#10;4H+6n3wuAoRdggoK75tESpcVZNCNbEMcvKttDfog21zqFh8Bbmo5iaKZNFhyWCiwoU1BWXW6GQVV&#10;Vh0nh0t+i9N4X//q3SZt+KnUoN+t5yA8df4b/rQPWsHsbwr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Mi21wgAAANwAAAAPAAAAAAAAAAAAAAAAAJgCAABkcnMvZG93&#10;bnJldi54bWxQSwUGAAAAAAQABAD1AAAAhwMAAAAA&#10;" filled="f" stroked="f" strokeweight="1pt">
                  <v:textbox>
                    <w:txbxContent>
                      <w:p w:rsidR="008F124C" w:rsidRPr="009B158D" w:rsidRDefault="008F124C" w:rsidP="00300C7C">
                        <w:pPr>
                          <w:jc w:val="center"/>
                          <w:rPr>
                            <w:color w:val="000000" w:themeColor="text1"/>
                          </w:rPr>
                        </w:pPr>
                        <w:r w:rsidRPr="009B158D">
                          <w:rPr>
                            <w:color w:val="000000" w:themeColor="text1"/>
                          </w:rPr>
                          <w:t>Net additions to stock</w:t>
                        </w:r>
                      </w:p>
                    </w:txbxContent>
                  </v:textbox>
                </v:shape>
              </v:group>
            </w:pict>
          </mc:Fallback>
        </mc:AlternateContent>
      </w:r>
    </w:p>
    <w:p w:rsidR="00300C7C" w:rsidRPr="00116E1F" w:rsidRDefault="00300C7C" w:rsidP="00300C7C">
      <w:pPr>
        <w:spacing w:line="360" w:lineRule="auto"/>
        <w:jc w:val="center"/>
        <w:rPr>
          <w:rFonts w:ascii="Times New Roman" w:eastAsia="Calibri" w:hAnsi="Times New Roman" w:cs="Times New Roman"/>
        </w:rPr>
      </w:pPr>
    </w:p>
    <w:p w:rsidR="00300C7C" w:rsidRPr="00116E1F" w:rsidRDefault="00300C7C" w:rsidP="00300C7C">
      <w:pPr>
        <w:spacing w:line="360" w:lineRule="auto"/>
        <w:jc w:val="center"/>
        <w:rPr>
          <w:rFonts w:ascii="Times New Roman" w:eastAsia="Calibri" w:hAnsi="Times New Roman" w:cs="Times New Roman"/>
        </w:rPr>
      </w:pPr>
    </w:p>
    <w:p w:rsidR="00300C7C" w:rsidRPr="00116E1F" w:rsidRDefault="00300C7C" w:rsidP="00300C7C">
      <w:pPr>
        <w:spacing w:line="360" w:lineRule="auto"/>
        <w:jc w:val="center"/>
        <w:rPr>
          <w:rFonts w:ascii="Times New Roman" w:eastAsia="Calibri" w:hAnsi="Times New Roman" w:cs="Times New Roman"/>
        </w:rPr>
      </w:pPr>
    </w:p>
    <w:p w:rsidR="00300C7C" w:rsidRPr="00116E1F" w:rsidRDefault="00300C7C" w:rsidP="00300C7C">
      <w:pPr>
        <w:spacing w:line="360" w:lineRule="auto"/>
        <w:jc w:val="center"/>
        <w:rPr>
          <w:rFonts w:ascii="Times New Roman" w:eastAsia="Calibri" w:hAnsi="Times New Roman" w:cs="Times New Roman"/>
        </w:rPr>
      </w:pPr>
    </w:p>
    <w:p w:rsidR="00300C7C" w:rsidRPr="00116E1F" w:rsidRDefault="00300C7C" w:rsidP="00300C7C">
      <w:pPr>
        <w:spacing w:line="360" w:lineRule="auto"/>
        <w:jc w:val="center"/>
        <w:rPr>
          <w:rFonts w:ascii="Times New Roman" w:eastAsia="Calibri" w:hAnsi="Times New Roman" w:cs="Times New Roman"/>
        </w:rPr>
      </w:pPr>
    </w:p>
    <w:p w:rsidR="00300C7C" w:rsidRPr="00116E1F" w:rsidRDefault="00300C7C" w:rsidP="00300C7C">
      <w:pPr>
        <w:spacing w:line="360" w:lineRule="auto"/>
        <w:jc w:val="center"/>
        <w:rPr>
          <w:rFonts w:ascii="Times New Roman" w:eastAsia="Calibri" w:hAnsi="Times New Roman" w:cs="Times New Roman"/>
        </w:rPr>
      </w:pPr>
    </w:p>
    <w:p w:rsidR="00300C7C" w:rsidRPr="00116E1F" w:rsidRDefault="00300C7C" w:rsidP="00300C7C">
      <w:pPr>
        <w:spacing w:line="360" w:lineRule="auto"/>
        <w:jc w:val="center"/>
        <w:rPr>
          <w:rFonts w:ascii="Times New Roman" w:eastAsia="Calibri" w:hAnsi="Times New Roman" w:cs="Times New Roman"/>
        </w:rPr>
      </w:pPr>
    </w:p>
    <w:p w:rsidR="00300C7C" w:rsidRPr="00116E1F" w:rsidRDefault="00300C7C" w:rsidP="00300C7C">
      <w:pPr>
        <w:spacing w:line="360" w:lineRule="auto"/>
        <w:rPr>
          <w:rFonts w:ascii="Times New Roman" w:eastAsia="Calibri" w:hAnsi="Times New Roman" w:cs="Times New Roman"/>
        </w:rPr>
      </w:pPr>
    </w:p>
    <w:p w:rsidR="00300C7C" w:rsidRPr="00116E1F" w:rsidRDefault="00300C7C" w:rsidP="00300C7C">
      <w:pPr>
        <w:spacing w:line="360" w:lineRule="auto"/>
        <w:jc w:val="both"/>
        <w:rPr>
          <w:rFonts w:ascii="Times New Roman" w:eastAsia="Calibri" w:hAnsi="Times New Roman" w:cs="Times New Roman"/>
        </w:rPr>
      </w:pPr>
      <w:r w:rsidRPr="00116E1F">
        <w:rPr>
          <w:rFonts w:ascii="Times New Roman" w:eastAsia="Calibri" w:hAnsi="Times New Roman" w:cs="Times New Roman"/>
        </w:rPr>
        <w:t xml:space="preserve">PC = Total Physical Consumption, </w:t>
      </w:r>
    </w:p>
    <w:p w:rsidR="00300C7C" w:rsidRPr="00116E1F" w:rsidRDefault="00300C7C" w:rsidP="00DC4727">
      <w:pPr>
        <w:jc w:val="both"/>
        <w:rPr>
          <w:rFonts w:ascii="Times New Roman" w:eastAsia="Calibri" w:hAnsi="Times New Roman" w:cs="Times New Roman"/>
        </w:rPr>
      </w:pPr>
      <w:bookmarkStart w:id="1" w:name="_Ref468391205"/>
      <w:bookmarkStart w:id="2" w:name="_Toc495848334"/>
      <w:r w:rsidRPr="00116E1F">
        <w:rPr>
          <w:rFonts w:ascii="Times New Roman" w:hAnsi="Times New Roman" w:cs="Times New Roman"/>
        </w:rPr>
        <w:t xml:space="preserve">Figure </w:t>
      </w:r>
      <w:r w:rsidR="009A0ED7" w:rsidRPr="00116E1F">
        <w:rPr>
          <w:rFonts w:ascii="Times New Roman" w:hAnsi="Times New Roman" w:cs="Times New Roman"/>
        </w:rPr>
        <w:fldChar w:fldCharType="begin"/>
      </w:r>
      <w:r w:rsidRPr="00116E1F">
        <w:rPr>
          <w:rFonts w:ascii="Times New Roman" w:hAnsi="Times New Roman" w:cs="Times New Roman"/>
        </w:rPr>
        <w:instrText xml:space="preserve"> SEQ Figure \* ARABIC </w:instrText>
      </w:r>
      <w:r w:rsidR="009A0ED7" w:rsidRPr="00116E1F">
        <w:rPr>
          <w:rFonts w:ascii="Times New Roman" w:hAnsi="Times New Roman" w:cs="Times New Roman"/>
        </w:rPr>
        <w:fldChar w:fldCharType="separate"/>
      </w:r>
      <w:r w:rsidR="009F5483">
        <w:rPr>
          <w:rFonts w:ascii="Times New Roman" w:hAnsi="Times New Roman" w:cs="Times New Roman"/>
          <w:noProof/>
        </w:rPr>
        <w:t>1</w:t>
      </w:r>
      <w:r w:rsidR="009A0ED7" w:rsidRPr="00116E1F">
        <w:rPr>
          <w:rFonts w:ascii="Times New Roman" w:hAnsi="Times New Roman" w:cs="Times New Roman"/>
        </w:rPr>
        <w:fldChar w:fldCharType="end"/>
      </w:r>
      <w:bookmarkEnd w:id="1"/>
      <w:r w:rsidRPr="00116E1F">
        <w:rPr>
          <w:rFonts w:ascii="Times New Roman" w:hAnsi="Times New Roman" w:cs="Times New Roman"/>
        </w:rPr>
        <w:t xml:space="preserve">. </w:t>
      </w:r>
      <w:r w:rsidRPr="00116E1F">
        <w:rPr>
          <w:rFonts w:ascii="Times New Roman" w:eastAsia="Calibri" w:hAnsi="Times New Roman" w:cs="Times New Roman"/>
        </w:rPr>
        <w:t>Basic Concept of Material Flow Ana</w:t>
      </w:r>
      <w:r w:rsidR="00F026DC">
        <w:rPr>
          <w:rFonts w:ascii="Times New Roman" w:eastAsia="Calibri" w:hAnsi="Times New Roman" w:cs="Times New Roman"/>
        </w:rPr>
        <w:t>lysis</w:t>
      </w:r>
      <w:r w:rsidRPr="00116E1F">
        <w:rPr>
          <w:rFonts w:ascii="Times New Roman" w:eastAsia="Calibri" w:hAnsi="Times New Roman" w:cs="Times New Roman"/>
        </w:rPr>
        <w:t xml:space="preserve"> </w:t>
      </w:r>
      <w:r w:rsidR="00DD699C" w:rsidRPr="00116E1F">
        <w:rPr>
          <w:rStyle w:val="ReferenceChar"/>
          <w:noProof/>
          <w:color w:val="auto"/>
        </w:rPr>
        <w:t>(Rodrigues &amp; Giljum 2004)</w:t>
      </w:r>
      <w:r w:rsidR="00F026DC">
        <w:rPr>
          <w:rStyle w:val="ReferenceChar"/>
          <w:noProof/>
          <w:color w:val="auto"/>
        </w:rPr>
        <w:t>.</w:t>
      </w:r>
      <w:bookmarkEnd w:id="2"/>
    </w:p>
    <w:p w:rsidR="00BB0EEC" w:rsidRPr="00116E1F" w:rsidRDefault="00300C7C" w:rsidP="00F67FC8">
      <w:pPr>
        <w:spacing w:after="0" w:line="360" w:lineRule="auto"/>
        <w:ind w:firstLine="720"/>
        <w:jc w:val="both"/>
        <w:rPr>
          <w:rFonts w:ascii="Times New Roman" w:eastAsia="Calibri" w:hAnsi="Times New Roman" w:cs="Times New Roman"/>
        </w:rPr>
      </w:pPr>
      <w:r w:rsidRPr="00116E1F">
        <w:rPr>
          <w:rFonts w:ascii="Times New Roman" w:eastAsia="Calibri" w:hAnsi="Times New Roman" w:cs="Times New Roman"/>
        </w:rPr>
        <w:t>The h</w:t>
      </w:r>
      <w:r w:rsidR="00834D94" w:rsidRPr="00116E1F">
        <w:rPr>
          <w:rFonts w:ascii="Times New Roman" w:eastAsia="Calibri" w:hAnsi="Times New Roman" w:cs="Times New Roman"/>
        </w:rPr>
        <w:t>istorical development of MFAs are</w:t>
      </w:r>
      <w:r w:rsidRPr="00116E1F">
        <w:rPr>
          <w:rFonts w:ascii="Times New Roman" w:eastAsia="Calibri" w:hAnsi="Times New Roman" w:cs="Times New Roman"/>
        </w:rPr>
        <w:t xml:space="preserve"> based on early work by</w:t>
      </w:r>
      <w:r w:rsidR="00834D94" w:rsidRPr="00116E1F">
        <w:rPr>
          <w:rFonts w:ascii="Times New Roman" w:eastAsia="Calibri" w:hAnsi="Times New Roman" w:cs="Times New Roman"/>
        </w:rPr>
        <w:t xml:space="preserve"> </w:t>
      </w:r>
      <w:r w:rsidR="00834D94" w:rsidRPr="00116E1F">
        <w:rPr>
          <w:rStyle w:val="ReferenceChar"/>
          <w:noProof/>
          <w:color w:val="auto"/>
        </w:rPr>
        <w:t>(Ayres et al. 1969)</w:t>
      </w:r>
      <w:r w:rsidR="00C1721C" w:rsidRPr="00116E1F">
        <w:rPr>
          <w:rFonts w:ascii="Times New Roman" w:eastAsia="Calibri" w:hAnsi="Times New Roman" w:cs="Times New Roman"/>
        </w:rPr>
        <w:t xml:space="preserve"> </w:t>
      </w:r>
      <w:r w:rsidRPr="00116E1F">
        <w:rPr>
          <w:rFonts w:ascii="Times New Roman" w:eastAsia="Calibri" w:hAnsi="Times New Roman" w:cs="Times New Roman"/>
        </w:rPr>
        <w:t xml:space="preserve">who introduced concepts of material and energy balancing. </w:t>
      </w:r>
      <w:r w:rsidR="00A47D9A" w:rsidRPr="00116E1F">
        <w:rPr>
          <w:rFonts w:ascii="Times New Roman" w:eastAsia="Calibri" w:hAnsi="Times New Roman" w:cs="Times New Roman"/>
        </w:rPr>
        <w:t>Yet</w:t>
      </w:r>
      <w:r w:rsidR="00C1721C" w:rsidRPr="00116E1F">
        <w:rPr>
          <w:rFonts w:ascii="Times New Roman" w:eastAsia="Calibri" w:hAnsi="Times New Roman" w:cs="Times New Roman"/>
        </w:rPr>
        <w:t>, t</w:t>
      </w:r>
      <w:r w:rsidRPr="00116E1F">
        <w:rPr>
          <w:rFonts w:ascii="Times New Roman" w:eastAsia="Calibri" w:hAnsi="Times New Roman" w:cs="Times New Roman"/>
        </w:rPr>
        <w:t xml:space="preserve">he first national level MFAs were published in the early </w:t>
      </w:r>
      <w:r w:rsidR="00C1721C" w:rsidRPr="00116E1F">
        <w:rPr>
          <w:rFonts w:ascii="Times New Roman" w:eastAsia="Calibri" w:hAnsi="Times New Roman" w:cs="Times New Roman"/>
        </w:rPr>
        <w:t xml:space="preserve">1990s by a handful of countries </w:t>
      </w:r>
      <w:r w:rsidRPr="00116E1F">
        <w:rPr>
          <w:rFonts w:ascii="Times New Roman" w:eastAsia="Calibri" w:hAnsi="Times New Roman" w:cs="Times New Roman"/>
        </w:rPr>
        <w:t>which included</w:t>
      </w:r>
      <w:r w:rsidR="00C1721C" w:rsidRPr="00116E1F">
        <w:rPr>
          <w:rFonts w:ascii="Times New Roman" w:eastAsia="Calibri" w:hAnsi="Times New Roman" w:cs="Times New Roman"/>
        </w:rPr>
        <w:t>:</w:t>
      </w:r>
      <w:r w:rsidRPr="00116E1F">
        <w:rPr>
          <w:rFonts w:ascii="Times New Roman" w:eastAsia="Calibri" w:hAnsi="Times New Roman" w:cs="Times New Roman"/>
        </w:rPr>
        <w:t xml:space="preserve"> Austria </w:t>
      </w:r>
      <w:r w:rsidR="00C1721C" w:rsidRPr="00116E1F">
        <w:rPr>
          <w:rStyle w:val="ReferenceChar"/>
          <w:noProof/>
          <w:color w:val="auto"/>
        </w:rPr>
        <w:t>(Steurer 1992)</w:t>
      </w:r>
      <w:r w:rsidRPr="00116E1F">
        <w:rPr>
          <w:rFonts w:ascii="Times New Roman" w:eastAsia="Calibri" w:hAnsi="Times New Roman" w:cs="Times New Roman"/>
        </w:rPr>
        <w:t xml:space="preserve">, Germany </w:t>
      </w:r>
      <w:r w:rsidR="00C1721C" w:rsidRPr="00116E1F">
        <w:rPr>
          <w:rStyle w:val="ReferenceChar"/>
          <w:noProof/>
          <w:color w:val="auto"/>
        </w:rPr>
        <w:t>(Fischer-Kowalski et al. 1994)</w:t>
      </w:r>
      <w:r w:rsidR="00C1721C" w:rsidRPr="00116E1F">
        <w:rPr>
          <w:rFonts w:ascii="Times New Roman" w:eastAsia="Calibri" w:hAnsi="Times New Roman" w:cs="Times New Roman"/>
        </w:rPr>
        <w:t>,</w:t>
      </w:r>
      <w:r w:rsidRPr="00116E1F">
        <w:rPr>
          <w:rFonts w:ascii="Times New Roman" w:eastAsia="Calibri" w:hAnsi="Times New Roman" w:cs="Times New Roman"/>
        </w:rPr>
        <w:t xml:space="preserve"> and Japan </w:t>
      </w:r>
      <w:r w:rsidR="00C1721C" w:rsidRPr="00116E1F">
        <w:rPr>
          <w:rFonts w:ascii="Times New Roman" w:eastAsia="Calibri" w:hAnsi="Times New Roman" w:cs="Times New Roman"/>
          <w:noProof/>
        </w:rPr>
        <w:t>(H</w:t>
      </w:r>
      <w:r w:rsidR="00EF5C49" w:rsidRPr="00116E1F">
        <w:rPr>
          <w:rFonts w:ascii="Times New Roman" w:eastAsia="Calibri" w:hAnsi="Times New Roman" w:cs="Times New Roman"/>
          <w:noProof/>
        </w:rPr>
        <w:t>aberl &amp; Weisz 2007;</w:t>
      </w:r>
      <w:r w:rsidR="00C1721C" w:rsidRPr="00116E1F">
        <w:rPr>
          <w:rFonts w:ascii="Times New Roman" w:eastAsia="Calibri" w:hAnsi="Times New Roman" w:cs="Times New Roman"/>
          <w:noProof/>
        </w:rPr>
        <w:t>Japan</w:t>
      </w:r>
      <w:r w:rsidR="00EF5C49" w:rsidRPr="00116E1F">
        <w:rPr>
          <w:rFonts w:ascii="Times New Roman" w:eastAsia="Calibri" w:hAnsi="Times New Roman" w:cs="Times New Roman"/>
          <w:noProof/>
        </w:rPr>
        <w:t xml:space="preserve"> Environment Agency</w:t>
      </w:r>
      <w:r w:rsidR="00C1721C" w:rsidRPr="00116E1F">
        <w:rPr>
          <w:rFonts w:ascii="Times New Roman" w:eastAsia="Calibri" w:hAnsi="Times New Roman" w:cs="Times New Roman"/>
          <w:noProof/>
        </w:rPr>
        <w:t xml:space="preserve"> 1997)</w:t>
      </w:r>
      <w:r w:rsidR="00C1721C" w:rsidRPr="00116E1F">
        <w:rPr>
          <w:rFonts w:ascii="Times New Roman" w:eastAsia="Calibri" w:hAnsi="Times New Roman" w:cs="Times New Roman"/>
        </w:rPr>
        <w:t>.</w:t>
      </w:r>
      <w:r w:rsidRPr="00116E1F">
        <w:rPr>
          <w:rFonts w:ascii="Times New Roman" w:eastAsia="Calibri" w:hAnsi="Times New Roman" w:cs="Times New Roman"/>
        </w:rPr>
        <w:t xml:space="preserve"> However at the same time, a concerted approach was made to standardize </w:t>
      </w:r>
      <w:r w:rsidR="00C1721C" w:rsidRPr="00116E1F">
        <w:rPr>
          <w:rFonts w:ascii="Times New Roman" w:eastAsia="Calibri" w:hAnsi="Times New Roman" w:cs="Times New Roman"/>
        </w:rPr>
        <w:t>diverse</w:t>
      </w:r>
      <w:r w:rsidRPr="00116E1F">
        <w:rPr>
          <w:rFonts w:ascii="Times New Roman" w:eastAsia="Calibri" w:hAnsi="Times New Roman" w:cs="Times New Roman"/>
        </w:rPr>
        <w:t xml:space="preserve"> MFA methods by different research groups. Funded by the European Commission, </w:t>
      </w:r>
      <w:r w:rsidR="00C1721C" w:rsidRPr="00116E1F">
        <w:rPr>
          <w:rFonts w:ascii="Times New Roman" w:eastAsia="Calibri" w:hAnsi="Times New Roman" w:cs="Times New Roman"/>
        </w:rPr>
        <w:t>The</w:t>
      </w:r>
      <w:r w:rsidRPr="00116E1F">
        <w:rPr>
          <w:rFonts w:ascii="Times New Roman" w:eastAsia="Calibri" w:hAnsi="Times New Roman" w:cs="Times New Roman"/>
        </w:rPr>
        <w:t xml:space="preserve"> Concerted Action</w:t>
      </w:r>
      <w:r w:rsidR="00C1721C" w:rsidRPr="00116E1F">
        <w:rPr>
          <w:rFonts w:ascii="Times New Roman" w:eastAsia="Calibri" w:hAnsi="Times New Roman" w:cs="Times New Roman"/>
        </w:rPr>
        <w:t xml:space="preserve"> Group, were one of the first to standardise international MFA methodologies </w:t>
      </w:r>
      <w:r w:rsidR="00C1721C" w:rsidRPr="00116E1F">
        <w:rPr>
          <w:rFonts w:ascii="Times New Roman" w:eastAsia="Calibri" w:hAnsi="Times New Roman" w:cs="Times New Roman"/>
          <w:noProof/>
        </w:rPr>
        <w:t>(Kleijn et al. 1998; Fischer-kowalski 1997)</w:t>
      </w:r>
      <w:r w:rsidR="00C1721C" w:rsidRPr="00116E1F">
        <w:rPr>
          <w:rFonts w:ascii="Times New Roman" w:eastAsia="Calibri" w:hAnsi="Times New Roman" w:cs="Times New Roman"/>
        </w:rPr>
        <w:t>.</w:t>
      </w:r>
      <w:r w:rsidR="00BB0EEC" w:rsidRPr="00116E1F">
        <w:rPr>
          <w:rFonts w:ascii="Times New Roman" w:eastAsia="Calibri" w:hAnsi="Times New Roman" w:cs="Times New Roman"/>
        </w:rPr>
        <w:t xml:space="preserve"> </w:t>
      </w:r>
    </w:p>
    <w:p w:rsidR="00C40C22" w:rsidRPr="00116E1F" w:rsidRDefault="00BB0EEC" w:rsidP="00C40C22">
      <w:pPr>
        <w:spacing w:after="0" w:line="360" w:lineRule="auto"/>
        <w:ind w:firstLine="720"/>
        <w:jc w:val="both"/>
        <w:rPr>
          <w:rFonts w:ascii="Times New Roman" w:eastAsia="Calibri" w:hAnsi="Times New Roman" w:cs="Times New Roman"/>
        </w:rPr>
      </w:pPr>
      <w:r w:rsidRPr="00116E1F">
        <w:rPr>
          <w:rFonts w:ascii="Times New Roman" w:eastAsia="Calibri" w:hAnsi="Times New Roman" w:cs="Times New Roman"/>
        </w:rPr>
        <w:t xml:space="preserve">In spite of this action, it was not until the late 1990s, the World Resources Institute (WRI) co-ordinated two publications, based on comparative national MFA studies, by bringing together MFA experts: Austria, Germany, Japan, Netherlands and the USA. </w:t>
      </w:r>
      <w:r w:rsidR="00300C7C" w:rsidRPr="00116E1F">
        <w:rPr>
          <w:rFonts w:ascii="Times New Roman" w:eastAsia="Calibri" w:hAnsi="Times New Roman" w:cs="Times New Roman"/>
        </w:rPr>
        <w:t>In their first publication by</w:t>
      </w:r>
      <w:r w:rsidRPr="00116E1F">
        <w:rPr>
          <w:rFonts w:ascii="Times New Roman" w:eastAsia="Calibri" w:hAnsi="Times New Roman" w:cs="Times New Roman"/>
        </w:rPr>
        <w:t xml:space="preserve"> </w:t>
      </w:r>
      <w:r w:rsidRPr="00116E1F">
        <w:rPr>
          <w:rStyle w:val="ReferenceChar"/>
          <w:noProof/>
          <w:color w:val="auto"/>
        </w:rPr>
        <w:t>(Albert et al.</w:t>
      </w:r>
      <w:r w:rsidRPr="00116E1F">
        <w:rPr>
          <w:rFonts w:ascii="Times New Roman" w:eastAsia="Calibri" w:hAnsi="Times New Roman" w:cs="Times New Roman"/>
          <w:noProof/>
        </w:rPr>
        <w:t xml:space="preserve"> </w:t>
      </w:r>
      <w:r w:rsidRPr="00116E1F">
        <w:rPr>
          <w:rStyle w:val="ReferenceChar"/>
          <w:noProof/>
          <w:color w:val="auto"/>
        </w:rPr>
        <w:lastRenderedPageBreak/>
        <w:t>1997)</w:t>
      </w:r>
      <w:r w:rsidR="00300C7C" w:rsidRPr="00116E1F">
        <w:rPr>
          <w:rFonts w:ascii="Times New Roman" w:eastAsia="Calibri" w:hAnsi="Times New Roman" w:cs="Times New Roman"/>
        </w:rPr>
        <w:t>, resource input indicators were defined by analysis of material inputs for four industrial sectors. For the second publication</w:t>
      </w:r>
      <w:r w:rsidRPr="00116E1F">
        <w:rPr>
          <w:rFonts w:ascii="Times New Roman" w:eastAsia="Calibri" w:hAnsi="Times New Roman" w:cs="Times New Roman"/>
        </w:rPr>
        <w:t xml:space="preserve"> by</w:t>
      </w:r>
      <w:r w:rsidR="00D80C81" w:rsidRPr="00116E1F">
        <w:rPr>
          <w:rFonts w:ascii="Times New Roman" w:eastAsia="Calibri" w:hAnsi="Times New Roman" w:cs="Times New Roman"/>
        </w:rPr>
        <w:t xml:space="preserve"> </w:t>
      </w:r>
      <w:r w:rsidR="00D80C81" w:rsidRPr="00116E1F">
        <w:rPr>
          <w:rFonts w:ascii="Times New Roman" w:eastAsia="Calibri" w:hAnsi="Times New Roman" w:cs="Times New Roman"/>
          <w:noProof/>
        </w:rPr>
        <w:t>(Matthews et al. 2000)</w:t>
      </w:r>
      <w:r w:rsidR="00300C7C" w:rsidRPr="00116E1F">
        <w:rPr>
          <w:rFonts w:ascii="Times New Roman" w:eastAsia="Calibri" w:hAnsi="Times New Roman" w:cs="Times New Roman"/>
        </w:rPr>
        <w:t xml:space="preserve">, emission indicators were introduced by </w:t>
      </w:r>
      <w:r w:rsidR="00D80C81" w:rsidRPr="00116E1F">
        <w:rPr>
          <w:rFonts w:ascii="Times New Roman" w:eastAsia="Calibri" w:hAnsi="Times New Roman" w:cs="Times New Roman"/>
        </w:rPr>
        <w:t xml:space="preserve">focussing on material outflows </w:t>
      </w:r>
      <w:r w:rsidR="00D80C81" w:rsidRPr="00116E1F">
        <w:rPr>
          <w:rFonts w:ascii="Times New Roman" w:eastAsia="Calibri" w:hAnsi="Times New Roman" w:cs="Times New Roman"/>
          <w:noProof/>
        </w:rPr>
        <w:t>(Haberl &amp; Weisz 2007; Hinterberger et al. 2003)</w:t>
      </w:r>
      <w:r w:rsidR="00C40C22" w:rsidRPr="00116E1F">
        <w:rPr>
          <w:rFonts w:ascii="Times New Roman" w:eastAsia="Calibri" w:hAnsi="Times New Roman" w:cs="Times New Roman"/>
        </w:rPr>
        <w:t xml:space="preserve">. Though such publications were produced, this did not result in an outburst of publications or knowledge in the field of MFA. </w:t>
      </w:r>
    </w:p>
    <w:p w:rsidR="000F354E" w:rsidRPr="00116E1F" w:rsidRDefault="00C40C22" w:rsidP="00472CA6">
      <w:pPr>
        <w:spacing w:after="0" w:line="360" w:lineRule="auto"/>
        <w:ind w:firstLine="720"/>
        <w:jc w:val="both"/>
        <w:rPr>
          <w:rFonts w:ascii="Times New Roman" w:eastAsia="Calibri" w:hAnsi="Times New Roman" w:cs="Times New Roman"/>
        </w:rPr>
      </w:pPr>
      <w:r w:rsidRPr="00116E1F">
        <w:rPr>
          <w:rFonts w:ascii="Times New Roman" w:eastAsia="Calibri" w:hAnsi="Times New Roman" w:cs="Times New Roman"/>
        </w:rPr>
        <w:t>It was not until 2001, where the pivotal moment of MFA was observed. For the first time ever, standardization for economy-wide material flows was achieved and published in a methodological guidebook by the European Statistical Office</w:t>
      </w:r>
      <w:r w:rsidR="00F557F1">
        <w:rPr>
          <w:rFonts w:ascii="Times New Roman" w:eastAsia="Calibri" w:hAnsi="Times New Roman" w:cs="Times New Roman"/>
        </w:rPr>
        <w:t xml:space="preserve"> </w:t>
      </w:r>
      <w:r w:rsidR="009051E4" w:rsidRPr="00116E1F">
        <w:rPr>
          <w:rStyle w:val="ReferenceChar"/>
          <w:noProof/>
          <w:color w:val="auto"/>
        </w:rPr>
        <w:t>(Eurostat, 2002</w:t>
      </w:r>
      <w:r w:rsidRPr="00116E1F">
        <w:rPr>
          <w:rStyle w:val="ReferenceChar"/>
          <w:noProof/>
          <w:color w:val="auto"/>
        </w:rPr>
        <w:t>)</w:t>
      </w:r>
      <w:r w:rsidRPr="00116E1F">
        <w:rPr>
          <w:rStyle w:val="ReferenceChar"/>
          <w:color w:val="auto"/>
        </w:rPr>
        <w:t>.</w:t>
      </w:r>
      <w:r w:rsidR="000F354E" w:rsidRPr="00116E1F">
        <w:rPr>
          <w:rFonts w:ascii="Times New Roman" w:eastAsia="Calibri" w:hAnsi="Times New Roman" w:cs="Times New Roman"/>
        </w:rPr>
        <w:t xml:space="preserve"> Economy-wide MFA covered all material inputs (imports and raw materials), outputs (exports, emissions and wastes, dissipative uses) and net-changes in materials stock, except for air and water. These type of MFAs, focused on flows between the economy and environment and excluded flows between economic sectors (internal flows) as well as flows within ecosystems.</w:t>
      </w:r>
    </w:p>
    <w:p w:rsidR="00300C7C" w:rsidRPr="00116E1F" w:rsidRDefault="00C40C22" w:rsidP="000F354E">
      <w:pPr>
        <w:spacing w:after="0" w:line="360" w:lineRule="auto"/>
        <w:ind w:firstLine="720"/>
        <w:jc w:val="both"/>
        <w:rPr>
          <w:rFonts w:ascii="Times New Roman" w:eastAsia="Calibri" w:hAnsi="Times New Roman" w:cs="Times New Roman"/>
        </w:rPr>
      </w:pPr>
      <w:r w:rsidRPr="00116E1F">
        <w:rPr>
          <w:rFonts w:ascii="Times New Roman" w:eastAsia="Calibri" w:hAnsi="Times New Roman" w:cs="Times New Roman"/>
        </w:rPr>
        <w:t xml:space="preserve"> </w:t>
      </w:r>
      <w:r w:rsidR="00300C7C" w:rsidRPr="00116E1F">
        <w:rPr>
          <w:rFonts w:ascii="Times New Roman" w:eastAsia="Calibri" w:hAnsi="Times New Roman" w:cs="Times New Roman"/>
        </w:rPr>
        <w:t>The publication of a methodological MFA guide increased the number of countries both within the EU and the</w:t>
      </w:r>
      <w:r w:rsidRPr="00116E1F">
        <w:rPr>
          <w:rFonts w:ascii="Times New Roman" w:eastAsia="Calibri" w:hAnsi="Times New Roman" w:cs="Times New Roman"/>
        </w:rPr>
        <w:t xml:space="preserve"> Organisation for Economic Co-operation and Development</w:t>
      </w:r>
      <w:r w:rsidR="00300C7C" w:rsidRPr="00116E1F">
        <w:rPr>
          <w:rFonts w:ascii="Times New Roman" w:eastAsia="Calibri" w:hAnsi="Times New Roman" w:cs="Times New Roman"/>
        </w:rPr>
        <w:t xml:space="preserve"> </w:t>
      </w:r>
      <w:r w:rsidRPr="00116E1F">
        <w:rPr>
          <w:rFonts w:ascii="Times New Roman" w:eastAsia="Calibri" w:hAnsi="Times New Roman" w:cs="Times New Roman"/>
        </w:rPr>
        <w:t>(</w:t>
      </w:r>
      <w:r w:rsidR="00300C7C" w:rsidRPr="00116E1F">
        <w:rPr>
          <w:rFonts w:ascii="Times New Roman" w:eastAsia="Calibri" w:hAnsi="Times New Roman" w:cs="Times New Roman"/>
        </w:rPr>
        <w:t>OECD</w:t>
      </w:r>
      <w:r w:rsidRPr="00116E1F">
        <w:rPr>
          <w:rFonts w:ascii="Times New Roman" w:eastAsia="Calibri" w:hAnsi="Times New Roman" w:cs="Times New Roman"/>
        </w:rPr>
        <w:t>)</w:t>
      </w:r>
      <w:r w:rsidR="00300C7C" w:rsidRPr="00116E1F">
        <w:rPr>
          <w:rFonts w:ascii="Times New Roman" w:eastAsia="Calibri" w:hAnsi="Times New Roman" w:cs="Times New Roman"/>
        </w:rPr>
        <w:t xml:space="preserve"> implementing MFA. </w:t>
      </w:r>
      <w:r w:rsidR="00472CA6" w:rsidRPr="00116E1F">
        <w:rPr>
          <w:rFonts w:ascii="Times New Roman" w:eastAsia="Calibri" w:hAnsi="Times New Roman" w:cs="Times New Roman"/>
        </w:rPr>
        <w:t>As a result, MFAs have been</w:t>
      </w:r>
      <w:r w:rsidR="00300C7C" w:rsidRPr="00116E1F">
        <w:rPr>
          <w:rFonts w:ascii="Times New Roman" w:eastAsia="Calibri" w:hAnsi="Times New Roman" w:cs="Times New Roman"/>
        </w:rPr>
        <w:t xml:space="preserve"> published for a number of developing countries including</w:t>
      </w:r>
      <w:r w:rsidR="00472CA6" w:rsidRPr="00116E1F">
        <w:rPr>
          <w:rFonts w:ascii="Times New Roman" w:eastAsia="Calibri" w:hAnsi="Times New Roman" w:cs="Times New Roman"/>
        </w:rPr>
        <w:t>:</w:t>
      </w:r>
      <w:r w:rsidR="00300C7C" w:rsidRPr="00116E1F">
        <w:rPr>
          <w:rFonts w:ascii="Times New Roman" w:eastAsia="Calibri" w:hAnsi="Times New Roman" w:cs="Times New Roman"/>
        </w:rPr>
        <w:t xml:space="preserve"> Brazil </w:t>
      </w:r>
      <w:r w:rsidR="00472CA6" w:rsidRPr="00116E1F">
        <w:rPr>
          <w:rFonts w:ascii="Times New Roman" w:eastAsia="Calibri" w:hAnsi="Times New Roman" w:cs="Times New Roman"/>
          <w:noProof/>
        </w:rPr>
        <w:t>(</w:t>
      </w:r>
      <w:r w:rsidR="00472CA6" w:rsidRPr="00116E1F">
        <w:rPr>
          <w:rStyle w:val="ReferenceChar"/>
          <w:noProof/>
          <w:color w:val="auto"/>
        </w:rPr>
        <w:t>Lukesch 2002</w:t>
      </w:r>
      <w:r w:rsidR="00472CA6" w:rsidRPr="00116E1F">
        <w:rPr>
          <w:rFonts w:ascii="Times New Roman" w:eastAsia="Calibri" w:hAnsi="Times New Roman" w:cs="Times New Roman"/>
          <w:noProof/>
        </w:rPr>
        <w:t>)</w:t>
      </w:r>
      <w:r w:rsidR="00472CA6" w:rsidRPr="00116E1F">
        <w:rPr>
          <w:rFonts w:ascii="Times New Roman" w:eastAsia="Calibri" w:hAnsi="Times New Roman" w:cs="Times New Roman"/>
        </w:rPr>
        <w:t xml:space="preserve">, Chile </w:t>
      </w:r>
      <w:r w:rsidR="00472CA6" w:rsidRPr="00116E1F">
        <w:rPr>
          <w:rStyle w:val="ReferenceChar"/>
          <w:noProof/>
          <w:color w:val="auto"/>
        </w:rPr>
        <w:t>(Giljum 2004)</w:t>
      </w:r>
      <w:r w:rsidR="00472CA6" w:rsidRPr="00116E1F">
        <w:rPr>
          <w:rStyle w:val="ReferenceChar"/>
          <w:color w:val="auto"/>
        </w:rPr>
        <w:t xml:space="preserve">, Laos </w:t>
      </w:r>
      <w:r w:rsidR="00472CA6" w:rsidRPr="00116E1F">
        <w:rPr>
          <w:rStyle w:val="ReferenceChar"/>
          <w:noProof/>
          <w:color w:val="auto"/>
        </w:rPr>
        <w:t>(Schandl et al. 2005)</w:t>
      </w:r>
      <w:r w:rsidR="00472CA6" w:rsidRPr="00116E1F">
        <w:rPr>
          <w:rStyle w:val="ReferenceChar"/>
          <w:color w:val="auto"/>
        </w:rPr>
        <w:t xml:space="preserve">, </w:t>
      </w:r>
      <w:r w:rsidR="00300C7C" w:rsidRPr="00116E1F">
        <w:rPr>
          <w:rFonts w:ascii="Times New Roman" w:eastAsia="Calibri" w:hAnsi="Times New Roman" w:cs="Times New Roman"/>
        </w:rPr>
        <w:t xml:space="preserve">Philippines </w:t>
      </w:r>
      <w:r w:rsidR="00472CA6" w:rsidRPr="00116E1F">
        <w:rPr>
          <w:rStyle w:val="ReferenceChar"/>
          <w:noProof/>
          <w:color w:val="auto"/>
        </w:rPr>
        <w:t>(Rapera 2004)</w:t>
      </w:r>
      <w:r w:rsidR="00300C7C" w:rsidRPr="00116E1F">
        <w:rPr>
          <w:rFonts w:ascii="Times New Roman" w:eastAsia="Calibri" w:hAnsi="Times New Roman" w:cs="Times New Roman"/>
        </w:rPr>
        <w:t xml:space="preserve">, Thailand </w:t>
      </w:r>
      <w:r w:rsidR="00472CA6" w:rsidRPr="00116E1F">
        <w:rPr>
          <w:rStyle w:val="ReferenceChar"/>
          <w:noProof/>
          <w:color w:val="auto"/>
        </w:rPr>
        <w:t>(Weisz et al. 2005)</w:t>
      </w:r>
      <w:r w:rsidR="00300C7C" w:rsidRPr="00116E1F">
        <w:rPr>
          <w:rFonts w:ascii="Times New Roman" w:eastAsia="Calibri" w:hAnsi="Times New Roman" w:cs="Times New Roman"/>
        </w:rPr>
        <w:t xml:space="preserve"> and Venezuela </w:t>
      </w:r>
      <w:r w:rsidR="00472CA6" w:rsidRPr="00116E1F">
        <w:rPr>
          <w:rStyle w:val="ReferenceChar"/>
          <w:noProof/>
          <w:color w:val="auto"/>
        </w:rPr>
        <w:t>(Castellano 2001)</w:t>
      </w:r>
      <w:r w:rsidR="00300C7C" w:rsidRPr="00116E1F">
        <w:rPr>
          <w:rFonts w:ascii="Times New Roman" w:eastAsia="Calibri" w:hAnsi="Times New Roman" w:cs="Times New Roman"/>
        </w:rPr>
        <w:t xml:space="preserve">. Within the EU, Eurostat has published economy-wide MFAs for </w:t>
      </w:r>
      <w:r w:rsidR="00472CA6" w:rsidRPr="00116E1F">
        <w:rPr>
          <w:rFonts w:ascii="Times New Roman" w:eastAsia="Calibri" w:hAnsi="Times New Roman" w:cs="Times New Roman"/>
        </w:rPr>
        <w:t xml:space="preserve">all current EU-15 member states </w:t>
      </w:r>
      <w:r w:rsidR="00300C7C" w:rsidRPr="00116E1F">
        <w:rPr>
          <w:rFonts w:ascii="Times New Roman" w:eastAsia="Calibri" w:hAnsi="Times New Roman" w:cs="Times New Roman"/>
        </w:rPr>
        <w:t>and made preparations to extend this for 10 future member states</w:t>
      </w:r>
      <w:r w:rsidR="00472CA6" w:rsidRPr="00116E1F">
        <w:rPr>
          <w:rFonts w:ascii="Times New Roman" w:eastAsia="Calibri" w:hAnsi="Times New Roman" w:cs="Times New Roman"/>
        </w:rPr>
        <w:t xml:space="preserve"> </w:t>
      </w:r>
      <w:r w:rsidR="00472CA6" w:rsidRPr="00116E1F">
        <w:rPr>
          <w:rStyle w:val="ReferenceChar"/>
          <w:noProof/>
          <w:color w:val="auto"/>
        </w:rPr>
        <w:t>(Amann et al. 2004)</w:t>
      </w:r>
      <w:r w:rsidR="00300C7C" w:rsidRPr="00116E1F">
        <w:rPr>
          <w:rFonts w:ascii="Times New Roman" w:eastAsia="Calibri" w:hAnsi="Times New Roman" w:cs="Times New Roman"/>
        </w:rPr>
        <w:t>. In parallel, the OECD is working on MFA database</w:t>
      </w:r>
      <w:r w:rsidR="00472CA6" w:rsidRPr="00116E1F">
        <w:rPr>
          <w:rFonts w:ascii="Times New Roman" w:eastAsia="Calibri" w:hAnsi="Times New Roman" w:cs="Times New Roman"/>
        </w:rPr>
        <w:t>s for all OECD countries</w:t>
      </w:r>
      <w:r w:rsidR="00300C7C" w:rsidRPr="00116E1F">
        <w:rPr>
          <w:rFonts w:ascii="Times New Roman" w:eastAsia="Calibri" w:hAnsi="Times New Roman" w:cs="Times New Roman"/>
        </w:rPr>
        <w:t xml:space="preserve"> </w:t>
      </w:r>
      <w:r w:rsidR="00472CA6" w:rsidRPr="00116E1F">
        <w:rPr>
          <w:rStyle w:val="ReferenceChar"/>
          <w:noProof/>
          <w:color w:val="auto"/>
        </w:rPr>
        <w:t>(Haberl &amp; Weisz 2007)</w:t>
      </w:r>
      <w:r w:rsidR="00472CA6" w:rsidRPr="00116E1F">
        <w:rPr>
          <w:rFonts w:ascii="Times New Roman" w:eastAsia="Calibri" w:hAnsi="Times New Roman" w:cs="Times New Roman"/>
        </w:rPr>
        <w:t>.</w:t>
      </w:r>
    </w:p>
    <w:p w:rsidR="00A320F0" w:rsidRPr="003F3C89" w:rsidRDefault="000F354E" w:rsidP="003F3C89">
      <w:pPr>
        <w:spacing w:after="0" w:line="360" w:lineRule="auto"/>
        <w:ind w:firstLine="720"/>
        <w:jc w:val="both"/>
        <w:rPr>
          <w:rStyle w:val="ReferenceChar"/>
          <w:rFonts w:asciiTheme="minorHAnsi" w:eastAsiaTheme="minorEastAsia" w:hAnsiTheme="minorHAnsi"/>
          <w:color w:val="auto"/>
        </w:rPr>
      </w:pPr>
      <w:r w:rsidRPr="00116E1F">
        <w:rPr>
          <w:rFonts w:ascii="Times New Roman" w:eastAsia="Calibri" w:hAnsi="Times New Roman" w:cs="Times New Roman"/>
        </w:rPr>
        <w:t xml:space="preserve">Currently, Eurostat in close </w:t>
      </w:r>
      <w:r w:rsidR="00300C7C" w:rsidRPr="00116E1F">
        <w:rPr>
          <w:rFonts w:ascii="Times New Roman" w:eastAsia="Calibri" w:hAnsi="Times New Roman" w:cs="Times New Roman"/>
        </w:rPr>
        <w:t xml:space="preserve">co-operation with the OECD, are making amendments and extensions of the original Eurostat MFA guide. These changes include data sources, practical </w:t>
      </w:r>
      <w:r w:rsidR="00300C7C" w:rsidRPr="000906E1">
        <w:rPr>
          <w:rFonts w:ascii="Times New Roman" w:eastAsia="Calibri" w:hAnsi="Times New Roman" w:cs="Times New Roman"/>
        </w:rPr>
        <w:t>implementation of MFAs and appli</w:t>
      </w:r>
      <w:r w:rsidR="00472CA6" w:rsidRPr="000906E1">
        <w:rPr>
          <w:rFonts w:ascii="Times New Roman" w:eastAsia="Calibri" w:hAnsi="Times New Roman" w:cs="Times New Roman"/>
        </w:rPr>
        <w:t>cability to OECD countries</w:t>
      </w:r>
      <w:r w:rsidR="00472CA6" w:rsidRPr="000906E1">
        <w:rPr>
          <w:rStyle w:val="ReferenceChar"/>
          <w:color w:val="auto"/>
        </w:rPr>
        <w:t xml:space="preserve"> </w:t>
      </w:r>
      <w:r w:rsidR="00472CA6" w:rsidRPr="000906E1">
        <w:rPr>
          <w:rStyle w:val="ReferenceChar"/>
          <w:noProof/>
          <w:color w:val="auto"/>
        </w:rPr>
        <w:t>(Haberl &amp; Weisz 2007)</w:t>
      </w:r>
      <w:r w:rsidR="00472CA6" w:rsidRPr="000906E1">
        <w:rPr>
          <w:rStyle w:val="ReferenceChar"/>
          <w:color w:val="auto"/>
        </w:rPr>
        <w:t>.</w:t>
      </w:r>
      <w:r w:rsidRPr="000906E1">
        <w:rPr>
          <w:rStyle w:val="ReferenceChar"/>
          <w:color w:val="auto"/>
        </w:rPr>
        <w:t xml:space="preserve"> </w:t>
      </w:r>
      <w:r w:rsidR="00A320F0" w:rsidRPr="000906E1">
        <w:rPr>
          <w:rStyle w:val="ReferenceChar"/>
          <w:color w:val="auto"/>
        </w:rPr>
        <w:t>However</w:t>
      </w:r>
      <w:r w:rsidR="00CB546B" w:rsidRPr="000906E1">
        <w:rPr>
          <w:rStyle w:val="ReferenceChar"/>
          <w:color w:val="auto"/>
        </w:rPr>
        <w:t xml:space="preserve"> one aspect not mentioned in this guide is </w:t>
      </w:r>
      <w:r w:rsidR="00A320F0" w:rsidRPr="000906E1">
        <w:rPr>
          <w:rStyle w:val="ReferenceChar"/>
          <w:color w:val="auto"/>
        </w:rPr>
        <w:t xml:space="preserve">having an </w:t>
      </w:r>
      <w:r w:rsidR="00A320F0" w:rsidRPr="000906E1">
        <w:rPr>
          <w:rFonts w:ascii="Times New Roman" w:eastAsia="Calibri" w:hAnsi="Times New Roman" w:cs="Times New Roman"/>
        </w:rPr>
        <w:t>International Organization for Standardization (ISO) for MFAs</w:t>
      </w:r>
      <w:r w:rsidR="00CB546B" w:rsidRPr="000906E1">
        <w:rPr>
          <w:rFonts w:ascii="Times New Roman" w:eastAsia="Calibri" w:hAnsi="Times New Roman" w:cs="Times New Roman"/>
        </w:rPr>
        <w:t>. Although a standardization has been achieved for economy-wide material flows, has previously mentioned,</w:t>
      </w:r>
      <w:r w:rsidR="00050DE9" w:rsidRPr="000906E1">
        <w:rPr>
          <w:rFonts w:ascii="Times New Roman" w:eastAsia="Calibri" w:hAnsi="Times New Roman" w:cs="Times New Roman"/>
        </w:rPr>
        <w:t xml:space="preserve"> the effect of not having an ISO standard for MFAs might include; more output </w:t>
      </w:r>
      <w:r w:rsidR="00CB546B" w:rsidRPr="000906E1">
        <w:rPr>
          <w:rFonts w:ascii="Times New Roman" w:eastAsia="Calibri" w:hAnsi="Times New Roman" w:cs="Times New Roman"/>
        </w:rPr>
        <w:t>v</w:t>
      </w:r>
      <w:r w:rsidR="00050DE9" w:rsidRPr="000906E1">
        <w:rPr>
          <w:rFonts w:ascii="Times New Roman" w:eastAsia="Calibri" w:hAnsi="Times New Roman" w:cs="Times New Roman"/>
        </w:rPr>
        <w:t xml:space="preserve">ariability </w:t>
      </w:r>
      <w:r w:rsidR="003F3C89" w:rsidRPr="000906E1">
        <w:rPr>
          <w:rFonts w:ascii="Times New Roman" w:eastAsia="Calibri" w:hAnsi="Times New Roman" w:cs="Times New Roman"/>
        </w:rPr>
        <w:t xml:space="preserve">diluted conclusions particularly when comparing different studies as well as potential fracture of the field of MFA into divisions and groups. Therefore it is recommended to </w:t>
      </w:r>
      <w:r w:rsidR="000E7438" w:rsidRPr="000906E1">
        <w:rPr>
          <w:rFonts w:ascii="Times New Roman" w:eastAsia="Calibri" w:hAnsi="Times New Roman" w:cs="Times New Roman"/>
        </w:rPr>
        <w:t>include a standard</w:t>
      </w:r>
      <w:r w:rsidR="003F3C89" w:rsidRPr="000906E1">
        <w:rPr>
          <w:rFonts w:ascii="Times New Roman" w:eastAsia="Calibri" w:hAnsi="Times New Roman" w:cs="Times New Roman"/>
        </w:rPr>
        <w:t xml:space="preserve"> </w:t>
      </w:r>
      <w:r w:rsidR="000E7438" w:rsidRPr="000906E1">
        <w:rPr>
          <w:rFonts w:ascii="Times New Roman" w:eastAsia="Calibri" w:hAnsi="Times New Roman" w:cs="Times New Roman"/>
        </w:rPr>
        <w:t>as this will</w:t>
      </w:r>
      <w:r w:rsidR="003F3C89" w:rsidRPr="000906E1">
        <w:rPr>
          <w:rFonts w:ascii="Times New Roman" w:eastAsia="Calibri" w:hAnsi="Times New Roman" w:cs="Times New Roman"/>
        </w:rPr>
        <w:t xml:space="preserve"> </w:t>
      </w:r>
      <w:r w:rsidR="000E7438" w:rsidRPr="000906E1">
        <w:rPr>
          <w:rFonts w:ascii="Times New Roman" w:eastAsia="Calibri" w:hAnsi="Times New Roman" w:cs="Times New Roman"/>
        </w:rPr>
        <w:t xml:space="preserve">assist </w:t>
      </w:r>
      <w:r w:rsidR="003F3C89" w:rsidRPr="000906E1">
        <w:rPr>
          <w:rFonts w:ascii="Times New Roman" w:eastAsia="Calibri" w:hAnsi="Times New Roman" w:cs="Times New Roman"/>
        </w:rPr>
        <w:t>current growth rate</w:t>
      </w:r>
      <w:r w:rsidR="000E7438" w:rsidRPr="000906E1">
        <w:rPr>
          <w:rFonts w:ascii="Times New Roman" w:eastAsia="Calibri" w:hAnsi="Times New Roman" w:cs="Times New Roman"/>
        </w:rPr>
        <w:t>s</w:t>
      </w:r>
      <w:r w:rsidR="003F3C89" w:rsidRPr="000906E1">
        <w:rPr>
          <w:rFonts w:ascii="Times New Roman" w:eastAsia="Calibri" w:hAnsi="Times New Roman" w:cs="Times New Roman"/>
        </w:rPr>
        <w:t xml:space="preserve"> in the field of MFAs </w:t>
      </w:r>
      <w:r w:rsidR="000E7438" w:rsidRPr="000906E1">
        <w:rPr>
          <w:rFonts w:ascii="Times New Roman" w:eastAsia="Calibri" w:hAnsi="Times New Roman" w:cs="Times New Roman"/>
        </w:rPr>
        <w:t xml:space="preserve">whilst simultaneously </w:t>
      </w:r>
      <w:r w:rsidR="003F3C89" w:rsidRPr="000906E1">
        <w:rPr>
          <w:rFonts w:ascii="Times New Roman" w:eastAsia="Calibri" w:hAnsi="Times New Roman" w:cs="Times New Roman"/>
        </w:rPr>
        <w:t>providing</w:t>
      </w:r>
      <w:r w:rsidR="000E7438" w:rsidRPr="000906E1">
        <w:rPr>
          <w:rFonts w:ascii="Times New Roman" w:eastAsia="Calibri" w:hAnsi="Times New Roman" w:cs="Times New Roman"/>
        </w:rPr>
        <w:t xml:space="preserve"> consistency and reliability of up and coming studies</w:t>
      </w:r>
      <w:r w:rsidR="003F3C89" w:rsidRPr="000906E1">
        <w:rPr>
          <w:rFonts w:ascii="Times New Roman" w:eastAsia="Calibri" w:hAnsi="Times New Roman" w:cs="Times New Roman"/>
        </w:rPr>
        <w:t>.</w:t>
      </w:r>
    </w:p>
    <w:p w:rsidR="000F354E" w:rsidRPr="00116E1F" w:rsidRDefault="000F354E" w:rsidP="000F354E">
      <w:pPr>
        <w:spacing w:after="0" w:line="360" w:lineRule="auto"/>
        <w:ind w:firstLine="720"/>
        <w:jc w:val="both"/>
        <w:rPr>
          <w:rFonts w:ascii="Times New Roman" w:eastAsia="Calibri" w:hAnsi="Times New Roman"/>
        </w:rPr>
      </w:pPr>
      <w:r w:rsidRPr="00116E1F">
        <w:rPr>
          <w:rStyle w:val="ReferenceChar"/>
          <w:color w:val="auto"/>
        </w:rPr>
        <w:t>With an ever increasing amount of MFAs b</w:t>
      </w:r>
      <w:r w:rsidR="001D0C7E" w:rsidRPr="00116E1F">
        <w:rPr>
          <w:rStyle w:val="ReferenceChar"/>
          <w:color w:val="auto"/>
        </w:rPr>
        <w:t>eing conducted, MFA studies can be</w:t>
      </w:r>
      <w:r w:rsidRPr="00116E1F">
        <w:rPr>
          <w:rStyle w:val="ReferenceChar"/>
          <w:color w:val="auto"/>
        </w:rPr>
        <w:t xml:space="preserve"> classified into </w:t>
      </w:r>
      <w:r w:rsidRPr="00116E1F">
        <w:rPr>
          <w:rFonts w:ascii="Times New Roman" w:eastAsia="Calibri" w:hAnsi="Times New Roman" w:cs="Times New Roman"/>
        </w:rPr>
        <w:t>two types, Type 1 and Type 2</w:t>
      </w:r>
      <w:r w:rsidR="00D750AF" w:rsidRPr="00116E1F">
        <w:rPr>
          <w:rFonts w:ascii="Times New Roman" w:eastAsia="Calibri" w:hAnsi="Times New Roman" w:cs="Times New Roman"/>
        </w:rPr>
        <w:t>.</w:t>
      </w:r>
      <w:r w:rsidRPr="00116E1F">
        <w:rPr>
          <w:rFonts w:ascii="Times New Roman" w:eastAsia="Calibri" w:hAnsi="Times New Roman" w:cs="Times New Roman"/>
        </w:rPr>
        <w:t xml:space="preserve"> </w:t>
      </w:r>
      <w:r w:rsidRPr="00116E1F">
        <w:rPr>
          <w:rStyle w:val="ReferenceChar"/>
          <w:noProof/>
          <w:color w:val="auto"/>
        </w:rPr>
        <w:t>(Gregory 2006)</w:t>
      </w:r>
    </w:p>
    <w:p w:rsidR="00EC7CAF" w:rsidRPr="005B3139" w:rsidRDefault="00EC7CAF" w:rsidP="00EC7CAF">
      <w:pPr>
        <w:spacing w:line="360" w:lineRule="auto"/>
        <w:rPr>
          <w:rFonts w:ascii="Times New Roman" w:eastAsia="Calibri" w:hAnsi="Times New Roman" w:cs="Times New Roman"/>
        </w:rPr>
      </w:pPr>
      <w:r>
        <w:rPr>
          <w:noProof/>
        </w:rPr>
        <w:lastRenderedPageBreak/>
        <w:drawing>
          <wp:inline distT="0" distB="0" distL="0" distR="0">
            <wp:extent cx="4884081" cy="1554141"/>
            <wp:effectExtent l="0" t="57150" r="0" b="65405"/>
            <wp:docPr id="472" name="Diagram 4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EC7CAF" w:rsidRPr="005B3139" w:rsidRDefault="00EC7CAF" w:rsidP="001D0C7E">
      <w:pPr>
        <w:spacing w:line="360" w:lineRule="auto"/>
        <w:jc w:val="both"/>
        <w:rPr>
          <w:rFonts w:ascii="Times New Roman" w:eastAsia="Calibri" w:hAnsi="Times New Roman" w:cs="Times New Roman"/>
        </w:rPr>
      </w:pPr>
      <w:r w:rsidRPr="005B3139">
        <w:rPr>
          <w:rFonts w:ascii="Times New Roman" w:eastAsia="Calibri" w:hAnsi="Times New Roman" w:cs="Times New Roman"/>
        </w:rPr>
        <w:t>Type 1 - Impacts per unit flow of substance, materials and products within certain firms, sectors and regions.</w:t>
      </w:r>
    </w:p>
    <w:p w:rsidR="00EC7CAF" w:rsidRPr="005B3139" w:rsidRDefault="00EC7CAF" w:rsidP="00EC7CAF">
      <w:pPr>
        <w:spacing w:line="360" w:lineRule="auto"/>
        <w:rPr>
          <w:rFonts w:ascii="Times New Roman" w:eastAsia="Calibri" w:hAnsi="Times New Roman" w:cs="Times New Roman"/>
        </w:rPr>
      </w:pPr>
      <w:r>
        <w:rPr>
          <w:noProof/>
        </w:rPr>
        <w:drawing>
          <wp:inline distT="0" distB="0" distL="0" distR="0">
            <wp:extent cx="4796625" cy="1579193"/>
            <wp:effectExtent l="0" t="57150" r="0" b="59690"/>
            <wp:docPr id="477" name="Diagram 4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EC7CAF" w:rsidRPr="005B3139" w:rsidRDefault="001D0C7E" w:rsidP="001D0C7E">
      <w:pPr>
        <w:spacing w:line="360" w:lineRule="auto"/>
        <w:jc w:val="both"/>
        <w:rPr>
          <w:rFonts w:ascii="Times New Roman" w:eastAsia="Calibri" w:hAnsi="Times New Roman" w:cs="Times New Roman"/>
        </w:rPr>
      </w:pPr>
      <w:r>
        <w:rPr>
          <w:rFonts w:ascii="Times New Roman" w:eastAsia="Calibri" w:hAnsi="Times New Roman" w:cs="Times New Roman"/>
        </w:rPr>
        <w:t xml:space="preserve">Type 2 - </w:t>
      </w:r>
      <w:r w:rsidR="00EC7CAF" w:rsidRPr="005B3139">
        <w:rPr>
          <w:rFonts w:ascii="Times New Roman" w:eastAsia="Calibri" w:hAnsi="Times New Roman" w:cs="Times New Roman"/>
        </w:rPr>
        <w:t>Throughput of firms, sectors and regions associated with substances, materials and products.</w:t>
      </w:r>
    </w:p>
    <w:p w:rsidR="00EC7CAF" w:rsidRPr="00116E1F" w:rsidRDefault="00EC7CAF" w:rsidP="00DC4727">
      <w:pPr>
        <w:jc w:val="both"/>
        <w:rPr>
          <w:rFonts w:ascii="Times New Roman" w:eastAsia="Calibri" w:hAnsi="Times New Roman" w:cs="Times New Roman"/>
        </w:rPr>
      </w:pPr>
      <w:bookmarkStart w:id="3" w:name="_Ref468391228"/>
      <w:bookmarkStart w:id="4" w:name="_Toc495848335"/>
      <w:r w:rsidRPr="00116E1F">
        <w:rPr>
          <w:rFonts w:ascii="Times New Roman" w:hAnsi="Times New Roman" w:cs="Times New Roman"/>
        </w:rPr>
        <w:t xml:space="preserve">Figure </w:t>
      </w:r>
      <w:r w:rsidR="009A0ED7" w:rsidRPr="00116E1F">
        <w:rPr>
          <w:rFonts w:ascii="Times New Roman" w:hAnsi="Times New Roman" w:cs="Times New Roman"/>
        </w:rPr>
        <w:fldChar w:fldCharType="begin"/>
      </w:r>
      <w:r w:rsidRPr="00116E1F">
        <w:rPr>
          <w:rFonts w:ascii="Times New Roman" w:hAnsi="Times New Roman" w:cs="Times New Roman"/>
        </w:rPr>
        <w:instrText xml:space="preserve"> SEQ Figure \* ARABIC </w:instrText>
      </w:r>
      <w:r w:rsidR="009A0ED7" w:rsidRPr="00116E1F">
        <w:rPr>
          <w:rFonts w:ascii="Times New Roman" w:hAnsi="Times New Roman" w:cs="Times New Roman"/>
        </w:rPr>
        <w:fldChar w:fldCharType="separate"/>
      </w:r>
      <w:r w:rsidR="009F5483">
        <w:rPr>
          <w:rFonts w:ascii="Times New Roman" w:hAnsi="Times New Roman" w:cs="Times New Roman"/>
          <w:noProof/>
        </w:rPr>
        <w:t>2</w:t>
      </w:r>
      <w:r w:rsidR="009A0ED7" w:rsidRPr="00116E1F">
        <w:rPr>
          <w:rFonts w:ascii="Times New Roman" w:hAnsi="Times New Roman" w:cs="Times New Roman"/>
        </w:rPr>
        <w:fldChar w:fldCharType="end"/>
      </w:r>
      <w:bookmarkEnd w:id="3"/>
      <w:r w:rsidRPr="00116E1F">
        <w:rPr>
          <w:rFonts w:ascii="Times New Roman" w:hAnsi="Times New Roman" w:cs="Times New Roman"/>
        </w:rPr>
        <w:t xml:space="preserve">. </w:t>
      </w:r>
      <w:r w:rsidRPr="00116E1F">
        <w:rPr>
          <w:rFonts w:ascii="Times New Roman" w:eastAsia="Calibri" w:hAnsi="Times New Roman" w:cs="Times New Roman"/>
        </w:rPr>
        <w:t>Types of</w:t>
      </w:r>
      <w:r w:rsidR="00F026DC">
        <w:rPr>
          <w:rFonts w:ascii="Times New Roman" w:eastAsia="Calibri" w:hAnsi="Times New Roman" w:cs="Times New Roman"/>
        </w:rPr>
        <w:t xml:space="preserve"> Material Flow-Related Analysis</w:t>
      </w:r>
      <w:r w:rsidR="001D0C7E" w:rsidRPr="00116E1F">
        <w:rPr>
          <w:rFonts w:ascii="Times New Roman" w:eastAsia="Calibri" w:hAnsi="Times New Roman" w:cs="Times New Roman"/>
        </w:rPr>
        <w:t xml:space="preserve"> </w:t>
      </w:r>
      <w:r w:rsidR="001D0C7E" w:rsidRPr="00116E1F">
        <w:rPr>
          <w:rStyle w:val="ReferenceChar"/>
          <w:noProof/>
          <w:color w:val="auto"/>
        </w:rPr>
        <w:t>(Gregory 2006)</w:t>
      </w:r>
      <w:r w:rsidR="00F026DC">
        <w:rPr>
          <w:rStyle w:val="ReferenceChar"/>
          <w:noProof/>
          <w:color w:val="auto"/>
        </w:rPr>
        <w:t>.</w:t>
      </w:r>
      <w:bookmarkEnd w:id="4"/>
    </w:p>
    <w:p w:rsidR="006624F7" w:rsidRDefault="006624F7" w:rsidP="00DC4727">
      <w:pPr>
        <w:spacing w:after="0" w:line="360" w:lineRule="auto"/>
        <w:ind w:firstLine="720"/>
        <w:jc w:val="both"/>
        <w:rPr>
          <w:rFonts w:ascii="Times New Roman" w:eastAsia="Calibri" w:hAnsi="Times New Roman" w:cs="Times New Roman"/>
        </w:rPr>
      </w:pPr>
    </w:p>
    <w:p w:rsidR="001D0C7E" w:rsidRPr="00116E1F" w:rsidRDefault="001D0C7E" w:rsidP="00DC4727">
      <w:pPr>
        <w:spacing w:after="0" w:line="360" w:lineRule="auto"/>
        <w:ind w:firstLine="720"/>
        <w:jc w:val="both"/>
        <w:rPr>
          <w:rFonts w:ascii="Times New Roman" w:eastAsia="Calibri" w:hAnsi="Times New Roman" w:cs="Times New Roman"/>
        </w:rPr>
      </w:pPr>
      <w:r w:rsidRPr="00116E1F">
        <w:rPr>
          <w:rFonts w:ascii="Times New Roman" w:eastAsia="Calibri" w:hAnsi="Times New Roman" w:cs="Times New Roman"/>
        </w:rPr>
        <w:t xml:space="preserve">Type 1 MFA studies, cover the impacts per unit flow of substances, materials and products within specified industrial firms, regions and sectors. In addition, Type 1 MFAs are also used to evaluate the environmental impact of a product and develop environmental policies. </w:t>
      </w:r>
      <w:r w:rsidR="00BF12A3" w:rsidRPr="00116E1F">
        <w:rPr>
          <w:rFonts w:ascii="Times New Roman" w:eastAsia="Calibri" w:hAnsi="Times New Roman" w:cs="Times New Roman"/>
        </w:rPr>
        <w:t>In contrast</w:t>
      </w:r>
      <w:r w:rsidRPr="00116E1F">
        <w:rPr>
          <w:rFonts w:ascii="Times New Roman" w:eastAsia="Calibri" w:hAnsi="Times New Roman" w:cs="Times New Roman"/>
        </w:rPr>
        <w:t xml:space="preserve"> Type 2 MFAs are used to obtain environmental performance data, develop MFA accounts and statistics and improve sustainability gauges. A summary of both types of MFAs are illustrated by </w:t>
      </w:r>
      <w:r w:rsidR="00A6415F" w:rsidRPr="00116E1F">
        <w:fldChar w:fldCharType="begin"/>
      </w:r>
      <w:r w:rsidR="00A6415F" w:rsidRPr="00116E1F">
        <w:instrText xml:space="preserve"> REF _Ref468391228 \h  \* MERGEFORMAT </w:instrText>
      </w:r>
      <w:r w:rsidR="00A6415F" w:rsidRPr="00116E1F">
        <w:fldChar w:fldCharType="separate"/>
      </w:r>
      <w:r w:rsidR="009F5483" w:rsidRPr="009F5483">
        <w:rPr>
          <w:rStyle w:val="FiguresChar"/>
          <w:color w:val="auto"/>
        </w:rPr>
        <w:t>Figure 2</w:t>
      </w:r>
      <w:r w:rsidR="00A6415F" w:rsidRPr="00116E1F">
        <w:fldChar w:fldCharType="end"/>
      </w:r>
      <w:r w:rsidRPr="00116E1F">
        <w:rPr>
          <w:rFonts w:ascii="Times New Roman" w:eastAsia="Calibri" w:hAnsi="Times New Roman" w:cs="Times New Roman"/>
        </w:rPr>
        <w:t>.</w:t>
      </w:r>
    </w:p>
    <w:p w:rsidR="00DC4727" w:rsidRPr="00116E1F" w:rsidRDefault="001D0C7E" w:rsidP="00DC4727">
      <w:pPr>
        <w:spacing w:after="0" w:line="360" w:lineRule="auto"/>
        <w:ind w:firstLine="720"/>
        <w:jc w:val="both"/>
        <w:rPr>
          <w:rFonts w:ascii="Times New Roman" w:eastAsia="Calibri" w:hAnsi="Times New Roman" w:cs="Times New Roman"/>
        </w:rPr>
      </w:pPr>
      <w:r w:rsidRPr="00116E1F">
        <w:rPr>
          <w:rStyle w:val="ReferenceChar"/>
          <w:color w:val="auto"/>
        </w:rPr>
        <w:t>Despite the different types of MFA</w:t>
      </w:r>
      <w:r w:rsidR="00F026DC">
        <w:rPr>
          <w:rStyle w:val="ReferenceChar"/>
          <w:color w:val="auto"/>
        </w:rPr>
        <w:t>s, the principle behind their</w:t>
      </w:r>
      <w:r w:rsidR="009F423C" w:rsidRPr="00116E1F">
        <w:rPr>
          <w:rStyle w:val="ReferenceChar"/>
          <w:color w:val="auto"/>
        </w:rPr>
        <w:t xml:space="preserve"> creation and use remains the same. </w:t>
      </w:r>
      <w:r w:rsidR="009F423C" w:rsidRPr="00116E1F">
        <w:rPr>
          <w:rFonts w:ascii="Times New Roman" w:eastAsia="Calibri" w:hAnsi="Times New Roman" w:cs="Times New Roman"/>
        </w:rPr>
        <w:t>In addition to providing accurate and descriptive data pertaining to the material flows and stocks of the system, visual representation of MFAs allows the following:</w:t>
      </w:r>
    </w:p>
    <w:p w:rsidR="009F423C" w:rsidRPr="00116E1F" w:rsidRDefault="009F423C" w:rsidP="009F423C">
      <w:pPr>
        <w:spacing w:after="0" w:line="360" w:lineRule="auto"/>
        <w:jc w:val="both"/>
        <w:rPr>
          <w:rFonts w:ascii="Times New Roman" w:eastAsia="Calibri" w:hAnsi="Times New Roman" w:cs="Times New Roman"/>
        </w:rPr>
      </w:pPr>
      <w:r w:rsidRPr="00116E1F">
        <w:rPr>
          <w:rFonts w:ascii="Times New Roman" w:eastAsia="Calibri" w:hAnsi="Times New Roman" w:cs="Times New Roman"/>
        </w:rPr>
        <w:t>1.</w:t>
      </w:r>
      <w:r w:rsidRPr="00116E1F">
        <w:rPr>
          <w:rFonts w:ascii="Times New Roman" w:eastAsia="Calibri" w:hAnsi="Times New Roman" w:cs="Times New Roman"/>
        </w:rPr>
        <w:tab/>
        <w:t>To track the flow of materials through a process, organisation or country.</w:t>
      </w:r>
    </w:p>
    <w:p w:rsidR="009F423C" w:rsidRPr="00116E1F" w:rsidRDefault="009F423C" w:rsidP="009F423C">
      <w:pPr>
        <w:spacing w:after="0" w:line="360" w:lineRule="auto"/>
        <w:jc w:val="both"/>
        <w:rPr>
          <w:rFonts w:ascii="Times New Roman" w:eastAsia="Calibri" w:hAnsi="Times New Roman" w:cs="Times New Roman"/>
        </w:rPr>
      </w:pPr>
      <w:r w:rsidRPr="00116E1F">
        <w:rPr>
          <w:rFonts w:ascii="Times New Roman" w:eastAsia="Calibri" w:hAnsi="Times New Roman" w:cs="Times New Roman"/>
        </w:rPr>
        <w:t>2.</w:t>
      </w:r>
      <w:r w:rsidRPr="00116E1F">
        <w:rPr>
          <w:rFonts w:ascii="Times New Roman" w:eastAsia="Calibri" w:hAnsi="Times New Roman" w:cs="Times New Roman"/>
        </w:rPr>
        <w:tab/>
        <w:t>Identify hotspots in a process.</w:t>
      </w:r>
    </w:p>
    <w:p w:rsidR="009F423C" w:rsidRPr="00116E1F" w:rsidRDefault="009F423C" w:rsidP="009F423C">
      <w:pPr>
        <w:spacing w:after="0" w:line="360" w:lineRule="auto"/>
        <w:jc w:val="both"/>
        <w:rPr>
          <w:rFonts w:ascii="Times New Roman" w:eastAsia="Calibri" w:hAnsi="Times New Roman" w:cs="Times New Roman"/>
        </w:rPr>
      </w:pPr>
      <w:r w:rsidRPr="00116E1F">
        <w:rPr>
          <w:rFonts w:ascii="Times New Roman" w:eastAsia="Calibri" w:hAnsi="Times New Roman" w:cs="Times New Roman"/>
        </w:rPr>
        <w:t>3.</w:t>
      </w:r>
      <w:r w:rsidRPr="00116E1F">
        <w:rPr>
          <w:rFonts w:ascii="Times New Roman" w:eastAsia="Calibri" w:hAnsi="Times New Roman" w:cs="Times New Roman"/>
        </w:rPr>
        <w:tab/>
        <w:t>Retrace loss of material along with waste and where it is generated.</w:t>
      </w:r>
    </w:p>
    <w:p w:rsidR="009F423C" w:rsidRPr="00116E1F" w:rsidRDefault="009F423C" w:rsidP="009F423C">
      <w:pPr>
        <w:spacing w:after="0" w:line="360" w:lineRule="auto"/>
        <w:jc w:val="both"/>
        <w:rPr>
          <w:rFonts w:ascii="Times New Roman" w:eastAsia="Calibri" w:hAnsi="Times New Roman" w:cs="Times New Roman"/>
        </w:rPr>
      </w:pPr>
      <w:r w:rsidRPr="00116E1F">
        <w:rPr>
          <w:rFonts w:ascii="Times New Roman" w:eastAsia="Calibri" w:hAnsi="Times New Roman" w:cs="Times New Roman"/>
        </w:rPr>
        <w:t>4.</w:t>
      </w:r>
      <w:r w:rsidRPr="00116E1F">
        <w:rPr>
          <w:rFonts w:ascii="Times New Roman" w:eastAsia="Calibri" w:hAnsi="Times New Roman" w:cs="Times New Roman"/>
        </w:rPr>
        <w:tab/>
        <w:t>Make strategic decisions based on data.</w:t>
      </w:r>
    </w:p>
    <w:p w:rsidR="00DC4727" w:rsidRPr="00116E1F" w:rsidRDefault="009F423C" w:rsidP="00DC4727">
      <w:pPr>
        <w:spacing w:after="0" w:line="360" w:lineRule="auto"/>
        <w:jc w:val="both"/>
        <w:rPr>
          <w:rFonts w:ascii="Times New Roman" w:eastAsia="Calibri" w:hAnsi="Times New Roman" w:cs="Times New Roman"/>
        </w:rPr>
      </w:pPr>
      <w:r w:rsidRPr="00116E1F">
        <w:rPr>
          <w:rFonts w:ascii="Times New Roman" w:eastAsia="Calibri" w:hAnsi="Times New Roman" w:cs="Times New Roman"/>
        </w:rPr>
        <w:t>5.</w:t>
      </w:r>
      <w:r w:rsidRPr="00116E1F">
        <w:rPr>
          <w:rFonts w:ascii="Times New Roman" w:eastAsia="Calibri" w:hAnsi="Times New Roman" w:cs="Times New Roman"/>
        </w:rPr>
        <w:tab/>
        <w:t>Implement measures to minimise waste and emissions as well as to recov</w:t>
      </w:r>
      <w:r w:rsidR="00DC4727" w:rsidRPr="00116E1F">
        <w:rPr>
          <w:rFonts w:ascii="Times New Roman" w:eastAsia="Calibri" w:hAnsi="Times New Roman" w:cs="Times New Roman"/>
        </w:rPr>
        <w:t xml:space="preserve">er key materials. </w:t>
      </w:r>
    </w:p>
    <w:p w:rsidR="00DC4727" w:rsidRPr="00116E1F" w:rsidRDefault="00DC4727" w:rsidP="00DC4727">
      <w:pPr>
        <w:spacing w:after="0" w:line="360" w:lineRule="auto"/>
        <w:jc w:val="both"/>
        <w:rPr>
          <w:rStyle w:val="ReferenceChar"/>
          <w:rFonts w:cs="Times New Roman"/>
          <w:color w:val="auto"/>
        </w:rPr>
      </w:pPr>
    </w:p>
    <w:p w:rsidR="009F423C" w:rsidRPr="00116E1F" w:rsidRDefault="009F423C" w:rsidP="00DC4727">
      <w:pPr>
        <w:spacing w:after="0" w:line="360" w:lineRule="auto"/>
        <w:ind w:firstLine="720"/>
        <w:jc w:val="both"/>
        <w:rPr>
          <w:rStyle w:val="ReferenceChar"/>
          <w:color w:val="auto"/>
        </w:rPr>
      </w:pPr>
      <w:r w:rsidRPr="00116E1F">
        <w:rPr>
          <w:rStyle w:val="ReferenceChar"/>
          <w:color w:val="auto"/>
        </w:rPr>
        <w:lastRenderedPageBreak/>
        <w:t>It is the ability to quickly identify potential areas of opportunities and threats that make the use of MFAs so advantageous. Neverthel</w:t>
      </w:r>
      <w:r w:rsidR="00DC4727" w:rsidRPr="00116E1F">
        <w:rPr>
          <w:rStyle w:val="ReferenceChar"/>
          <w:color w:val="auto"/>
        </w:rPr>
        <w:t>e</w:t>
      </w:r>
      <w:r w:rsidRPr="00116E1F">
        <w:rPr>
          <w:rStyle w:val="ReferenceChar"/>
          <w:color w:val="auto"/>
        </w:rPr>
        <w:t xml:space="preserve">ss MFA studies are </w:t>
      </w:r>
      <w:r w:rsidR="00DC4727" w:rsidRPr="00116E1F">
        <w:rPr>
          <w:rFonts w:ascii="Times New Roman" w:eastAsia="Calibri" w:hAnsi="Times New Roman" w:cs="Times New Roman"/>
        </w:rPr>
        <w:t>regularly confused with substance flow analysis (SFA) and LCAs as being one and the same.</w:t>
      </w:r>
      <w:r w:rsidR="00DC4727" w:rsidRPr="00116E1F">
        <w:rPr>
          <w:rStyle w:val="ReferenceChar"/>
          <w:color w:val="auto"/>
        </w:rPr>
        <w:t xml:space="preserve"> </w:t>
      </w:r>
      <w:r w:rsidRPr="00116E1F">
        <w:rPr>
          <w:rFonts w:ascii="Times New Roman" w:eastAsia="Calibri" w:hAnsi="Times New Roman" w:cs="Times New Roman"/>
        </w:rPr>
        <w:t>MFAs differ to SFAs in that MFA studies relate to a group of substances and products, such as plastics, whereas SFAs relate to a single type of matter, such as CO</w:t>
      </w:r>
      <w:r w:rsidRPr="00116E1F">
        <w:rPr>
          <w:rFonts w:ascii="Times New Roman" w:eastAsia="Calibri" w:hAnsi="Times New Roman" w:cs="Times New Roman"/>
          <w:vertAlign w:val="subscript"/>
        </w:rPr>
        <w:t>2</w:t>
      </w:r>
      <w:r w:rsidRPr="00116E1F">
        <w:rPr>
          <w:rFonts w:ascii="Times New Roman" w:eastAsia="Calibri" w:hAnsi="Times New Roman" w:cs="Times New Roman"/>
        </w:rPr>
        <w:t>. On the other hand, MFAs differ to LCAs in two aspects, firstly MFA studies focus on manageability and transparency for a limited system size. Whereas LCA studies strive for completeness and a holistic approach to the life cycle of a product or process. Secondly, the results of MFA studies can be used to establish a materials inven</w:t>
      </w:r>
      <w:r w:rsidR="00DC4727" w:rsidRPr="00116E1F">
        <w:rPr>
          <w:rFonts w:ascii="Times New Roman" w:eastAsia="Calibri" w:hAnsi="Times New Roman" w:cs="Times New Roman"/>
        </w:rPr>
        <w:t>tory for a life cycle analysis</w:t>
      </w:r>
      <w:r w:rsidR="00D750AF" w:rsidRPr="00116E1F">
        <w:rPr>
          <w:rFonts w:ascii="Times New Roman" w:eastAsia="Calibri" w:hAnsi="Times New Roman" w:cs="Times New Roman"/>
        </w:rPr>
        <w:t>.</w:t>
      </w:r>
      <w:r w:rsidR="00DC4727" w:rsidRPr="00116E1F">
        <w:rPr>
          <w:rFonts w:ascii="Times New Roman" w:eastAsia="Calibri" w:hAnsi="Times New Roman" w:cs="Times New Roman"/>
        </w:rPr>
        <w:t xml:space="preserve"> </w:t>
      </w:r>
      <w:r w:rsidR="00DC4727" w:rsidRPr="00116E1F">
        <w:rPr>
          <w:rStyle w:val="ReferenceChar"/>
          <w:noProof/>
          <w:color w:val="auto"/>
        </w:rPr>
        <w:t>(Gregory 2006)</w:t>
      </w:r>
      <w:r w:rsidR="00DC4727" w:rsidRPr="00116E1F">
        <w:rPr>
          <w:rStyle w:val="ReferenceChar"/>
          <w:color w:val="auto"/>
        </w:rPr>
        <w:t xml:space="preserve"> However LCAs will be discussed in detail in the following section.</w:t>
      </w:r>
    </w:p>
    <w:p w:rsidR="003B2D14" w:rsidRDefault="00DC4727" w:rsidP="00A064C3">
      <w:pPr>
        <w:spacing w:after="0" w:line="360" w:lineRule="auto"/>
        <w:ind w:firstLine="720"/>
        <w:jc w:val="both"/>
        <w:rPr>
          <w:rStyle w:val="ReferenceChar"/>
          <w:color w:val="auto"/>
        </w:rPr>
      </w:pPr>
      <w:r w:rsidRPr="00116E1F">
        <w:rPr>
          <w:rStyle w:val="ReferenceChar"/>
          <w:color w:val="auto"/>
        </w:rPr>
        <w:t>To conclude MFA studies have been around for several decades, but it is only recently in the last 15 years or so, where it has become a significant technique from which materials, products and substances can be analysed.</w:t>
      </w: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Default="006624F7" w:rsidP="00A064C3">
      <w:pPr>
        <w:spacing w:after="0" w:line="360" w:lineRule="auto"/>
        <w:ind w:firstLine="720"/>
        <w:jc w:val="both"/>
        <w:rPr>
          <w:rStyle w:val="ReferenceChar"/>
          <w:color w:val="auto"/>
        </w:rPr>
      </w:pPr>
    </w:p>
    <w:p w:rsidR="006624F7" w:rsidRPr="00116E1F" w:rsidRDefault="006624F7" w:rsidP="006624F7">
      <w:pPr>
        <w:spacing w:after="0" w:line="360" w:lineRule="auto"/>
        <w:jc w:val="both"/>
        <w:rPr>
          <w:rFonts w:ascii="Times New Roman" w:eastAsia="Calibri" w:hAnsi="Times New Roman"/>
        </w:rPr>
      </w:pPr>
    </w:p>
    <w:p w:rsidR="00300C7C" w:rsidRPr="005B3139" w:rsidRDefault="00300C7C" w:rsidP="00300C7C">
      <w:pPr>
        <w:pStyle w:val="Heading2"/>
        <w:rPr>
          <w:rFonts w:eastAsia="Calibri Light"/>
        </w:rPr>
      </w:pPr>
      <w:r>
        <w:rPr>
          <w:rFonts w:eastAsia="Calibri Light"/>
        </w:rPr>
        <w:lastRenderedPageBreak/>
        <w:t>2</w:t>
      </w:r>
      <w:r w:rsidRPr="005B3139">
        <w:rPr>
          <w:rFonts w:eastAsia="Calibri Light"/>
        </w:rPr>
        <w:t>.2 The Concept of Life Cycle Assessment</w:t>
      </w:r>
      <w:r w:rsidR="001C044A">
        <w:rPr>
          <w:rFonts w:eastAsia="Calibri Light"/>
        </w:rPr>
        <w:t xml:space="preserve"> (LCA)</w:t>
      </w:r>
      <w:r w:rsidR="00116E1F">
        <w:rPr>
          <w:rFonts w:eastAsia="Calibri Light"/>
        </w:rPr>
        <w:t xml:space="preserve"> </w:t>
      </w:r>
    </w:p>
    <w:p w:rsidR="00D750AF" w:rsidRPr="00116E1F" w:rsidRDefault="00300C7C" w:rsidP="00D750AF">
      <w:pPr>
        <w:spacing w:after="0" w:line="360" w:lineRule="auto"/>
        <w:ind w:firstLine="720"/>
        <w:jc w:val="both"/>
        <w:rPr>
          <w:rFonts w:ascii="Times New Roman" w:eastAsia="Calibri" w:hAnsi="Times New Roman" w:cs="Times New Roman"/>
        </w:rPr>
      </w:pPr>
      <w:r w:rsidRPr="00116E1F">
        <w:rPr>
          <w:rFonts w:ascii="Times New Roman" w:eastAsia="Calibri" w:hAnsi="Times New Roman" w:cs="Times New Roman"/>
        </w:rPr>
        <w:t>The conveniences of modern life have led to the realisation that consumer behaviour and product design can affect the efficiency and environmental performance of a product. As a consequence, companies no longer focus on a single criteria, but all aspects of a product from mining, manufacturi</w:t>
      </w:r>
      <w:r w:rsidR="001C044A" w:rsidRPr="00116E1F">
        <w:rPr>
          <w:rFonts w:ascii="Times New Roman" w:eastAsia="Calibri" w:hAnsi="Times New Roman" w:cs="Times New Roman"/>
        </w:rPr>
        <w:t>ng, utilisation and end of life</w:t>
      </w:r>
      <w:r w:rsidR="00F026DC">
        <w:rPr>
          <w:rFonts w:ascii="Times New Roman" w:eastAsia="Calibri" w:hAnsi="Times New Roman" w:cs="Times New Roman"/>
        </w:rPr>
        <w:t xml:space="preserve"> </w:t>
      </w:r>
      <w:r w:rsidR="001C044A" w:rsidRPr="00116E1F">
        <w:rPr>
          <w:rStyle w:val="ReferenceChar"/>
          <w:noProof/>
          <w:color w:val="auto"/>
        </w:rPr>
        <w:t>(World Steel Association 2010)</w:t>
      </w:r>
      <w:r w:rsidR="00F026DC">
        <w:rPr>
          <w:rStyle w:val="ReferenceChar"/>
          <w:noProof/>
          <w:color w:val="auto"/>
        </w:rPr>
        <w:t>.</w:t>
      </w:r>
    </w:p>
    <w:p w:rsidR="00A845EF" w:rsidRPr="00116E1F" w:rsidRDefault="00BF12A3" w:rsidP="00A845EF">
      <w:pPr>
        <w:spacing w:after="0" w:line="360" w:lineRule="auto"/>
        <w:ind w:firstLine="720"/>
        <w:jc w:val="both"/>
        <w:rPr>
          <w:rFonts w:ascii="Times New Roman" w:eastAsia="Calibri" w:hAnsi="Times New Roman" w:cs="Times New Roman"/>
        </w:rPr>
      </w:pPr>
      <w:r w:rsidRPr="00116E1F">
        <w:rPr>
          <w:rFonts w:ascii="Times New Roman" w:eastAsia="Calibri" w:hAnsi="Times New Roman" w:cs="Times New Roman"/>
        </w:rPr>
        <w:t xml:space="preserve">LCA </w:t>
      </w:r>
      <w:r w:rsidR="00300C7C" w:rsidRPr="00116E1F">
        <w:rPr>
          <w:rFonts w:ascii="Times New Roman" w:eastAsia="Calibri" w:hAnsi="Times New Roman" w:cs="Times New Roman"/>
        </w:rPr>
        <w:t>has become an accepted tool to evaluate the economic, social but particularly environmental performance of consumer products and materials. LCA provides an all-inclusive approach that considers the pote</w:t>
      </w:r>
      <w:r w:rsidR="00D750AF" w:rsidRPr="00116E1F">
        <w:rPr>
          <w:rFonts w:ascii="Times New Roman" w:eastAsia="Calibri" w:hAnsi="Times New Roman" w:cs="Times New Roman"/>
        </w:rPr>
        <w:t>ntial impacts from all stages namely: extraction, processing, use</w:t>
      </w:r>
      <w:r w:rsidR="00300C7C" w:rsidRPr="00116E1F">
        <w:rPr>
          <w:rFonts w:ascii="Times New Roman" w:eastAsia="Calibri" w:hAnsi="Times New Roman" w:cs="Times New Roman"/>
        </w:rPr>
        <w:t xml:space="preserve"> an</w:t>
      </w:r>
      <w:r w:rsidR="00D750AF" w:rsidRPr="00116E1F">
        <w:rPr>
          <w:rFonts w:ascii="Times New Roman" w:eastAsia="Calibri" w:hAnsi="Times New Roman" w:cs="Times New Roman"/>
        </w:rPr>
        <w:t>d end of life. This method is called the ‘cradle to grave’ approach with other variants including,</w:t>
      </w:r>
      <w:r w:rsidR="00300C7C" w:rsidRPr="00116E1F">
        <w:rPr>
          <w:rFonts w:ascii="Times New Roman" w:eastAsia="Calibri" w:hAnsi="Times New Roman" w:cs="Times New Roman"/>
        </w:rPr>
        <w:t xml:space="preserve"> cradle to gate, cradle to cradle, gate to gate and wheel to wheel. Use of such an approach can provide answers to current concerns of the public such as </w:t>
      </w:r>
      <w:r w:rsidR="00F026DC">
        <w:rPr>
          <w:rFonts w:ascii="Times New Roman" w:eastAsia="Calibri" w:hAnsi="Times New Roman" w:cs="Times New Roman"/>
        </w:rPr>
        <w:t xml:space="preserve">global warming </w:t>
      </w:r>
      <w:r w:rsidR="00D750AF" w:rsidRPr="00116E1F">
        <w:rPr>
          <w:rStyle w:val="ReferenceChar"/>
          <w:noProof/>
          <w:color w:val="auto"/>
        </w:rPr>
        <w:t>(World Steel Association 2010)</w:t>
      </w:r>
      <w:r w:rsidR="00F026DC">
        <w:rPr>
          <w:rStyle w:val="ReferenceChar"/>
          <w:noProof/>
          <w:color w:val="auto"/>
        </w:rPr>
        <w:t>.</w:t>
      </w:r>
    </w:p>
    <w:p w:rsidR="00954DB5" w:rsidRPr="00116E1F" w:rsidRDefault="00300C7C" w:rsidP="00954DB5">
      <w:pPr>
        <w:spacing w:after="0" w:line="360" w:lineRule="auto"/>
        <w:ind w:firstLine="720"/>
        <w:jc w:val="both"/>
        <w:rPr>
          <w:rStyle w:val="ReferenceChar"/>
          <w:color w:val="auto"/>
        </w:rPr>
      </w:pPr>
      <w:r w:rsidRPr="00116E1F">
        <w:rPr>
          <w:rFonts w:ascii="Times New Roman" w:eastAsia="Calibri" w:hAnsi="Times New Roman" w:cs="Times New Roman"/>
        </w:rPr>
        <w:t>The origins of LCA can be traced back to two distinguishing time pe</w:t>
      </w:r>
      <w:r w:rsidR="00A845EF" w:rsidRPr="00116E1F">
        <w:rPr>
          <w:rFonts w:ascii="Times New Roman" w:eastAsia="Calibri" w:hAnsi="Times New Roman" w:cs="Times New Roman"/>
        </w:rPr>
        <w:t>riods: firstly the time between 1970 and 1990 then secondly the time between</w:t>
      </w:r>
      <w:r w:rsidRPr="00116E1F">
        <w:rPr>
          <w:rFonts w:ascii="Times New Roman" w:eastAsia="Calibri" w:hAnsi="Times New Roman" w:cs="Times New Roman"/>
        </w:rPr>
        <w:t xml:space="preserve"> 1990</w:t>
      </w:r>
      <w:r w:rsidR="00A845EF" w:rsidRPr="00116E1F">
        <w:rPr>
          <w:rFonts w:ascii="Times New Roman" w:eastAsia="Calibri" w:hAnsi="Times New Roman" w:cs="Times New Roman"/>
        </w:rPr>
        <w:t xml:space="preserve"> and </w:t>
      </w:r>
      <w:r w:rsidRPr="00116E1F">
        <w:rPr>
          <w:rFonts w:ascii="Times New Roman" w:eastAsia="Calibri" w:hAnsi="Times New Roman" w:cs="Times New Roman"/>
        </w:rPr>
        <w:t xml:space="preserve">2000. </w:t>
      </w:r>
      <w:r w:rsidR="00A845EF" w:rsidRPr="00116E1F">
        <w:rPr>
          <w:rFonts w:ascii="Times New Roman" w:eastAsia="Calibri" w:hAnsi="Times New Roman" w:cs="Times New Roman"/>
        </w:rPr>
        <w:t>In the first time period, also known as, ‘The decade of conception’</w:t>
      </w:r>
      <w:r w:rsidR="004C4902" w:rsidRPr="00116E1F">
        <w:rPr>
          <w:rFonts w:ascii="Times New Roman" w:eastAsia="Calibri" w:hAnsi="Times New Roman" w:cs="Times New Roman"/>
        </w:rPr>
        <w:t>,</w:t>
      </w:r>
      <w:r w:rsidR="00A845EF" w:rsidRPr="00116E1F">
        <w:rPr>
          <w:rFonts w:ascii="Times New Roman" w:eastAsia="Calibri" w:hAnsi="Times New Roman" w:cs="Times New Roman"/>
        </w:rPr>
        <w:t xml:space="preserve"> (1970-1990), the first studies, now recognised as (partial) LCAs, were developed from the late 1960s to early 1970s. These initial studies were limited to energy analyses but subsequently broadened later on with the addition of environmental criteria such as amount of emissions, generated waste and resource requirements. One of the first such projects, although not labelled as an LCA, involved C</w:t>
      </w:r>
      <w:r w:rsidR="00F026DC">
        <w:rPr>
          <w:rFonts w:ascii="Times New Roman" w:eastAsia="Calibri" w:hAnsi="Times New Roman" w:cs="Times New Roman"/>
        </w:rPr>
        <w:t>oca-Cola products in 1969</w:t>
      </w:r>
      <w:r w:rsidR="00A845EF" w:rsidRPr="00116E1F">
        <w:rPr>
          <w:rFonts w:ascii="Times New Roman" w:eastAsia="Calibri" w:hAnsi="Times New Roman" w:cs="Times New Roman"/>
        </w:rPr>
        <w:t xml:space="preserve"> </w:t>
      </w:r>
      <w:r w:rsidR="00A845EF" w:rsidRPr="00116E1F">
        <w:rPr>
          <w:rStyle w:val="ReferenceChar"/>
          <w:noProof/>
          <w:color w:val="auto"/>
        </w:rPr>
        <w:t>(</w:t>
      </w:r>
      <w:r w:rsidR="008F33D7" w:rsidRPr="00116E1F">
        <w:rPr>
          <w:rStyle w:val="ReferenceChar"/>
          <w:noProof/>
          <w:color w:val="auto"/>
        </w:rPr>
        <w:t>Guinee et al.</w:t>
      </w:r>
      <w:r w:rsidR="006964F4" w:rsidRPr="00116E1F">
        <w:rPr>
          <w:rStyle w:val="ReferenceChar"/>
          <w:noProof/>
          <w:color w:val="auto"/>
        </w:rPr>
        <w:t>,</w:t>
      </w:r>
      <w:r w:rsidR="008F33D7" w:rsidRPr="00116E1F">
        <w:rPr>
          <w:rStyle w:val="ReferenceChar"/>
          <w:noProof/>
          <w:color w:val="auto"/>
        </w:rPr>
        <w:t xml:space="preserve"> 2010</w:t>
      </w:r>
      <w:r w:rsidR="00A845EF" w:rsidRPr="00116E1F">
        <w:rPr>
          <w:rStyle w:val="ReferenceChar"/>
          <w:noProof/>
          <w:color w:val="auto"/>
        </w:rPr>
        <w:t>)</w:t>
      </w:r>
      <w:r w:rsidR="00F026DC">
        <w:rPr>
          <w:rStyle w:val="ReferenceChar"/>
          <w:noProof/>
          <w:color w:val="auto"/>
        </w:rPr>
        <w:t>.</w:t>
      </w:r>
    </w:p>
    <w:p w:rsidR="004C4902" w:rsidRPr="00116E1F" w:rsidRDefault="00A845EF" w:rsidP="004C4902">
      <w:pPr>
        <w:spacing w:after="0" w:line="360" w:lineRule="auto"/>
        <w:ind w:firstLine="720"/>
        <w:jc w:val="both"/>
        <w:rPr>
          <w:rStyle w:val="ReferenceChar"/>
          <w:color w:val="auto"/>
        </w:rPr>
      </w:pPr>
      <w:r w:rsidRPr="00116E1F">
        <w:rPr>
          <w:rFonts w:ascii="Times New Roman" w:eastAsia="Calibri" w:hAnsi="Times New Roman" w:cs="Times New Roman"/>
        </w:rPr>
        <w:t>Conducted by the Midwest Research Institute (MRI), the ‘Coca-Cola study’ investigated emissions, resources required and waste flows for a number o</w:t>
      </w:r>
      <w:r w:rsidR="00F026DC">
        <w:rPr>
          <w:rFonts w:ascii="Times New Roman" w:eastAsia="Calibri" w:hAnsi="Times New Roman" w:cs="Times New Roman"/>
        </w:rPr>
        <w:t>f different beverage containers</w:t>
      </w:r>
      <w:r w:rsidR="008162D0" w:rsidRPr="00116E1F">
        <w:rPr>
          <w:rFonts w:ascii="Times New Roman" w:eastAsia="Calibri" w:hAnsi="Times New Roman" w:cs="Times New Roman"/>
        </w:rPr>
        <w:t xml:space="preserve"> (Hunt, 1974)</w:t>
      </w:r>
      <w:r w:rsidR="00F026DC">
        <w:rPr>
          <w:rFonts w:ascii="Times New Roman" w:eastAsia="Calibri" w:hAnsi="Times New Roman" w:cs="Times New Roman"/>
        </w:rPr>
        <w:t>. Unfortunately</w:t>
      </w:r>
      <w:r w:rsidRPr="00116E1F">
        <w:rPr>
          <w:rFonts w:ascii="Times New Roman" w:eastAsia="Calibri" w:hAnsi="Times New Roman" w:cs="Times New Roman"/>
        </w:rPr>
        <w:t xml:space="preserve"> the findings of the study were not published. Even so, this marked the beginning of the development of LCA and a number of follow up studies were conducted by the U.S. Environmental Protection Agency (EPA) </w:t>
      </w:r>
      <w:r w:rsidR="00954DB5" w:rsidRPr="00116E1F">
        <w:rPr>
          <w:rStyle w:val="ReferenceChar"/>
          <w:noProof/>
          <w:color w:val="auto"/>
        </w:rPr>
        <w:t>(United States EPA</w:t>
      </w:r>
      <w:r w:rsidR="006964F4" w:rsidRPr="00116E1F">
        <w:rPr>
          <w:rStyle w:val="ReferenceChar"/>
          <w:noProof/>
          <w:color w:val="auto"/>
        </w:rPr>
        <w:t>,</w:t>
      </w:r>
      <w:r w:rsidR="00954DB5" w:rsidRPr="00116E1F">
        <w:rPr>
          <w:rStyle w:val="ReferenceChar"/>
          <w:noProof/>
          <w:color w:val="auto"/>
        </w:rPr>
        <w:t xml:space="preserve"> 1974)</w:t>
      </w:r>
      <w:r w:rsidRPr="00116E1F">
        <w:rPr>
          <w:rFonts w:ascii="Times New Roman" w:eastAsia="Calibri" w:hAnsi="Times New Roman" w:cs="Times New Roman"/>
        </w:rPr>
        <w:t xml:space="preserve"> and in Switzerland by </w:t>
      </w:r>
      <w:r w:rsidRPr="00116E1F">
        <w:rPr>
          <w:rStyle w:val="ReferenceChar"/>
          <w:noProof/>
          <w:color w:val="auto"/>
        </w:rPr>
        <w:t>(Hofman</w:t>
      </w:r>
      <w:r w:rsidR="00EF5C49" w:rsidRPr="00116E1F">
        <w:rPr>
          <w:rStyle w:val="ReferenceChar"/>
          <w:noProof/>
          <w:color w:val="auto"/>
        </w:rPr>
        <w:t xml:space="preserve"> &amp; Basler</w:t>
      </w:r>
      <w:r w:rsidR="006964F4" w:rsidRPr="00116E1F">
        <w:rPr>
          <w:rStyle w:val="ReferenceChar"/>
          <w:noProof/>
          <w:color w:val="auto"/>
        </w:rPr>
        <w:t>,</w:t>
      </w:r>
      <w:r w:rsidRPr="00116E1F">
        <w:rPr>
          <w:rStyle w:val="ReferenceChar"/>
          <w:noProof/>
          <w:color w:val="auto"/>
        </w:rPr>
        <w:t xml:space="preserve"> 1974)</w:t>
      </w:r>
      <w:r w:rsidR="00F026DC">
        <w:rPr>
          <w:rFonts w:ascii="Times New Roman" w:eastAsia="Calibri" w:hAnsi="Times New Roman" w:cs="Times New Roman"/>
        </w:rPr>
        <w:t xml:space="preserve"> </w:t>
      </w:r>
      <w:r w:rsidR="008F33D7" w:rsidRPr="00116E1F">
        <w:rPr>
          <w:rStyle w:val="ReferenceChar"/>
          <w:noProof/>
          <w:color w:val="auto"/>
        </w:rPr>
        <w:t>(Guinee</w:t>
      </w:r>
      <w:r w:rsidRPr="00116E1F">
        <w:rPr>
          <w:rStyle w:val="ReferenceChar"/>
          <w:noProof/>
          <w:color w:val="auto"/>
        </w:rPr>
        <w:t xml:space="preserve"> et al.</w:t>
      </w:r>
      <w:r w:rsidR="006964F4" w:rsidRPr="00116E1F">
        <w:rPr>
          <w:rStyle w:val="ReferenceChar"/>
          <w:noProof/>
          <w:color w:val="auto"/>
        </w:rPr>
        <w:t>, 2010</w:t>
      </w:r>
      <w:r w:rsidRPr="00116E1F">
        <w:rPr>
          <w:rStyle w:val="ReferenceChar"/>
          <w:noProof/>
          <w:color w:val="auto"/>
        </w:rPr>
        <w:t>)</w:t>
      </w:r>
      <w:r w:rsidR="00F026DC">
        <w:rPr>
          <w:rStyle w:val="ReferenceChar"/>
          <w:color w:val="auto"/>
        </w:rPr>
        <w:t>.</w:t>
      </w:r>
    </w:p>
    <w:p w:rsidR="00300C7C" w:rsidRPr="00116E1F" w:rsidRDefault="004C4902" w:rsidP="004C4902">
      <w:pPr>
        <w:spacing w:after="0" w:line="360" w:lineRule="auto"/>
        <w:ind w:firstLine="720"/>
        <w:jc w:val="both"/>
        <w:rPr>
          <w:rFonts w:ascii="Times New Roman" w:eastAsia="Calibri" w:hAnsi="Times New Roman"/>
        </w:rPr>
      </w:pPr>
      <w:r w:rsidRPr="00116E1F">
        <w:rPr>
          <w:rFonts w:ascii="Times New Roman" w:eastAsia="Calibri" w:hAnsi="Times New Roman" w:cs="Times New Roman"/>
        </w:rPr>
        <w:t>Still,</w:t>
      </w:r>
      <w:r w:rsidR="00300C7C" w:rsidRPr="00116E1F">
        <w:rPr>
          <w:rFonts w:ascii="Times New Roman" w:eastAsia="Calibri" w:hAnsi="Times New Roman" w:cs="Times New Roman"/>
        </w:rPr>
        <w:t xml:space="preserve"> after a brief period of reduced public interest, in 1984, a report published by the Swiss Federal Laboratories for Materials Testing and Research (EMPA) re-invigorated public interest. The report highlighted what data inventory was required in order to conduct LCA studies, thus leading to broader applications of LCA. Through application of an impact assessment method, it was also able to characterise emissions into so called airborne and waterborne emissions. </w:t>
      </w:r>
      <w:r w:rsidR="008F33D7" w:rsidRPr="00116E1F">
        <w:rPr>
          <w:rStyle w:val="ReferenceChar"/>
          <w:noProof/>
          <w:color w:val="auto"/>
        </w:rPr>
        <w:t>(Guinee</w:t>
      </w:r>
      <w:r w:rsidRPr="00116E1F">
        <w:rPr>
          <w:rStyle w:val="ReferenceChar"/>
          <w:noProof/>
          <w:color w:val="auto"/>
        </w:rPr>
        <w:t xml:space="preserve"> et al.</w:t>
      </w:r>
      <w:r w:rsidR="006964F4" w:rsidRPr="00116E1F">
        <w:rPr>
          <w:rStyle w:val="ReferenceChar"/>
          <w:noProof/>
          <w:color w:val="auto"/>
        </w:rPr>
        <w:t>, 2010</w:t>
      </w:r>
      <w:r w:rsidRPr="00116E1F">
        <w:rPr>
          <w:rStyle w:val="ReferenceChar"/>
          <w:noProof/>
          <w:color w:val="auto"/>
        </w:rPr>
        <w:t>)</w:t>
      </w:r>
    </w:p>
    <w:p w:rsidR="00946348" w:rsidRPr="00116E1F" w:rsidRDefault="004C4902" w:rsidP="00946348">
      <w:pPr>
        <w:spacing w:after="0" w:line="360" w:lineRule="auto"/>
        <w:ind w:firstLine="720"/>
        <w:jc w:val="both"/>
        <w:rPr>
          <w:rFonts w:ascii="Times New Roman" w:eastAsia="Calibri" w:hAnsi="Times New Roman" w:cs="Times New Roman"/>
        </w:rPr>
      </w:pPr>
      <w:r w:rsidRPr="00116E1F">
        <w:rPr>
          <w:rFonts w:ascii="Times New Roman" w:eastAsia="Calibri" w:hAnsi="Times New Roman" w:cs="Times New Roman"/>
        </w:rPr>
        <w:t>In the second time period, also known as, ‘The decade of standardisation’, (1990-2000), remarkable growth of the LCA area was witnessed. Beginning in 1991, at a conference organised by Society of Environmental Toxicology and Chemistry (SETAC)</w:t>
      </w:r>
      <w:r w:rsidR="00946348" w:rsidRPr="00116E1F">
        <w:rPr>
          <w:rFonts w:ascii="Times New Roman" w:eastAsia="Calibri" w:hAnsi="Times New Roman" w:cs="Times New Roman"/>
        </w:rPr>
        <w:t>, it was agreed that the appropriate name for LCA should be altered to ‘Life Cycle Assessment’ rather than ‘Analysis’. Later on in 1993, SETAC also developed the first standard ‘Code of Practice’. But it was in 1995, SETAC working alongside the International Organization</w:t>
      </w:r>
      <w:r w:rsidR="00A939F2" w:rsidRPr="00116E1F">
        <w:rPr>
          <w:rFonts w:ascii="Times New Roman" w:eastAsia="Calibri" w:hAnsi="Times New Roman" w:cs="Times New Roman"/>
        </w:rPr>
        <w:t xml:space="preserve"> for Standardization (ISO) focu</w:t>
      </w:r>
      <w:r w:rsidR="00946348" w:rsidRPr="00116E1F">
        <w:rPr>
          <w:rFonts w:ascii="Times New Roman" w:eastAsia="Calibri" w:hAnsi="Times New Roman" w:cs="Times New Roman"/>
        </w:rPr>
        <w:t xml:space="preserve">sed on standardising methods. </w:t>
      </w:r>
      <w:r w:rsidR="00A939F2" w:rsidRPr="00116E1F">
        <w:rPr>
          <w:rFonts w:ascii="Times New Roman" w:eastAsia="Calibri" w:hAnsi="Times New Roman" w:cs="Times New Roman"/>
        </w:rPr>
        <w:t xml:space="preserve">Collaborative work was undertaken </w:t>
      </w:r>
      <w:r w:rsidR="00946348" w:rsidRPr="00116E1F">
        <w:rPr>
          <w:rFonts w:ascii="Times New Roman" w:eastAsia="Calibri" w:hAnsi="Times New Roman" w:cs="Times New Roman"/>
        </w:rPr>
        <w:t>on 4 different I</w:t>
      </w:r>
      <w:r w:rsidR="00F557F1">
        <w:rPr>
          <w:rFonts w:ascii="Times New Roman" w:eastAsia="Calibri" w:hAnsi="Times New Roman" w:cs="Times New Roman"/>
        </w:rPr>
        <w:t>SO documents (ISO 14040 to 14044</w:t>
      </w:r>
      <w:r w:rsidR="00946348" w:rsidRPr="00116E1F">
        <w:rPr>
          <w:rFonts w:ascii="Times New Roman" w:eastAsia="Calibri" w:hAnsi="Times New Roman" w:cs="Times New Roman"/>
        </w:rPr>
        <w:t xml:space="preserve">) based on </w:t>
      </w:r>
      <w:r w:rsidR="00A939F2" w:rsidRPr="00116E1F">
        <w:rPr>
          <w:rFonts w:ascii="Times New Roman" w:eastAsia="Calibri" w:hAnsi="Times New Roman" w:cs="Times New Roman"/>
        </w:rPr>
        <w:t xml:space="preserve">the existing </w:t>
      </w:r>
      <w:r w:rsidR="00A939F2" w:rsidRPr="00116E1F">
        <w:rPr>
          <w:rFonts w:ascii="Times New Roman" w:eastAsia="Calibri" w:hAnsi="Times New Roman" w:cs="Times New Roman"/>
        </w:rPr>
        <w:lastRenderedPageBreak/>
        <w:t>international approaches at the time.</w:t>
      </w:r>
      <w:r w:rsidR="00946348" w:rsidRPr="00116E1F">
        <w:rPr>
          <w:rFonts w:ascii="Times New Roman" w:eastAsia="Calibri" w:hAnsi="Times New Roman" w:cs="Times New Roman"/>
        </w:rPr>
        <w:t xml:space="preserve"> </w:t>
      </w:r>
      <w:r w:rsidR="00300C7C" w:rsidRPr="00116E1F">
        <w:rPr>
          <w:rFonts w:ascii="Times New Roman" w:eastAsia="Calibri" w:hAnsi="Times New Roman" w:cs="Times New Roman"/>
        </w:rPr>
        <w:t xml:space="preserve">These were later revised </w:t>
      </w:r>
      <w:r w:rsidR="00946348" w:rsidRPr="00116E1F">
        <w:rPr>
          <w:rFonts w:ascii="Times New Roman" w:eastAsia="Calibri" w:hAnsi="Times New Roman" w:cs="Times New Roman"/>
        </w:rPr>
        <w:t xml:space="preserve">to ISO 14040 (2006e) and ISO 14044 (2006e) </w:t>
      </w:r>
      <w:r w:rsidR="00300C7C" w:rsidRPr="00116E1F">
        <w:rPr>
          <w:rFonts w:ascii="Times New Roman" w:eastAsia="Calibri" w:hAnsi="Times New Roman" w:cs="Times New Roman"/>
        </w:rPr>
        <w:t>and are the current intern</w:t>
      </w:r>
      <w:r w:rsidR="00946348" w:rsidRPr="00116E1F">
        <w:rPr>
          <w:rFonts w:ascii="Times New Roman" w:eastAsia="Calibri" w:hAnsi="Times New Roman" w:cs="Times New Roman"/>
        </w:rPr>
        <w:t>ational standards in use today.</w:t>
      </w:r>
      <w:r w:rsidR="006964F4" w:rsidRPr="00116E1F">
        <w:rPr>
          <w:rFonts w:ascii="Times New Roman" w:eastAsia="Calibri" w:hAnsi="Times New Roman" w:cs="Times New Roman"/>
          <w:noProof/>
        </w:rPr>
        <w:t xml:space="preserve"> (</w:t>
      </w:r>
      <w:r w:rsidR="006964F4" w:rsidRPr="00116E1F">
        <w:rPr>
          <w:rStyle w:val="ReferenceChar"/>
          <w:noProof/>
          <w:color w:val="auto"/>
        </w:rPr>
        <w:t>Guinee</w:t>
      </w:r>
      <w:r w:rsidR="006964F4" w:rsidRPr="00116E1F">
        <w:rPr>
          <w:rFonts w:ascii="Times New Roman" w:eastAsia="Calibri" w:hAnsi="Times New Roman" w:cs="Times New Roman"/>
          <w:noProof/>
        </w:rPr>
        <w:t xml:space="preserve"> et al., 2010</w:t>
      </w:r>
      <w:r w:rsidR="00946348" w:rsidRPr="00116E1F">
        <w:rPr>
          <w:rFonts w:ascii="Times New Roman" w:eastAsia="Calibri" w:hAnsi="Times New Roman" w:cs="Times New Roman"/>
          <w:noProof/>
        </w:rPr>
        <w:t>)</w:t>
      </w:r>
    </w:p>
    <w:p w:rsidR="00300C7C" w:rsidRPr="00116E1F" w:rsidRDefault="00404967" w:rsidP="00EF39E7">
      <w:pPr>
        <w:spacing w:after="0" w:line="360" w:lineRule="auto"/>
        <w:ind w:firstLine="720"/>
        <w:jc w:val="both"/>
        <w:rPr>
          <w:rFonts w:ascii="Times New Roman" w:eastAsia="Calibri" w:hAnsi="Times New Roman" w:cs="Times New Roman"/>
        </w:rPr>
      </w:pPr>
      <w:r w:rsidRPr="00116E1F">
        <w:rPr>
          <w:rFonts w:ascii="Times New Roman" w:eastAsia="Calibri" w:hAnsi="Times New Roman" w:cs="Times New Roman"/>
        </w:rPr>
        <w:t>To recap, common framework, discussion of LCAs and standard termi</w:t>
      </w:r>
      <w:r w:rsidR="00A939F2" w:rsidRPr="00116E1F">
        <w:rPr>
          <w:rFonts w:ascii="Times New Roman" w:eastAsia="Calibri" w:hAnsi="Times New Roman" w:cs="Times New Roman"/>
        </w:rPr>
        <w:t xml:space="preserve">nologies summarised the 1990s. </w:t>
      </w:r>
      <w:r w:rsidR="00EF39E7" w:rsidRPr="00116E1F">
        <w:rPr>
          <w:rFonts w:ascii="Times New Roman" w:eastAsia="Calibri" w:hAnsi="Times New Roman" w:cs="Times New Roman"/>
        </w:rPr>
        <w:t>Worldwide activities were</w:t>
      </w:r>
      <w:r w:rsidR="00300C7C" w:rsidRPr="00116E1F">
        <w:rPr>
          <w:rFonts w:ascii="Times New Roman" w:eastAsia="Calibri" w:hAnsi="Times New Roman" w:cs="Times New Roman"/>
        </w:rPr>
        <w:t xml:space="preserve"> reflected in an increase in the number of workshops, LCA guides and books. </w:t>
      </w:r>
    </w:p>
    <w:p w:rsidR="00B14B3F" w:rsidRPr="00116E1F" w:rsidRDefault="00300C7C" w:rsidP="00B14B3F">
      <w:pPr>
        <w:spacing w:after="0" w:line="360" w:lineRule="auto"/>
        <w:ind w:firstLine="720"/>
        <w:jc w:val="both"/>
        <w:rPr>
          <w:rFonts w:ascii="Times New Roman" w:eastAsia="Calibri" w:hAnsi="Times New Roman" w:cs="Times New Roman"/>
        </w:rPr>
      </w:pPr>
      <w:r w:rsidRPr="00116E1F">
        <w:rPr>
          <w:rFonts w:ascii="Times New Roman" w:eastAsia="Calibri" w:hAnsi="Times New Roman" w:cs="Times New Roman"/>
        </w:rPr>
        <w:t>Whereas</w:t>
      </w:r>
      <w:r w:rsidR="00EF39E7" w:rsidRPr="00116E1F">
        <w:rPr>
          <w:rFonts w:ascii="Times New Roman" w:eastAsia="Calibri" w:hAnsi="Times New Roman" w:cs="Times New Roman"/>
        </w:rPr>
        <w:t xml:space="preserve"> the decade of standardisation </w:t>
      </w:r>
      <w:r w:rsidRPr="00116E1F">
        <w:rPr>
          <w:rFonts w:ascii="Times New Roman" w:eastAsia="Calibri" w:hAnsi="Times New Roman" w:cs="Times New Roman"/>
        </w:rPr>
        <w:t xml:space="preserve">brought LCA together, the </w:t>
      </w:r>
      <w:r w:rsidR="00EF39E7" w:rsidRPr="00116E1F">
        <w:rPr>
          <w:rFonts w:ascii="Times New Roman" w:eastAsia="Calibri" w:hAnsi="Times New Roman" w:cs="Times New Roman"/>
        </w:rPr>
        <w:t xml:space="preserve">present-day ‘The decade of elaboration’, (2000 - current) </w:t>
      </w:r>
      <w:r w:rsidRPr="00116E1F">
        <w:rPr>
          <w:rFonts w:ascii="Times New Roman" w:eastAsia="Calibri" w:hAnsi="Times New Roman" w:cs="Times New Roman"/>
        </w:rPr>
        <w:t xml:space="preserve">is characterised by a divergence in LCA methods. </w:t>
      </w:r>
      <w:r w:rsidR="00EF39E7" w:rsidRPr="00116E1F">
        <w:rPr>
          <w:rFonts w:ascii="Times New Roman" w:eastAsia="Calibri" w:hAnsi="Times New Roman" w:cs="Times New Roman"/>
        </w:rPr>
        <w:t xml:space="preserve">With </w:t>
      </w:r>
      <w:r w:rsidRPr="00116E1F">
        <w:rPr>
          <w:rFonts w:ascii="Times New Roman" w:eastAsia="Calibri" w:hAnsi="Times New Roman" w:cs="Times New Roman"/>
        </w:rPr>
        <w:t xml:space="preserve">alternate viewpoints based on interpretation of ISO requirements, diverging approaches were developed with respect to allocation and system boundaries. As a result, a number of </w:t>
      </w:r>
      <w:r w:rsidR="00EF39E7" w:rsidRPr="00116E1F">
        <w:rPr>
          <w:rFonts w:ascii="Times New Roman" w:eastAsia="Calibri" w:hAnsi="Times New Roman" w:cs="Times New Roman"/>
        </w:rPr>
        <w:t>different</w:t>
      </w:r>
      <w:r w:rsidRPr="00116E1F">
        <w:rPr>
          <w:rFonts w:ascii="Times New Roman" w:eastAsia="Calibri" w:hAnsi="Times New Roman" w:cs="Times New Roman"/>
        </w:rPr>
        <w:t xml:space="preserve"> LCA studies were conducted which include</w:t>
      </w:r>
      <w:r w:rsidR="000F2B53" w:rsidRPr="00116E1F">
        <w:rPr>
          <w:rFonts w:ascii="Times New Roman" w:eastAsia="Calibri" w:hAnsi="Times New Roman" w:cs="Times New Roman"/>
        </w:rPr>
        <w:t>d</w:t>
      </w:r>
      <w:r w:rsidRPr="00116E1F">
        <w:rPr>
          <w:rFonts w:ascii="Times New Roman" w:eastAsia="Calibri" w:hAnsi="Times New Roman" w:cs="Times New Roman"/>
        </w:rPr>
        <w:t>: based and hybrid LCA</w:t>
      </w:r>
      <w:r w:rsidR="000F2B53" w:rsidRPr="00116E1F">
        <w:rPr>
          <w:rFonts w:ascii="Times New Roman" w:eastAsia="Calibri" w:hAnsi="Times New Roman" w:cs="Times New Roman"/>
        </w:rPr>
        <w:t xml:space="preserve">s </w:t>
      </w:r>
      <w:r w:rsidR="000F2B53" w:rsidRPr="00116E1F">
        <w:rPr>
          <w:rStyle w:val="ReferenceChar"/>
          <w:noProof/>
          <w:color w:val="auto"/>
        </w:rPr>
        <w:t>(Suh et al. 2006)</w:t>
      </w:r>
      <w:r w:rsidR="000F2B53" w:rsidRPr="00116E1F">
        <w:rPr>
          <w:rFonts w:ascii="Times New Roman" w:eastAsia="Calibri" w:hAnsi="Times New Roman" w:cs="Times New Roman"/>
        </w:rPr>
        <w:t xml:space="preserve">, </w:t>
      </w:r>
      <w:r w:rsidRPr="00116E1F">
        <w:rPr>
          <w:rFonts w:ascii="Times New Roman" w:eastAsia="Calibri" w:hAnsi="Times New Roman" w:cs="Times New Roman"/>
        </w:rPr>
        <w:t>dynamic LCA</w:t>
      </w:r>
      <w:r w:rsidR="000F2B53" w:rsidRPr="00116E1F">
        <w:rPr>
          <w:rFonts w:ascii="Times New Roman" w:eastAsia="Calibri" w:hAnsi="Times New Roman" w:cs="Times New Roman"/>
        </w:rPr>
        <w:t xml:space="preserve">s </w:t>
      </w:r>
      <w:r w:rsidR="000F2B53" w:rsidRPr="00116E1F">
        <w:rPr>
          <w:rStyle w:val="ReferenceChar"/>
          <w:noProof/>
          <w:color w:val="auto"/>
        </w:rPr>
        <w:t>(Levasseur et al. 2010)</w:t>
      </w:r>
      <w:r w:rsidR="000F2B53" w:rsidRPr="00116E1F">
        <w:rPr>
          <w:rStyle w:val="ReferenceChar"/>
          <w:color w:val="auto"/>
        </w:rPr>
        <w:t xml:space="preserve">, </w:t>
      </w:r>
      <w:r w:rsidR="000F2B53" w:rsidRPr="00116E1F">
        <w:rPr>
          <w:rFonts w:ascii="Times New Roman" w:eastAsia="Calibri" w:hAnsi="Times New Roman" w:cs="Times New Roman"/>
        </w:rPr>
        <w:t xml:space="preserve">environmental input-output based LCAs </w:t>
      </w:r>
      <w:r w:rsidR="000F2B53" w:rsidRPr="00116E1F">
        <w:rPr>
          <w:rStyle w:val="ReferenceChar"/>
          <w:noProof/>
          <w:color w:val="auto"/>
        </w:rPr>
        <w:t>(Hendrickson et al. 2006)</w:t>
      </w:r>
      <w:r w:rsidR="000F2B53" w:rsidRPr="00116E1F">
        <w:rPr>
          <w:rStyle w:val="ReferenceChar"/>
          <w:color w:val="auto"/>
        </w:rPr>
        <w:t xml:space="preserve">, </w:t>
      </w:r>
      <w:r w:rsidR="000F2B53" w:rsidRPr="00116E1F">
        <w:rPr>
          <w:rFonts w:ascii="Times New Roman" w:eastAsia="Calibri" w:hAnsi="Times New Roman" w:cs="Times New Roman"/>
        </w:rPr>
        <w:t xml:space="preserve">risk-based LCAs </w:t>
      </w:r>
      <w:r w:rsidR="000F2B53" w:rsidRPr="00116E1F">
        <w:rPr>
          <w:rStyle w:val="ReferenceChar"/>
          <w:noProof/>
          <w:color w:val="auto"/>
        </w:rPr>
        <w:t>(Nishioka et al. 2006)</w:t>
      </w:r>
      <w:r w:rsidR="000F2B53" w:rsidRPr="00116E1F">
        <w:rPr>
          <w:rFonts w:ascii="Times New Roman" w:eastAsia="Calibri" w:hAnsi="Times New Roman" w:cs="Times New Roman"/>
        </w:rPr>
        <w:t xml:space="preserve"> and spatially differentiated LCAs </w:t>
      </w:r>
      <w:r w:rsidR="000F2B53" w:rsidRPr="00116E1F">
        <w:rPr>
          <w:rStyle w:val="ReferenceChar"/>
          <w:noProof/>
          <w:color w:val="auto"/>
        </w:rPr>
        <w:t>(Finnveden et al. 2009)</w:t>
      </w:r>
      <w:r w:rsidR="000F2B53" w:rsidRPr="00116E1F">
        <w:rPr>
          <w:rStyle w:val="ReferenceChar"/>
          <w:color w:val="auto"/>
        </w:rPr>
        <w:t>.</w:t>
      </w:r>
      <w:r w:rsidR="000F2B53" w:rsidRPr="00116E1F">
        <w:rPr>
          <w:rFonts w:ascii="Times New Roman" w:eastAsia="Calibri" w:hAnsi="Times New Roman" w:cs="Times New Roman"/>
        </w:rPr>
        <w:t xml:space="preserve"> </w:t>
      </w:r>
      <w:r w:rsidRPr="00116E1F">
        <w:rPr>
          <w:rFonts w:ascii="Times New Roman" w:eastAsia="Calibri" w:hAnsi="Times New Roman" w:cs="Times New Roman"/>
        </w:rPr>
        <w:t>Alongside the variations in allocation and system boundaries, Life Cycle Costing (LCC) and social life cycle assessment h</w:t>
      </w:r>
      <w:r w:rsidR="006132EB" w:rsidRPr="00116E1F">
        <w:rPr>
          <w:rFonts w:ascii="Times New Roman" w:eastAsia="Calibri" w:hAnsi="Times New Roman" w:cs="Times New Roman"/>
        </w:rPr>
        <w:t>ave also been developed. However,</w:t>
      </w:r>
      <w:r w:rsidRPr="00116E1F">
        <w:rPr>
          <w:rFonts w:ascii="Times New Roman" w:eastAsia="Calibri" w:hAnsi="Times New Roman" w:cs="Times New Roman"/>
        </w:rPr>
        <w:t xml:space="preserve"> the reliability of such methods can be questioned particularly in relation to consistency with environmental LCA</w:t>
      </w:r>
      <w:r w:rsidR="000F2B53" w:rsidRPr="00116E1F">
        <w:rPr>
          <w:rFonts w:ascii="Times New Roman" w:eastAsia="Calibri" w:hAnsi="Times New Roman" w:cs="Times New Roman"/>
        </w:rPr>
        <w:t xml:space="preserve">s. </w:t>
      </w:r>
      <w:r w:rsidR="006964F4" w:rsidRPr="00116E1F">
        <w:rPr>
          <w:rStyle w:val="ReferenceChar"/>
          <w:noProof/>
          <w:color w:val="auto"/>
        </w:rPr>
        <w:t>(Guinee et al., 2010</w:t>
      </w:r>
      <w:r w:rsidR="000F2B53" w:rsidRPr="00116E1F">
        <w:rPr>
          <w:rStyle w:val="ReferenceChar"/>
          <w:noProof/>
          <w:color w:val="auto"/>
        </w:rPr>
        <w:t>)</w:t>
      </w:r>
    </w:p>
    <w:p w:rsidR="006F5B16" w:rsidRPr="00116E1F" w:rsidRDefault="00B14B3F" w:rsidP="00B14B3F">
      <w:pPr>
        <w:spacing w:after="0" w:line="360" w:lineRule="auto"/>
        <w:ind w:firstLine="720"/>
        <w:jc w:val="both"/>
        <w:rPr>
          <w:rStyle w:val="ReferenceChar"/>
          <w:color w:val="auto"/>
        </w:rPr>
      </w:pPr>
      <w:r w:rsidRPr="00116E1F">
        <w:rPr>
          <w:rFonts w:ascii="Times New Roman" w:eastAsia="Calibri" w:hAnsi="Times New Roman" w:cs="Times New Roman"/>
        </w:rPr>
        <w:t>Nonetheless</w:t>
      </w:r>
      <w:r w:rsidR="00300C7C" w:rsidRPr="00116E1F">
        <w:rPr>
          <w:rFonts w:ascii="Times New Roman" w:eastAsia="Calibri" w:hAnsi="Times New Roman" w:cs="Times New Roman"/>
        </w:rPr>
        <w:t xml:space="preserve"> in 2005, the European Comm</w:t>
      </w:r>
      <w:r w:rsidRPr="00116E1F">
        <w:rPr>
          <w:rFonts w:ascii="Times New Roman" w:eastAsia="Calibri" w:hAnsi="Times New Roman" w:cs="Times New Roman"/>
        </w:rPr>
        <w:t>ission introduced its European p</w:t>
      </w:r>
      <w:r w:rsidR="00300C7C" w:rsidRPr="00116E1F">
        <w:rPr>
          <w:rFonts w:ascii="Times New Roman" w:eastAsia="Calibri" w:hAnsi="Times New Roman" w:cs="Times New Roman"/>
        </w:rPr>
        <w:t>latform on L</w:t>
      </w:r>
      <w:r w:rsidRPr="00116E1F">
        <w:rPr>
          <w:rFonts w:ascii="Times New Roman" w:eastAsia="Calibri" w:hAnsi="Times New Roman" w:cs="Times New Roman"/>
        </w:rPr>
        <w:t>CA</w:t>
      </w:r>
      <w:r w:rsidR="00300C7C" w:rsidRPr="00116E1F">
        <w:rPr>
          <w:rFonts w:ascii="Times New Roman" w:eastAsia="Calibri" w:hAnsi="Times New Roman" w:cs="Times New Roman"/>
        </w:rPr>
        <w:t>. The proposal aimed to produce consistent data, reduce costs of LCA studies and co-ordinate quality between</w:t>
      </w:r>
      <w:r w:rsidRPr="00116E1F">
        <w:rPr>
          <w:rFonts w:ascii="Times New Roman" w:eastAsia="Calibri" w:hAnsi="Times New Roman" w:cs="Times New Roman"/>
        </w:rPr>
        <w:t xml:space="preserve"> the time period of</w:t>
      </w:r>
      <w:r w:rsidR="00300C7C" w:rsidRPr="00116E1F">
        <w:rPr>
          <w:rFonts w:ascii="Times New Roman" w:eastAsia="Calibri" w:hAnsi="Times New Roman" w:cs="Times New Roman"/>
        </w:rPr>
        <w:t xml:space="preserve"> 2005 and 2008. The intention was to establish LCAs as more reliable in order to promot</w:t>
      </w:r>
      <w:r w:rsidRPr="00116E1F">
        <w:rPr>
          <w:rFonts w:ascii="Times New Roman" w:eastAsia="Calibri" w:hAnsi="Times New Roman" w:cs="Times New Roman"/>
        </w:rPr>
        <w:t>e its acceptance in government.</w:t>
      </w:r>
      <w:r w:rsidR="00F557F1">
        <w:rPr>
          <w:rFonts w:ascii="Times New Roman" w:eastAsia="Calibri" w:hAnsi="Times New Roman" w:cs="Times New Roman"/>
        </w:rPr>
        <w:t xml:space="preserve"> </w:t>
      </w:r>
      <w:r w:rsidRPr="00116E1F">
        <w:rPr>
          <w:rStyle w:val="ReferenceChar"/>
          <w:noProof/>
          <w:color w:val="auto"/>
        </w:rPr>
        <w:t>(Baumann &amp; Tilman 2004)</w:t>
      </w:r>
      <w:r w:rsidR="006F5B16" w:rsidRPr="00116E1F">
        <w:rPr>
          <w:rStyle w:val="ReferenceChar"/>
          <w:color w:val="auto"/>
        </w:rPr>
        <w:t xml:space="preserve"> </w:t>
      </w:r>
    </w:p>
    <w:p w:rsidR="006F5B16" w:rsidRPr="00116E1F" w:rsidRDefault="006F5B16" w:rsidP="006F5B16">
      <w:pPr>
        <w:spacing w:after="0" w:line="360" w:lineRule="auto"/>
        <w:ind w:firstLine="720"/>
        <w:jc w:val="both"/>
        <w:rPr>
          <w:rFonts w:ascii="Times New Roman" w:eastAsia="Calibri" w:hAnsi="Times New Roman" w:cs="Times New Roman"/>
        </w:rPr>
      </w:pPr>
      <w:r w:rsidRPr="00116E1F">
        <w:rPr>
          <w:rFonts w:ascii="Times New Roman" w:eastAsia="Calibri" w:hAnsi="Times New Roman" w:cs="Times New Roman"/>
        </w:rPr>
        <w:t xml:space="preserve">The  current ISO standards (ISO 14040 (2006e)  define the life cycle of a product as including “raw material extraction and acquisition, through energy and material production and manufacturing, to use and end of life treatment and final disposal”. </w:t>
      </w:r>
      <w:r w:rsidR="00A6415F" w:rsidRPr="00116E1F">
        <w:fldChar w:fldCharType="begin"/>
      </w:r>
      <w:r w:rsidR="00A6415F" w:rsidRPr="00116E1F">
        <w:instrText xml:space="preserve"> REF _Ref468391297 \h  \* MERGEFORMAT </w:instrText>
      </w:r>
      <w:r w:rsidR="00A6415F" w:rsidRPr="00116E1F">
        <w:fldChar w:fldCharType="separate"/>
      </w:r>
      <w:r w:rsidR="009F5483" w:rsidRPr="009F5483">
        <w:rPr>
          <w:rStyle w:val="FiguresChar"/>
          <w:color w:val="auto"/>
        </w:rPr>
        <w:t>Figure 3</w:t>
      </w:r>
      <w:r w:rsidR="00A6415F" w:rsidRPr="00116E1F">
        <w:fldChar w:fldCharType="end"/>
      </w:r>
      <w:r w:rsidRPr="00116E1F">
        <w:rPr>
          <w:rFonts w:ascii="Times New Roman" w:eastAsia="Calibri" w:hAnsi="Times New Roman" w:cs="Times New Roman"/>
        </w:rPr>
        <w:t xml:space="preserve"> outlines the stages required to complete an LCA according to ISO 14040 (2006e) set of standards. </w:t>
      </w:r>
    </w:p>
    <w:p w:rsidR="006F5B16" w:rsidRPr="00116E1F" w:rsidRDefault="00BE325C" w:rsidP="00F557F1">
      <w:pPr>
        <w:spacing w:line="360" w:lineRule="auto"/>
        <w:ind w:hanging="142"/>
        <w:jc w:val="both"/>
        <w:rPr>
          <w:rStyle w:val="ReferenceChar"/>
          <w:rFonts w:cs="Times New Roman"/>
          <w:color w:val="auto"/>
        </w:rPr>
      </w:pPr>
      <w:bookmarkStart w:id="5" w:name="_Toc495848336"/>
      <w:r>
        <w:rPr>
          <w:noProof/>
        </w:rPr>
        <mc:AlternateContent>
          <mc:Choice Requires="wpc">
            <w:drawing>
              <wp:inline distT="0" distB="0" distL="0" distR="0">
                <wp:extent cx="5848350" cy="2651760"/>
                <wp:effectExtent l="0" t="0" r="19050" b="6985"/>
                <wp:docPr id="473" name="Canvas 1747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6" name="Group 17452"/>
                        <wpg:cNvGrpSpPr>
                          <a:grpSpLocks/>
                        </wpg:cNvGrpSpPr>
                        <wpg:grpSpPr bwMode="auto">
                          <a:xfrm>
                            <a:off x="39700" y="29701"/>
                            <a:ext cx="5812450" cy="2616159"/>
                            <a:chOff x="397" y="2445"/>
                            <a:chExt cx="58124" cy="26154"/>
                          </a:xfrm>
                        </wpg:grpSpPr>
                        <wps:wsp>
                          <wps:cNvPr id="17" name="Flowchart: Alternate Process 17453"/>
                          <wps:cNvSpPr>
                            <a:spLocks noChangeArrowheads="1"/>
                          </wps:cNvSpPr>
                          <wps:spPr bwMode="auto">
                            <a:xfrm>
                              <a:off x="397" y="2445"/>
                              <a:ext cx="33078" cy="26154"/>
                            </a:xfrm>
                            <a:prstGeom prst="flowChartAlternateProcess">
                              <a:avLst/>
                            </a:prstGeom>
                            <a:solidFill>
                              <a:schemeClr val="bg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8" name="Flowchart: Alternate Process 17454"/>
                          <wps:cNvSpPr>
                            <a:spLocks noChangeArrowheads="1"/>
                          </wps:cNvSpPr>
                          <wps:spPr bwMode="auto">
                            <a:xfrm>
                              <a:off x="2464" y="4134"/>
                              <a:ext cx="12007" cy="6126"/>
                            </a:xfrm>
                            <a:prstGeom prst="flowChartAlternateProcess">
                              <a:avLst/>
                            </a:prstGeom>
                            <a:solidFill>
                              <a:schemeClr val="accent1">
                                <a:lumMod val="100000"/>
                                <a:lumOff val="0"/>
                              </a:schemeClr>
                            </a:solidFill>
                            <a:ln w="12700">
                              <a:solidFill>
                                <a:schemeClr val="accent1">
                                  <a:lumMod val="50000"/>
                                  <a:lumOff val="0"/>
                                </a:schemeClr>
                              </a:solidFill>
                              <a:miter lim="800000"/>
                              <a:headEnd/>
                              <a:tailEnd/>
                            </a:ln>
                          </wps:spPr>
                          <wps:txbx>
                            <w:txbxContent>
                              <w:p w:rsidR="008F124C" w:rsidRDefault="008F124C" w:rsidP="006F5B16">
                                <w:pPr>
                                  <w:jc w:val="center"/>
                                </w:pPr>
                                <w:r>
                                  <w:t>Goal &amp; Scope Definition</w:t>
                                </w:r>
                              </w:p>
                            </w:txbxContent>
                          </wps:txbx>
                          <wps:bodyPr rot="0" vert="horz" wrap="square" lIns="91440" tIns="45720" rIns="91440" bIns="45720" anchor="ctr" anchorCtr="0" upright="1">
                            <a:noAutofit/>
                          </wps:bodyPr>
                        </wps:wsp>
                        <wps:wsp>
                          <wps:cNvPr id="19" name="Flowchart: Alternate Process 17455"/>
                          <wps:cNvSpPr>
                            <a:spLocks noChangeArrowheads="1"/>
                          </wps:cNvSpPr>
                          <wps:spPr bwMode="auto">
                            <a:xfrm>
                              <a:off x="2464" y="12425"/>
                              <a:ext cx="12007" cy="6121"/>
                            </a:xfrm>
                            <a:prstGeom prst="flowChartAlternateProcess">
                              <a:avLst/>
                            </a:prstGeom>
                            <a:solidFill>
                              <a:schemeClr val="accent1">
                                <a:lumMod val="100000"/>
                                <a:lumOff val="0"/>
                              </a:schemeClr>
                            </a:solidFill>
                            <a:ln w="12700">
                              <a:solidFill>
                                <a:schemeClr val="accent1">
                                  <a:lumMod val="50000"/>
                                  <a:lumOff val="0"/>
                                </a:schemeClr>
                              </a:solidFill>
                              <a:miter lim="800000"/>
                              <a:headEnd/>
                              <a:tailEnd/>
                            </a:ln>
                          </wps:spPr>
                          <wps:txbx>
                            <w:txbxContent>
                              <w:p w:rsidR="008F124C" w:rsidRDefault="008F124C" w:rsidP="006F5B16">
                                <w:pPr>
                                  <w:jc w:val="center"/>
                                </w:pPr>
                                <w:r>
                                  <w:t>Inventory Analysis</w:t>
                                </w:r>
                              </w:p>
                            </w:txbxContent>
                          </wps:txbx>
                          <wps:bodyPr rot="0" vert="horz" wrap="square" lIns="91440" tIns="45720" rIns="91440" bIns="45720" anchor="ctr" anchorCtr="0" upright="1">
                            <a:noAutofit/>
                          </wps:bodyPr>
                        </wps:wsp>
                        <wps:wsp>
                          <wps:cNvPr id="20" name="Flowchart: Alternate Process 17456"/>
                          <wps:cNvSpPr>
                            <a:spLocks noChangeArrowheads="1"/>
                          </wps:cNvSpPr>
                          <wps:spPr bwMode="auto">
                            <a:xfrm>
                              <a:off x="2464" y="20641"/>
                              <a:ext cx="12007" cy="6122"/>
                            </a:xfrm>
                            <a:prstGeom prst="flowChartAlternateProcess">
                              <a:avLst/>
                            </a:prstGeom>
                            <a:solidFill>
                              <a:schemeClr val="accent1">
                                <a:lumMod val="100000"/>
                                <a:lumOff val="0"/>
                              </a:schemeClr>
                            </a:solidFill>
                            <a:ln w="12700">
                              <a:solidFill>
                                <a:schemeClr val="accent1">
                                  <a:lumMod val="50000"/>
                                  <a:lumOff val="0"/>
                                </a:schemeClr>
                              </a:solidFill>
                              <a:miter lim="800000"/>
                              <a:headEnd/>
                              <a:tailEnd/>
                            </a:ln>
                          </wps:spPr>
                          <wps:txbx>
                            <w:txbxContent>
                              <w:p w:rsidR="008F124C" w:rsidRDefault="008F124C" w:rsidP="006F5B16">
                                <w:pPr>
                                  <w:jc w:val="center"/>
                                </w:pPr>
                                <w:r>
                                  <w:t>Impact Assessment</w:t>
                                </w:r>
                              </w:p>
                            </w:txbxContent>
                          </wps:txbx>
                          <wps:bodyPr rot="0" vert="horz" wrap="square" lIns="91440" tIns="45720" rIns="91440" bIns="45720" anchor="ctr" anchorCtr="0" upright="1">
                            <a:noAutofit/>
                          </wps:bodyPr>
                        </wps:wsp>
                        <wps:wsp>
                          <wps:cNvPr id="22" name="Flowchart: Alternate Process 17457"/>
                          <wps:cNvSpPr>
                            <a:spLocks noChangeArrowheads="1"/>
                          </wps:cNvSpPr>
                          <wps:spPr bwMode="auto">
                            <a:xfrm>
                              <a:off x="19133" y="4134"/>
                              <a:ext cx="11718" cy="22869"/>
                            </a:xfrm>
                            <a:prstGeom prst="flowChartAlternateProcess">
                              <a:avLst/>
                            </a:prstGeom>
                            <a:solidFill>
                              <a:schemeClr val="accent1">
                                <a:lumMod val="100000"/>
                                <a:lumOff val="0"/>
                              </a:schemeClr>
                            </a:solidFill>
                            <a:ln w="12700">
                              <a:solidFill>
                                <a:schemeClr val="accent1">
                                  <a:lumMod val="50000"/>
                                  <a:lumOff val="0"/>
                                </a:schemeClr>
                              </a:solidFill>
                              <a:miter lim="800000"/>
                              <a:headEnd/>
                              <a:tailEnd/>
                            </a:ln>
                          </wps:spPr>
                          <wps:txbx>
                            <w:txbxContent>
                              <w:p w:rsidR="008F124C" w:rsidRDefault="008F124C" w:rsidP="006F5B16">
                                <w:pPr>
                                  <w:jc w:val="center"/>
                                </w:pPr>
                                <w:r>
                                  <w:t>Interpretation</w:t>
                                </w:r>
                              </w:p>
                            </w:txbxContent>
                          </wps:txbx>
                          <wps:bodyPr rot="0" vert="horz" wrap="square" lIns="91440" tIns="45720" rIns="91440" bIns="45720" anchor="ctr" anchorCtr="0" upright="1">
                            <a:noAutofit/>
                          </wps:bodyPr>
                        </wps:wsp>
                        <wps:wsp>
                          <wps:cNvPr id="23" name="Flowchart: Alternate Process 17458"/>
                          <wps:cNvSpPr>
                            <a:spLocks noChangeArrowheads="1"/>
                          </wps:cNvSpPr>
                          <wps:spPr bwMode="auto">
                            <a:xfrm>
                              <a:off x="36735" y="7233"/>
                              <a:ext cx="21786" cy="17573"/>
                            </a:xfrm>
                            <a:prstGeom prst="flowChartAlternateProcess">
                              <a:avLst/>
                            </a:prstGeom>
                            <a:solidFill>
                              <a:schemeClr val="accent1">
                                <a:lumMod val="100000"/>
                                <a:lumOff val="0"/>
                              </a:schemeClr>
                            </a:solidFill>
                            <a:ln w="12700">
                              <a:solidFill>
                                <a:schemeClr val="accent1">
                                  <a:lumMod val="50000"/>
                                  <a:lumOff val="0"/>
                                </a:schemeClr>
                              </a:solidFill>
                              <a:miter lim="800000"/>
                              <a:headEnd/>
                              <a:tailEnd/>
                            </a:ln>
                          </wps:spPr>
                          <wps:txbx>
                            <w:txbxContent>
                              <w:p w:rsidR="008F124C" w:rsidRDefault="008F124C" w:rsidP="006F5B16">
                                <w:pPr>
                                  <w:jc w:val="center"/>
                                </w:pPr>
                                <w:r>
                                  <w:t>Direct Application:</w:t>
                                </w:r>
                              </w:p>
                              <w:p w:rsidR="008F124C" w:rsidRDefault="008F124C" w:rsidP="00EE7761">
                                <w:pPr>
                                  <w:pStyle w:val="ListParagraph"/>
                                  <w:numPr>
                                    <w:ilvl w:val="0"/>
                                    <w:numId w:val="11"/>
                                  </w:numPr>
                                </w:pPr>
                                <w:r>
                                  <w:t>Product Development and Improvement.</w:t>
                                </w:r>
                              </w:p>
                              <w:p w:rsidR="008F124C" w:rsidRDefault="008F124C" w:rsidP="00EE7761">
                                <w:pPr>
                                  <w:pStyle w:val="ListParagraph"/>
                                  <w:numPr>
                                    <w:ilvl w:val="0"/>
                                    <w:numId w:val="11"/>
                                  </w:numPr>
                                </w:pPr>
                                <w:r>
                                  <w:t>Strategic Planning.</w:t>
                                </w:r>
                              </w:p>
                              <w:p w:rsidR="008F124C" w:rsidRDefault="008F124C" w:rsidP="00EE7761">
                                <w:pPr>
                                  <w:pStyle w:val="ListParagraph"/>
                                  <w:numPr>
                                    <w:ilvl w:val="0"/>
                                    <w:numId w:val="11"/>
                                  </w:numPr>
                                </w:pPr>
                                <w:r>
                                  <w:t>Marketing.</w:t>
                                </w:r>
                              </w:p>
                              <w:p w:rsidR="008F124C" w:rsidRDefault="008F124C" w:rsidP="00EE7761">
                                <w:pPr>
                                  <w:pStyle w:val="ListParagraph"/>
                                  <w:numPr>
                                    <w:ilvl w:val="0"/>
                                    <w:numId w:val="11"/>
                                  </w:numPr>
                                </w:pPr>
                                <w:r>
                                  <w:t>Other.</w:t>
                                </w:r>
                              </w:p>
                              <w:p w:rsidR="008F124C" w:rsidRDefault="008F124C" w:rsidP="006F5B16"/>
                            </w:txbxContent>
                          </wps:txbx>
                          <wps:bodyPr rot="0" vert="horz" wrap="square" lIns="91440" tIns="45720" rIns="91440" bIns="45720" anchor="ctr" anchorCtr="0" upright="1">
                            <a:noAutofit/>
                          </wps:bodyPr>
                        </wps:wsp>
                        <wps:wsp>
                          <wps:cNvPr id="24" name="Straight Arrow Connector 17459"/>
                          <wps:cNvCnPr>
                            <a:cxnSpLocks noChangeShapeType="1"/>
                          </wps:cNvCnPr>
                          <wps:spPr bwMode="auto">
                            <a:xfrm>
                              <a:off x="14471" y="6280"/>
                              <a:ext cx="4662" cy="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5" name="Straight Arrow Connector 17460"/>
                          <wps:cNvCnPr>
                            <a:cxnSpLocks noChangeShapeType="1"/>
                          </wps:cNvCnPr>
                          <wps:spPr bwMode="auto">
                            <a:xfrm>
                              <a:off x="14436" y="14439"/>
                              <a:ext cx="4661" cy="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0" name="Straight Arrow Connector 17461"/>
                          <wps:cNvCnPr>
                            <a:cxnSpLocks noChangeShapeType="1"/>
                          </wps:cNvCnPr>
                          <wps:spPr bwMode="auto">
                            <a:xfrm>
                              <a:off x="14563" y="22909"/>
                              <a:ext cx="4661" cy="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48" name="Straight Arrow Connector 17462"/>
                          <wps:cNvCnPr>
                            <a:cxnSpLocks noChangeShapeType="1"/>
                          </wps:cNvCnPr>
                          <wps:spPr bwMode="auto">
                            <a:xfrm>
                              <a:off x="30851" y="14174"/>
                              <a:ext cx="5884" cy="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51" name="Straight Arrow Connector 17463"/>
                          <wps:cNvCnPr>
                            <a:cxnSpLocks noChangeShapeType="1"/>
                          </wps:cNvCnPr>
                          <wps:spPr bwMode="auto">
                            <a:xfrm flipH="1">
                              <a:off x="14563" y="8001"/>
                              <a:ext cx="4534" cy="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52" name="Straight Arrow Connector 17464"/>
                          <wps:cNvCnPr>
                            <a:cxnSpLocks noChangeShapeType="1"/>
                          </wps:cNvCnPr>
                          <wps:spPr bwMode="auto">
                            <a:xfrm flipH="1">
                              <a:off x="14452" y="15921"/>
                              <a:ext cx="4527" cy="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56" name="Straight Arrow Connector 17465"/>
                          <wps:cNvCnPr>
                            <a:cxnSpLocks noChangeShapeType="1"/>
                          </wps:cNvCnPr>
                          <wps:spPr bwMode="auto">
                            <a:xfrm flipH="1">
                              <a:off x="14436" y="24394"/>
                              <a:ext cx="4528" cy="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57" name="Straight Arrow Connector 17466"/>
                          <wps:cNvCnPr>
                            <a:cxnSpLocks noChangeShapeType="1"/>
                          </wps:cNvCnPr>
                          <wps:spPr bwMode="auto">
                            <a:xfrm flipH="1">
                              <a:off x="30851" y="15921"/>
                              <a:ext cx="5884" cy="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58" name="Straight Arrow Connector 17467"/>
                          <wps:cNvCnPr>
                            <a:cxnSpLocks noChangeShapeType="1"/>
                          </wps:cNvCnPr>
                          <wps:spPr bwMode="auto">
                            <a:xfrm flipV="1">
                              <a:off x="9506" y="12263"/>
                              <a:ext cx="0" cy="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59" name="Straight Arrow Connector 17468"/>
                          <wps:cNvCnPr>
                            <a:cxnSpLocks noChangeShapeType="1"/>
                          </wps:cNvCnPr>
                          <wps:spPr bwMode="auto">
                            <a:xfrm flipV="1">
                              <a:off x="9506" y="20546"/>
                              <a:ext cx="0" cy="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63" name="Straight Arrow Connector 17469"/>
                          <wps:cNvCnPr>
                            <a:cxnSpLocks noChangeShapeType="1"/>
                          </wps:cNvCnPr>
                          <wps:spPr bwMode="auto">
                            <a:xfrm>
                              <a:off x="7424" y="10257"/>
                              <a:ext cx="0" cy="2167"/>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65" name="Straight Arrow Connector 17470"/>
                          <wps:cNvCnPr>
                            <a:cxnSpLocks noChangeShapeType="1"/>
                          </wps:cNvCnPr>
                          <wps:spPr bwMode="auto">
                            <a:xfrm>
                              <a:off x="7424" y="18546"/>
                              <a:ext cx="0" cy="200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69" name="Straight Arrow Connector 17471"/>
                          <wps:cNvCnPr>
                            <a:cxnSpLocks noChangeShapeType="1"/>
                          </wps:cNvCnPr>
                          <wps:spPr bwMode="auto">
                            <a:xfrm flipV="1">
                              <a:off x="9223" y="10257"/>
                              <a:ext cx="0" cy="2005"/>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70" name="Straight Arrow Connector 17472"/>
                          <wps:cNvCnPr>
                            <a:cxnSpLocks noChangeShapeType="1"/>
                          </wps:cNvCnPr>
                          <wps:spPr bwMode="auto">
                            <a:xfrm flipV="1">
                              <a:off x="9223" y="18546"/>
                              <a:ext cx="0" cy="200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wgp>
                    </wpc:wpc>
                  </a:graphicData>
                </a:graphic>
              </wp:inline>
            </w:drawing>
          </mc:Choice>
          <mc:Fallback>
            <w:pict>
              <v:group id="Canvas 17473" o:spid="_x0000_s1053" editas="canvas" style="width:460.5pt;height:208.8pt;mso-position-horizontal-relative:char;mso-position-vertical-relative:line" coordsize="58483,26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4" type="#_x0000_t75" style="position:absolute;width:58483;height:26517;visibility:visible;mso-wrap-style:square">
                  <v:fill o:detectmouseclick="t"/>
                  <v:path o:connecttype="none"/>
                </v:shape>
                <v:group id="Group 17452" o:spid="_x0000_s1055" style="position:absolute;left:397;top:297;width:58124;height:26161" coordorigin="397,2445" coordsize="58124,26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7453" o:spid="_x0000_s1056" type="#_x0000_t176" style="position:absolute;left:397;top:2445;width:33078;height:261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HO5cAA&#10;AADbAAAADwAAAGRycy9kb3ducmV2LnhtbERPS4vCMBC+C/6HMMJeRFM9rFKNIguCt/UFXodmbKvN&#10;pNuMtv57s7Cwt/n4nrNcd65ST2pC6dnAZJyAIs68LTk3cD5tR3NQQZAtVp7JwIsCrFf93hJT61s+&#10;0PMouYohHFI0UIjUqdYhK8hhGPuaOHJX3ziUCJtc2wbbGO4qPU2ST+2w5NhQYE1fBWX348MZuMx3&#10;k59pt5Hy3g69Fb59n/c3Yz4G3WYBSqiTf/Gfe2fj/Bn8/hIP0K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EHO5cAAAADbAAAADwAAAAAAAAAAAAAAAACYAgAAZHJzL2Rvd25y&#10;ZXYueG1sUEsFBgAAAAAEAAQA9QAAAIUDAAAAAA==&#10;" fillcolor="white [3212]" strokecolor="#1f4d78 [1604]" strokeweight="1pt"/>
                  <v:shape id="Flowchart: Alternate Process 17454" o:spid="_x0000_s1057" type="#_x0000_t176" style="position:absolute;left:2464;top:4134;width:12007;height:61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w6SsUA&#10;AADbAAAADwAAAGRycy9kb3ducmV2LnhtbESPS2sCQRCE74H8h6EDucXZGBFZHSWIEoUgPkLO7U7v&#10;g93pWXcmuv779CGQWzdVXfX1bNG7Rl2pC5VnA6+DBBRx5m3FhYGv0/plAipEZIuNZzJwpwCL+ePD&#10;DFPrb3yg6zEWSkI4pGigjLFNtQ5ZSQ7DwLfEouW+cxhl7QptO7xJuGv0MEnG2mHF0lBiS8uSsvr4&#10;4wzEi1uPqvx7VO/zs623u4/V5/3NmOen/n0KKlIf/81/1xsr+AIrv8gAe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XDpKxQAAANsAAAAPAAAAAAAAAAAAAAAAAJgCAABkcnMv&#10;ZG93bnJldi54bWxQSwUGAAAAAAQABAD1AAAAigMAAAAA&#10;" fillcolor="#5b9bd5 [3204]" strokecolor="#1f4d78 [1604]" strokeweight="1pt">
                    <v:textbox>
                      <w:txbxContent>
                        <w:p w:rsidR="008F124C" w:rsidRDefault="008F124C" w:rsidP="006F5B16">
                          <w:pPr>
                            <w:jc w:val="center"/>
                          </w:pPr>
                          <w:r>
                            <w:t>Goal &amp; Scope Definition</w:t>
                          </w:r>
                        </w:p>
                      </w:txbxContent>
                    </v:textbox>
                  </v:shape>
                  <v:shape id="Flowchart: Alternate Process 17455" o:spid="_x0000_s1058" type="#_x0000_t176" style="position:absolute;left:2464;top:12425;width:12007;height:61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Cf0cMA&#10;AADbAAAADwAAAGRycy9kb3ducmV2LnhtbERP22rCQBB9F/yHZQp9q5u2Ump0DVIaqiBiVXwes5ML&#10;yc6m2a3Gv3cLBd/mcK4zS3rTiDN1rrKs4HkUgSDOrK64UHDYp0/vIJxH1thYJgVXcpDMh4MZxtpe&#10;+JvOO1+IEMIuRgWl920spctKMuhGtiUOXG47gz7ArpC6w0sIN418iaI3abDi0FBiSx8lZfXu1yjw&#10;PyYdV/lxXG/zk65Xm6/P9fVVqceHfjEF4an3d/G/e6nD/An8/RIO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xCf0cMAAADbAAAADwAAAAAAAAAAAAAAAACYAgAAZHJzL2Rv&#10;d25yZXYueG1sUEsFBgAAAAAEAAQA9QAAAIgDAAAAAA==&#10;" fillcolor="#5b9bd5 [3204]" strokecolor="#1f4d78 [1604]" strokeweight="1pt">
                    <v:textbox>
                      <w:txbxContent>
                        <w:p w:rsidR="008F124C" w:rsidRDefault="008F124C" w:rsidP="006F5B16">
                          <w:pPr>
                            <w:jc w:val="center"/>
                          </w:pPr>
                          <w:r>
                            <w:t>Inventory Analysis</w:t>
                          </w:r>
                        </w:p>
                      </w:txbxContent>
                    </v:textbox>
                  </v:shape>
                  <v:shape id="Flowchart: Alternate Process 17456" o:spid="_x0000_s1059" type="#_x0000_t176" style="position:absolute;left:2464;top:20641;width:12007;height:61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b88cIA&#10;AADbAAAADwAAAGRycy9kb3ducmV2LnhtbERPy2rCQBTdC/7DcAvuzKQ2FEkdpUilCqVoWrq+zdw8&#10;SOZOmhlN/PvOQnB5OO/VZjStuFDvassKHqMYBHFudc2lgu+v3XwJwnlkja1lUnAlB5v1dLLCVNuB&#10;T3TJfClCCLsUFVTed6mULq/IoItsRxy4wvYGfYB9KXWPQwg3rVzE8bM0WHNoqLCjbUV5k52NAv9n&#10;dkld/CTNsfjVzeHz/e3j+qTU7GF8fQHhafR38c291woWYX34En6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RvzxwgAAANsAAAAPAAAAAAAAAAAAAAAAAJgCAABkcnMvZG93&#10;bnJldi54bWxQSwUGAAAAAAQABAD1AAAAhwMAAAAA&#10;" fillcolor="#5b9bd5 [3204]" strokecolor="#1f4d78 [1604]" strokeweight="1pt">
                    <v:textbox>
                      <w:txbxContent>
                        <w:p w:rsidR="008F124C" w:rsidRDefault="008F124C" w:rsidP="006F5B16">
                          <w:pPr>
                            <w:jc w:val="center"/>
                          </w:pPr>
                          <w:r>
                            <w:t>Impact Assessment</w:t>
                          </w:r>
                        </w:p>
                      </w:txbxContent>
                    </v:textbox>
                  </v:shape>
                  <v:shape id="Flowchart: Alternate Process 17457" o:spid="_x0000_s1060" type="#_x0000_t176" style="position:absolute;left:19133;top:4134;width:11718;height:228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jHHcQA&#10;AADbAAAADwAAAGRycy9kb3ducmV2LnhtbESP3WrCQBSE7wu+w3IE73RjlCLRVUSUWiilVfH6mD35&#10;IdmzaXbV+PbdgtDLYWa+YRarztTiRq0rLSsYjyIQxKnVJecKTsfdcAbCeWSNtWVS8CAHq2XvZYGJ&#10;tnf+ptvB5yJA2CWooPC+SaR0aUEG3cg2xMHLbGvQB9nmUrd4D3BTyziKXqXBksNCgQ1tCkqrw9Uo&#10;8D9mNy2z87T6yi66ev982348JkoN+t16DsJT5//Dz/ZeK4hj+PsSf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Yxx3EAAAA2wAAAA8AAAAAAAAAAAAAAAAAmAIAAGRycy9k&#10;b3ducmV2LnhtbFBLBQYAAAAABAAEAPUAAACJAwAAAAA=&#10;" fillcolor="#5b9bd5 [3204]" strokecolor="#1f4d78 [1604]" strokeweight="1pt">
                    <v:textbox>
                      <w:txbxContent>
                        <w:p w:rsidR="008F124C" w:rsidRDefault="008F124C" w:rsidP="006F5B16">
                          <w:pPr>
                            <w:jc w:val="center"/>
                          </w:pPr>
                          <w:r>
                            <w:t>Interpretation</w:t>
                          </w:r>
                        </w:p>
                      </w:txbxContent>
                    </v:textbox>
                  </v:shape>
                  <v:shape id="Flowchart: Alternate Process 17458" o:spid="_x0000_s1061" type="#_x0000_t176" style="position:absolute;left:36735;top:7233;width:21786;height:17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RihsUA&#10;AADbAAAADwAAAGRycy9kb3ducmV2LnhtbESP3WrCQBSE74W+w3IKvaubqkiJbkIplSqI2LR4fZo9&#10;+SHZs2l21fj2rlDwcpiZb5hlOphWnKh3tWUFL+MIBHFudc2lgp/v1fMrCOeRNbaWScGFHKTJw2iJ&#10;sbZn/qJT5ksRIOxiVFB538VSurwig25sO+LgFbY36IPsS6l7PAe4aeUkiubSYM1hocKO3ivKm+xo&#10;FPg/s5rVxWHW7Itf3Wx2nx/by1Spp8fhbQHC0+Dv4f/2WiuYTOH2JfwAm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lGKGxQAAANsAAAAPAAAAAAAAAAAAAAAAAJgCAABkcnMv&#10;ZG93bnJldi54bWxQSwUGAAAAAAQABAD1AAAAigMAAAAA&#10;" fillcolor="#5b9bd5 [3204]" strokecolor="#1f4d78 [1604]" strokeweight="1pt">
                    <v:textbox>
                      <w:txbxContent>
                        <w:p w:rsidR="008F124C" w:rsidRDefault="008F124C" w:rsidP="006F5B16">
                          <w:pPr>
                            <w:jc w:val="center"/>
                          </w:pPr>
                          <w:r>
                            <w:t>Direct Application:</w:t>
                          </w:r>
                        </w:p>
                        <w:p w:rsidR="008F124C" w:rsidRDefault="008F124C" w:rsidP="00EE7761">
                          <w:pPr>
                            <w:pStyle w:val="ListParagraph"/>
                            <w:numPr>
                              <w:ilvl w:val="0"/>
                              <w:numId w:val="11"/>
                            </w:numPr>
                          </w:pPr>
                          <w:r>
                            <w:t>Product Development and Improvement.</w:t>
                          </w:r>
                        </w:p>
                        <w:p w:rsidR="008F124C" w:rsidRDefault="008F124C" w:rsidP="00EE7761">
                          <w:pPr>
                            <w:pStyle w:val="ListParagraph"/>
                            <w:numPr>
                              <w:ilvl w:val="0"/>
                              <w:numId w:val="11"/>
                            </w:numPr>
                          </w:pPr>
                          <w:r>
                            <w:t>Strategic Planning.</w:t>
                          </w:r>
                        </w:p>
                        <w:p w:rsidR="008F124C" w:rsidRDefault="008F124C" w:rsidP="00EE7761">
                          <w:pPr>
                            <w:pStyle w:val="ListParagraph"/>
                            <w:numPr>
                              <w:ilvl w:val="0"/>
                              <w:numId w:val="11"/>
                            </w:numPr>
                          </w:pPr>
                          <w:r>
                            <w:t>Marketing.</w:t>
                          </w:r>
                        </w:p>
                        <w:p w:rsidR="008F124C" w:rsidRDefault="008F124C" w:rsidP="00EE7761">
                          <w:pPr>
                            <w:pStyle w:val="ListParagraph"/>
                            <w:numPr>
                              <w:ilvl w:val="0"/>
                              <w:numId w:val="11"/>
                            </w:numPr>
                          </w:pPr>
                          <w:r>
                            <w:t>Other.</w:t>
                          </w:r>
                        </w:p>
                        <w:p w:rsidR="008F124C" w:rsidRDefault="008F124C" w:rsidP="006F5B16"/>
                      </w:txbxContent>
                    </v:textbox>
                  </v:shape>
                  <v:shape id="Straight Arrow Connector 17459" o:spid="_x0000_s1062" type="#_x0000_t32" style="position:absolute;left:14471;top:6280;width:466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gQlcIAAADbAAAADwAAAGRycy9kb3ducmV2LnhtbESPT2vCQBDF7wW/wzJCL1I3hlTa1FVK&#10;obRXoy09DtlpNpidDdmpxm/fFQSPj/fnx1ttRt+pIw2xDWxgMc9AEdfBttwY2O/eH55ARUG22AUm&#10;A2eKsFlP7lZY2nDiLR0raVQa4ViiASfSl1rH2pHHOA89cfJ+w+BRkhwabQc8pXHf6TzLltpjy4ng&#10;sKc3R/Wh+vOJS/t8Vj3OnovDB379fDs5Fwsx5n46vr6AEhrlFr62P62BvIDLl/QD9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WgQlcIAAADbAAAADwAAAAAAAAAAAAAA&#10;AAChAgAAZHJzL2Rvd25yZXYueG1sUEsFBgAAAAAEAAQA+QAAAJADAAAAAA==&#10;" strokecolor="#5b9bd5 [3204]" strokeweight=".5pt">
                    <v:stroke endarrow="block" joinstyle="miter"/>
                  </v:shape>
                  <v:shape id="Straight Arrow Connector 17460" o:spid="_x0000_s1063" type="#_x0000_t32" style="position:absolute;left:14436;top:14439;width:466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S1DsIAAADbAAAADwAAAGRycy9kb3ducmV2LnhtbESPT2vCQBDF74V+h2WEXqRuDFpqdJUi&#10;lHpttKXHITtmg9nZkB01fvuuUOjx8f78eKvN4Ft1oT42gQ1MJxko4irYhmsDh/378yuoKMgW28Bk&#10;4EYRNuvHhxUWNlz5ky6l1CqNcCzQgBPpCq1j5chjnISOOHnH0HuUJPta2x6vady3Os+yF+2x4URw&#10;2NHWUXUqzz5x6ZCPy/l4MTt94NfPt5PbbCrGPI2GtyUooUH+w3/tnTWQz+H+Jf0Avf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iS1DsIAAADbAAAADwAAAAAAAAAAAAAA&#10;AAChAgAAZHJzL2Rvd25yZXYueG1sUEsFBgAAAAAEAAQA+QAAAJADAAAAAA==&#10;" strokecolor="#5b9bd5 [3204]" strokeweight=".5pt">
                    <v:stroke endarrow="block" joinstyle="miter"/>
                  </v:shape>
                  <v:shape id="Straight Arrow Connector 17461" o:spid="_x0000_s1064" type="#_x0000_t32" style="position:absolute;left:14563;top:22909;width:466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qAS8AAAADbAAAADwAAAGRycy9kb3ducmV2LnhtbERPTUvDQBC9C/0Pywheit201qKx21IE&#10;0auxFY9DdsyGZmdDdmzTf+8cBI+P973ejrEzJxpym9jBfFaAIa6Tb7lxsP94uX0AkwXZY5eYHFwo&#10;w3YzuVpj6dOZ3+lUSWM0hHOJDoJIX1qb60AR8yz1xMp9pyGiKBwa6wc8a3js7KIoVjZiy9oQsKfn&#10;QPWx+onaS/vFtLqfPi6Pr3j4+gxyWc7FuZvrcfcERmiUf/Gf+807uNP1+kV/gN38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KgEvAAAAA2wAAAA8AAAAAAAAAAAAAAAAA&#10;oQIAAGRycy9kb3ducmV2LnhtbFBLBQYAAAAABAAEAPkAAACOAwAAAAA=&#10;" strokecolor="#5b9bd5 [3204]" strokeweight=".5pt">
                    <v:stroke endarrow="block" joinstyle="miter"/>
                  </v:shape>
                  <v:shape id="Straight Arrow Connector 17462" o:spid="_x0000_s1065" type="#_x0000_t32" style="position:absolute;left:30851;top:14174;width:58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Jrx8AAAADcAAAADwAAAGRycy9kb3ducmV2LnhtbERPTUvDQBC9C/6HZQQvpd20RNHYbRFB&#10;9GpapcchO2ZDs7MhO7bpv3cOgsfH+15vp9ibE425S+xguSjAEDfJd9w62O9e5w9gsiB77BOTgwtl&#10;2G6ur9ZY+XTmDzrV0hoN4VyhgyAyVNbmJlDEvEgDsXLfaYwoCsfW+hHPGh57uyqKexuxY20IONBL&#10;oOZY/0Ttpf1qVt/NHsvjG34evoJcyqU4d3szPT+BEZrkX/znfvcOylLX6hk9Anbz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Dya8fAAAAA3AAAAA8AAAAAAAAAAAAAAAAA&#10;oQIAAGRycy9kb3ducmV2LnhtbFBLBQYAAAAABAAEAPkAAACOAwAAAAA=&#10;" strokecolor="#5b9bd5 [3204]" strokeweight=".5pt">
                    <v:stroke endarrow="block" joinstyle="miter"/>
                  </v:shape>
                  <v:shape id="Straight Arrow Connector 17463" o:spid="_x0000_s1066" type="#_x0000_t32" style="position:absolute;left:14563;top:8001;width:453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2B6MYAAADcAAAADwAAAGRycy9kb3ducmV2LnhtbESPQWvCQBSE7wX/w/IEL0U3Wi0ldRWN&#10;FLzWFqq3R/aZTZt9G7NrjP56t1DocZiZb5j5srOVaKnxpWMF41ECgjh3uuRCwefH2/AFhA/IGivH&#10;pOBKHpaL3sMcU+0u/E7tLhQiQtinqMCEUKdS+tyQRT9yNXH0jq6xGKJsCqkbvES4reQkSZ6lxZLj&#10;gsGaMkP5z+5sFRyOM92us02Zm3329PU4vZ2+9xulBv1u9QoiUBf+w3/trVYwnY3h90w8AnJ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NgejGAAAA3AAAAA8AAAAAAAAA&#10;AAAAAAAAoQIAAGRycy9kb3ducmV2LnhtbFBLBQYAAAAABAAEAPkAAACUAwAAAAA=&#10;" strokecolor="#5b9bd5 [3204]" strokeweight=".5pt">
                    <v:stroke endarrow="block" joinstyle="miter"/>
                  </v:shape>
                  <v:shape id="Straight Arrow Connector 17464" o:spid="_x0000_s1067" type="#_x0000_t32" style="position:absolute;left:14452;top:15921;width:452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8fn8YAAADcAAAADwAAAGRycy9kb3ducmV2LnhtbESPQWvCQBSE74L/YXlCL6IbrZaSuopG&#10;Cl5rC9XbI/vMps2+jdltjP56t1DocZiZb5jFqrOVaKnxpWMFk3ECgjh3uuRCwcf76+gZhA/IGivH&#10;pOBKHlbLfm+BqXYXfqN2HwoRIexTVGBCqFMpfW7Ioh+7mjh6J9dYDFE2hdQNXiLcVnKaJE/SYslx&#10;wWBNmaH8e/9jFRxPc91usm2Zm0P2+Dmc3c5fh61SD4Nu/QIiUBf+w3/tnVYwm0/h90w8AnJ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fH5/GAAAA3AAAAA8AAAAAAAAA&#10;AAAAAAAAoQIAAGRycy9kb3ducmV2LnhtbFBLBQYAAAAABAAEAPkAAACUAwAAAAA=&#10;" strokecolor="#5b9bd5 [3204]" strokeweight=".5pt">
                    <v:stroke endarrow="block" joinstyle="miter"/>
                  </v:shape>
                  <v:shape id="Straight Arrow Connector 17465" o:spid="_x0000_s1068" type="#_x0000_t32" style="position:absolute;left:14436;top:24394;width:452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QZnMYAAADcAAAADwAAAGRycy9kb3ducmV2LnhtbESPQWvCQBSE74L/YXlCL1I3tSqSuopG&#10;Cl61hertkX1mU7Nv0+w2xv76bkHocZiZb5jFqrOVaKnxpWMFT6MEBHHudMmFgve318c5CB+QNVaO&#10;ScGNPKyW/d4CU+2uvKf2EAoRIexTVGBCqFMpfW7Ioh+5mjh6Z9dYDFE2hdQNXiPcVnKcJDNpseS4&#10;YLCmzFB+OXxbBafzVLebbFvm5pg9fwwnP1+fx61SD4Nu/QIiUBf+w/f2TiuYTGfwdyYeAb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kGZzGAAAA3AAAAA8AAAAAAAAA&#10;AAAAAAAAoQIAAGRycy9kb3ducmV2LnhtbFBLBQYAAAAABAAEAPkAAACUAwAAAAA=&#10;" strokecolor="#5b9bd5 [3204]" strokeweight=".5pt">
                    <v:stroke endarrow="block" joinstyle="miter"/>
                  </v:shape>
                  <v:shape id="Straight Arrow Connector 17466" o:spid="_x0000_s1069" type="#_x0000_t32" style="position:absolute;left:30851;top:15921;width:588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i8B8cAAADcAAAADwAAAGRycy9kb3ducmV2LnhtbESPT2vCQBTE7wW/w/IKvRTdtPUf0VXa&#10;SKHXqqDeHtlnNjX7Ns1uY/TTdwtCj8PM/IaZLztbiZYaXzpW8DRIQBDnTpdcKNhu3vtTED4ga6wc&#10;k4ILeVguendzTLU78ye161CICGGfogITQp1K6XNDFv3A1cTRO7rGYoiyKaRu8BzhtpLPSTKWFkuO&#10;CwZrygzlp/WPVXA4jnT7lq3K3Oyzl93j8Pr9tV8p9XDfvc5ABOrCf/jW/tAKhqMJ/J2JR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6LwHxwAAANwAAAAPAAAAAAAA&#10;AAAAAAAAAKECAABkcnMvZG93bnJldi54bWxQSwUGAAAAAAQABAD5AAAAlQMAAAAA&#10;" strokecolor="#5b9bd5 [3204]" strokeweight=".5pt">
                    <v:stroke endarrow="block" joinstyle="miter"/>
                  </v:shape>
                  <v:shape id="Straight Arrow Connector 17467" o:spid="_x0000_s1070" type="#_x0000_t32" style="position:absolute;left:9506;top:12263;width: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codcMAAADcAAAADwAAAGRycy9kb3ducmV2LnhtbERPz2vCMBS+D/wfwhN2GZpuU5FqlK0y&#10;2HUqWG+P5tlUm5euyWq3v345CB4/vt/LdW9r0VHrK8cKnscJCOLC6YpLBfvdx2gOwgdkjbVjUvBL&#10;HtarwcMSU+2u/EXdNpQihrBPUYEJoUml9IUhi37sGuLInVxrMUTYllK3eI3htpYvSTKTFiuODQYb&#10;ygwVl+2PVXA8TXX3nm2qwuTZ6+Fp8vd9zjdKPQ77twWIQH24i2/uT61gMo1r45l4BOTq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h3KHXDAAAA3AAAAA8AAAAAAAAAAAAA&#10;AAAAoQIAAGRycy9kb3ducmV2LnhtbFBLBQYAAAAABAAEAPkAAACRAwAAAAA=&#10;" strokecolor="#5b9bd5 [3204]" strokeweight=".5pt">
                    <v:stroke endarrow="block" joinstyle="miter"/>
                  </v:shape>
                  <v:shape id="Straight Arrow Connector 17468" o:spid="_x0000_s1071" type="#_x0000_t32" style="position:absolute;left:9506;top:20546;width: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uN7scAAADcAAAADwAAAGRycy9kb3ducmV2LnhtbESPQWvCQBSE7wX/w/IKvRTdtFXR6Cpt&#10;pNBrVVBvj+wzm5p9m2a3MfrruwWhx2FmvmHmy85WoqXGl44VPA0SEMS50yUXCrab9/4EhA/IGivH&#10;pOBCHpaL3t0cU+3O/EntOhQiQtinqMCEUKdS+tyQRT9wNXH0jq6xGKJsCqkbPEe4reRzkoylxZLj&#10;gsGaMkP5af1jFRyOI92+ZasyN/vsZfc4vH5/7VdKPdx3rzMQgbrwH761P7SC4WgKf2fiEZ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O43uxwAAANwAAAAPAAAAAAAA&#10;AAAAAAAAAKECAABkcnMvZG93bnJldi54bWxQSwUGAAAAAAQABAD5AAAAlQMAAAAA&#10;" strokecolor="#5b9bd5 [3204]" strokeweight=".5pt">
                    <v:stroke endarrow="block" joinstyle="miter"/>
                  </v:shape>
                  <v:shape id="Straight Arrow Connector 17469" o:spid="_x0000_s1072" type="#_x0000_t32" style="position:absolute;left:7424;top:10257;width:0;height:21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Ol1sQAAADcAAAADwAAAGRycy9kb3ducmV2LnhtbESPT2vCQBDF7wW/wzJCL1I3apQ2uooU&#10;ir021dLjkJ1mg9nZkJ1q/PbdQqHHx/vz4212g2/VhfrYBDYwm2agiKtgG64NHN9fHh5BRUG22AYm&#10;AzeKsNuO7jZY2HDlN7qUUqs0wrFAA06kK7SOlSOPcRo64uR9hd6jJNnX2vZ4TeO+1fMsW2mPDSeC&#10;w46eHVXn8tsnLh3nk3I5ecrPBzx9fji55TMx5n487NeghAb5D/+1X62BfLWA3zPpCO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46XWxAAAANwAAAAPAAAAAAAAAAAA&#10;AAAAAKECAABkcnMvZG93bnJldi54bWxQSwUGAAAAAAQABAD5AAAAkgMAAAAA&#10;" strokecolor="#5b9bd5 [3204]" strokeweight=".5pt">
                    <v:stroke endarrow="block" joinstyle="miter"/>
                  </v:shape>
                  <v:shape id="Straight Arrow Connector 17470" o:spid="_x0000_s1073" type="#_x0000_t32" style="position:absolute;left:7424;top:18546;width:0;height:20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aYOcMAAADcAAAADwAAAGRycy9kb3ducmV2LnhtbESPT2vCQBDF70K/wzIFL1I3SpQ2dZVS&#10;EHtt1NLjkJ1mg9nZkJ1q/PZuoeDx8f78eKvN4Ft1pj42gQ3Mphko4irYhmsDh/326RlUFGSLbWAy&#10;cKUIm/XDaIWFDRf+pHMptUojHAs04ES6QutYOfIYp6EjTt5P6D1Kkn2tbY+XNO5bPc+ypfbYcCI4&#10;7OjdUXUqf33i0mE+KReTl/y0w+P3l5NrPhNjxo/D2ysooUHu4f/2hzWQLxfwdyYdAb2+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VGmDnDAAAA3AAAAA8AAAAAAAAAAAAA&#10;AAAAoQIAAGRycy9kb3ducmV2LnhtbFBLBQYAAAAABAAEAPkAAACRAwAAAAA=&#10;" strokecolor="#5b9bd5 [3204]" strokeweight=".5pt">
                    <v:stroke endarrow="block" joinstyle="miter"/>
                  </v:shape>
                  <v:shape id="Straight Arrow Connector 17471" o:spid="_x0000_s1074" type="#_x0000_t32" style="position:absolute;left:9223;top:10257;width:0;height:20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dHU8cAAADcAAAADwAAAGRycy9kb3ducmV2LnhtbESPQWvCQBSE74L/YXlCL0U3tlY0dZU2&#10;Uui1VlBvj+wzm5p9m2a3MfXXd4WCx2FmvmEWq85WoqXGl44VjEcJCOLc6ZILBdvPt+EMhA/IGivH&#10;pOCXPKyW/d4CU+3O/EHtJhQiQtinqMCEUKdS+tyQRT9yNXH0jq6xGKJsCqkbPEe4reRDkkylxZLj&#10;gsGaMkP5afNjFRyOT7p9zdZlbvbZ4+5+cvn+2q+Vuht0L88gAnXhFv5vv2sFk+kcrmfi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V0dTxwAAANwAAAAPAAAAAAAA&#10;AAAAAAAAAKECAABkcnMvZG93bnJldi54bWxQSwUGAAAAAAQABAD5AAAAlQMAAAAA&#10;" strokecolor="#5b9bd5 [3204]" strokeweight=".5pt">
                    <v:stroke endarrow="block" joinstyle="miter"/>
                  </v:shape>
                  <v:shape id="Straight Arrow Connector 17472" o:spid="_x0000_s1075" type="#_x0000_t32" style="position:absolute;left:9223;top:18546;width:0;height:20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R4E8QAAADcAAAADwAAAGRycy9kb3ducmV2LnhtbERPy2rCQBTdC/2H4RbcSJ34qJbUUTRS&#10;6LZWqO4umWsmbeZOzIwx+vWdRaHLw3kvVp2tREuNLx0rGA0TEMS50yUXCvafb08vIHxA1lg5JgU3&#10;8rBaPvQWmGp35Q9qd6EQMYR9igpMCHUqpc8NWfRDVxNH7uQaiyHCppC6wWsMt5UcJ8lMWiw5Nhis&#10;KTOU/+wuVsHx9KzbTbYtc3PIJl+D6f38fdgq1X/s1q8gAnXhX/znftcKpvM4P56JR0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tHgTxAAAANwAAAAPAAAAAAAAAAAA&#10;AAAAAKECAABkcnMvZG93bnJldi54bWxQSwUGAAAAAAQABAD5AAAAkgMAAAAA&#10;" strokecolor="#5b9bd5 [3204]" strokeweight=".5pt">
                    <v:stroke endarrow="block" joinstyle="miter"/>
                  </v:shape>
                </v:group>
                <w10:anchorlock/>
              </v:group>
            </w:pict>
          </mc:Fallback>
        </mc:AlternateContent>
      </w:r>
      <w:bookmarkStart w:id="6" w:name="_Ref468391297"/>
      <w:r w:rsidR="006F5B16" w:rsidRPr="00116E1F">
        <w:rPr>
          <w:rFonts w:ascii="Times New Roman" w:hAnsi="Times New Roman" w:cs="Times New Roman"/>
        </w:rPr>
        <w:t xml:space="preserve">Figure </w:t>
      </w:r>
      <w:r w:rsidR="009A0ED7" w:rsidRPr="00116E1F">
        <w:rPr>
          <w:rFonts w:ascii="Times New Roman" w:hAnsi="Times New Roman" w:cs="Times New Roman"/>
        </w:rPr>
        <w:fldChar w:fldCharType="begin"/>
      </w:r>
      <w:r w:rsidR="006F5B16" w:rsidRPr="00116E1F">
        <w:rPr>
          <w:rFonts w:ascii="Times New Roman" w:hAnsi="Times New Roman" w:cs="Times New Roman"/>
        </w:rPr>
        <w:instrText xml:space="preserve"> SEQ Figure \* ARABIC </w:instrText>
      </w:r>
      <w:r w:rsidR="009A0ED7" w:rsidRPr="00116E1F">
        <w:rPr>
          <w:rFonts w:ascii="Times New Roman" w:hAnsi="Times New Roman" w:cs="Times New Roman"/>
        </w:rPr>
        <w:fldChar w:fldCharType="separate"/>
      </w:r>
      <w:r w:rsidR="009F5483">
        <w:rPr>
          <w:rFonts w:ascii="Times New Roman" w:hAnsi="Times New Roman" w:cs="Times New Roman"/>
          <w:noProof/>
        </w:rPr>
        <w:t>3</w:t>
      </w:r>
      <w:r w:rsidR="009A0ED7" w:rsidRPr="00116E1F">
        <w:rPr>
          <w:rFonts w:ascii="Times New Roman" w:hAnsi="Times New Roman" w:cs="Times New Roman"/>
        </w:rPr>
        <w:fldChar w:fldCharType="end"/>
      </w:r>
      <w:bookmarkEnd w:id="6"/>
      <w:r w:rsidR="006F5B16" w:rsidRPr="00116E1F">
        <w:rPr>
          <w:rFonts w:ascii="Times New Roman" w:hAnsi="Times New Roman" w:cs="Times New Roman"/>
        </w:rPr>
        <w:t xml:space="preserve">. </w:t>
      </w:r>
      <w:r w:rsidR="006F5B16" w:rsidRPr="00116E1F">
        <w:rPr>
          <w:rFonts w:ascii="Times New Roman" w:eastAsia="Calibri" w:hAnsi="Times New Roman" w:cs="Times New Roman"/>
        </w:rPr>
        <w:t>LCA f</w:t>
      </w:r>
      <w:r w:rsidR="00F026DC">
        <w:rPr>
          <w:rFonts w:ascii="Times New Roman" w:eastAsia="Calibri" w:hAnsi="Times New Roman" w:cs="Times New Roman"/>
        </w:rPr>
        <w:t>ramework according to ISO 14040</w:t>
      </w:r>
      <w:r w:rsidR="006F5B16" w:rsidRPr="00116E1F">
        <w:rPr>
          <w:rFonts w:ascii="Times New Roman" w:eastAsia="Calibri" w:hAnsi="Times New Roman" w:cs="Times New Roman"/>
        </w:rPr>
        <w:t xml:space="preserve"> </w:t>
      </w:r>
      <w:r w:rsidR="006F5B16" w:rsidRPr="00116E1F">
        <w:rPr>
          <w:rStyle w:val="ReferenceChar"/>
          <w:noProof/>
          <w:color w:val="auto"/>
        </w:rPr>
        <w:t>(ISO 14040. 2006)</w:t>
      </w:r>
      <w:r w:rsidR="00F026DC">
        <w:rPr>
          <w:rStyle w:val="ReferenceChar"/>
          <w:noProof/>
          <w:color w:val="auto"/>
        </w:rPr>
        <w:t>.</w:t>
      </w:r>
      <w:bookmarkEnd w:id="5"/>
    </w:p>
    <w:p w:rsidR="00300C7C" w:rsidRPr="00116E1F" w:rsidRDefault="006F5B16" w:rsidP="00B14B3F">
      <w:pPr>
        <w:spacing w:after="0" w:line="360" w:lineRule="auto"/>
        <w:ind w:firstLine="720"/>
        <w:jc w:val="both"/>
        <w:rPr>
          <w:rFonts w:ascii="Times New Roman" w:eastAsia="Calibri" w:hAnsi="Times New Roman" w:cs="Times New Roman"/>
        </w:rPr>
      </w:pPr>
      <w:r w:rsidRPr="00116E1F">
        <w:rPr>
          <w:rStyle w:val="ReferenceChar"/>
          <w:color w:val="auto"/>
        </w:rPr>
        <w:lastRenderedPageBreak/>
        <w:t xml:space="preserve">Yet the future of </w:t>
      </w:r>
      <w:r w:rsidRPr="00116E1F">
        <w:rPr>
          <w:rFonts w:ascii="Times New Roman" w:eastAsia="Calibri" w:hAnsi="Times New Roman" w:cs="Times New Roman"/>
        </w:rPr>
        <w:t>LCA seems to point towards LCSA (Life Cycle Sustainable Assessment) framework.</w:t>
      </w:r>
    </w:p>
    <w:p w:rsidR="00300C7C" w:rsidRPr="00116E1F" w:rsidRDefault="00300C7C" w:rsidP="00300C7C">
      <w:pPr>
        <w:spacing w:after="0" w:line="360" w:lineRule="auto"/>
        <w:ind w:firstLine="720"/>
        <w:jc w:val="both"/>
        <w:rPr>
          <w:rFonts w:ascii="Times New Roman" w:eastAsia="Calibri" w:hAnsi="Times New Roman" w:cs="Times New Roman"/>
        </w:rPr>
      </w:pPr>
      <w:r w:rsidRPr="00116E1F">
        <w:rPr>
          <w:rFonts w:ascii="Times New Roman" w:eastAsia="Calibri" w:hAnsi="Times New Roman" w:cs="Times New Roman"/>
        </w:rPr>
        <w:t xml:space="preserve">LCSA would broaden the scope to include several areas previously not covered. These include all three dimensions of sustainability (people, planet, and prosperity) as well as diverging from product related questions to sector and economy level, as illustrated by </w:t>
      </w:r>
      <w:r w:rsidR="00A6415F" w:rsidRPr="00116E1F">
        <w:fldChar w:fldCharType="begin"/>
      </w:r>
      <w:r w:rsidR="00A6415F" w:rsidRPr="00116E1F">
        <w:instrText xml:space="preserve"> REF _Ref468391357 \h  \* MERGEFORMAT </w:instrText>
      </w:r>
      <w:r w:rsidR="00A6415F" w:rsidRPr="00116E1F">
        <w:fldChar w:fldCharType="separate"/>
      </w:r>
      <w:r w:rsidR="009F5483" w:rsidRPr="009F5483">
        <w:rPr>
          <w:rStyle w:val="FiguresChar"/>
          <w:color w:val="auto"/>
        </w:rPr>
        <w:t>Figure 4</w:t>
      </w:r>
      <w:r w:rsidR="00A6415F" w:rsidRPr="00116E1F">
        <w:fldChar w:fldCharType="end"/>
      </w:r>
      <w:r w:rsidR="006F5B16" w:rsidRPr="00116E1F">
        <w:rPr>
          <w:rStyle w:val="FiguresChar"/>
          <w:color w:val="auto"/>
        </w:rPr>
        <w:t>.</w:t>
      </w:r>
    </w:p>
    <w:p w:rsidR="00300C7C" w:rsidRPr="005B3139" w:rsidRDefault="008F124C" w:rsidP="006624F7">
      <w:pPr>
        <w:spacing w:line="360" w:lineRule="auto"/>
        <w:ind w:firstLine="720"/>
        <w:jc w:val="center"/>
        <w:rPr>
          <w:rFonts w:ascii="Times New Roman" w:eastAsia="Calibri" w:hAnsi="Times New Roman" w:cs="Times New Roman"/>
        </w:rPr>
      </w:pPr>
      <w:r>
        <w:rPr>
          <w:rFonts w:ascii="Times New Roman" w:hAnsi="Times New Roman" w:cs="Times New Roman"/>
        </w:rPr>
        <w:pict>
          <v:rect id="rectole0000000001" o:spid="_x0000_i1026" style="width:330.4pt;height:303.8pt" o:preferrelative="t" stroked="f">
            <v:imagedata r:id="rId23" o:title=""/>
          </v:rect>
        </w:pict>
      </w:r>
    </w:p>
    <w:p w:rsidR="00300C7C" w:rsidRPr="00116E1F" w:rsidRDefault="00300C7C" w:rsidP="00300C7C">
      <w:pPr>
        <w:rPr>
          <w:rStyle w:val="ReferenceChar"/>
          <w:color w:val="auto"/>
        </w:rPr>
      </w:pPr>
      <w:bookmarkStart w:id="7" w:name="_Ref468391357"/>
      <w:bookmarkStart w:id="8" w:name="_Toc495848337"/>
      <w:r w:rsidRPr="00116E1F">
        <w:rPr>
          <w:rFonts w:ascii="Times New Roman" w:hAnsi="Times New Roman" w:cs="Times New Roman"/>
        </w:rPr>
        <w:t xml:space="preserve">Figure </w:t>
      </w:r>
      <w:r w:rsidR="009A0ED7" w:rsidRPr="00116E1F">
        <w:rPr>
          <w:rFonts w:ascii="Times New Roman" w:hAnsi="Times New Roman" w:cs="Times New Roman"/>
        </w:rPr>
        <w:fldChar w:fldCharType="begin"/>
      </w:r>
      <w:r w:rsidRPr="00116E1F">
        <w:rPr>
          <w:rFonts w:ascii="Times New Roman" w:hAnsi="Times New Roman" w:cs="Times New Roman"/>
        </w:rPr>
        <w:instrText xml:space="preserve"> SEQ Figure \* ARABIC </w:instrText>
      </w:r>
      <w:r w:rsidR="009A0ED7" w:rsidRPr="00116E1F">
        <w:rPr>
          <w:rFonts w:ascii="Times New Roman" w:hAnsi="Times New Roman" w:cs="Times New Roman"/>
        </w:rPr>
        <w:fldChar w:fldCharType="separate"/>
      </w:r>
      <w:r w:rsidR="009F5483">
        <w:rPr>
          <w:rFonts w:ascii="Times New Roman" w:hAnsi="Times New Roman" w:cs="Times New Roman"/>
          <w:noProof/>
        </w:rPr>
        <w:t>4</w:t>
      </w:r>
      <w:r w:rsidR="009A0ED7" w:rsidRPr="00116E1F">
        <w:rPr>
          <w:rFonts w:ascii="Times New Roman" w:hAnsi="Times New Roman" w:cs="Times New Roman"/>
        </w:rPr>
        <w:fldChar w:fldCharType="end"/>
      </w:r>
      <w:bookmarkEnd w:id="7"/>
      <w:r w:rsidRPr="00116E1F">
        <w:rPr>
          <w:rFonts w:ascii="Times New Roman" w:hAnsi="Times New Roman" w:cs="Times New Roman"/>
        </w:rPr>
        <w:t xml:space="preserve">. </w:t>
      </w:r>
      <w:r w:rsidR="006F5B16" w:rsidRPr="00116E1F">
        <w:rPr>
          <w:rFonts w:ascii="Times New Roman" w:eastAsia="Calibri" w:hAnsi="Times New Roman" w:cs="Times New Roman"/>
        </w:rPr>
        <w:t>Life Cycle Sustainable Assessment</w:t>
      </w:r>
      <w:r w:rsidR="00F026DC">
        <w:rPr>
          <w:rFonts w:ascii="Times New Roman" w:eastAsia="Calibri" w:hAnsi="Times New Roman" w:cs="Times New Roman"/>
        </w:rPr>
        <w:t xml:space="preserve"> framework</w:t>
      </w:r>
      <w:r w:rsidRPr="00116E1F">
        <w:rPr>
          <w:rFonts w:ascii="Times New Roman" w:eastAsia="Calibri" w:hAnsi="Times New Roman" w:cs="Times New Roman"/>
        </w:rPr>
        <w:t xml:space="preserve"> </w:t>
      </w:r>
      <w:r w:rsidR="006964F4" w:rsidRPr="00116E1F">
        <w:rPr>
          <w:rStyle w:val="ReferenceChar"/>
          <w:noProof/>
          <w:color w:val="auto"/>
        </w:rPr>
        <w:t xml:space="preserve">(Guinee </w:t>
      </w:r>
      <w:r w:rsidR="006F5B16" w:rsidRPr="00116E1F">
        <w:rPr>
          <w:rStyle w:val="ReferenceChar"/>
          <w:noProof/>
          <w:color w:val="auto"/>
        </w:rPr>
        <w:t>et al.</w:t>
      </w:r>
      <w:r w:rsidR="006964F4" w:rsidRPr="00116E1F">
        <w:rPr>
          <w:rStyle w:val="ReferenceChar"/>
          <w:noProof/>
          <w:color w:val="auto"/>
        </w:rPr>
        <w:t>, 2010</w:t>
      </w:r>
      <w:r w:rsidR="006F5B16" w:rsidRPr="00116E1F">
        <w:rPr>
          <w:rStyle w:val="ReferenceChar"/>
          <w:noProof/>
          <w:color w:val="auto"/>
        </w:rPr>
        <w:t>)</w:t>
      </w:r>
      <w:r w:rsidR="00F026DC">
        <w:rPr>
          <w:rStyle w:val="ReferenceChar"/>
          <w:noProof/>
          <w:color w:val="auto"/>
        </w:rPr>
        <w:t>.</w:t>
      </w:r>
      <w:bookmarkEnd w:id="8"/>
    </w:p>
    <w:p w:rsidR="00F557F1" w:rsidRDefault="00300C7C" w:rsidP="00F557F1">
      <w:pPr>
        <w:spacing w:after="0" w:line="360" w:lineRule="auto"/>
        <w:ind w:firstLine="720"/>
        <w:jc w:val="both"/>
        <w:rPr>
          <w:rFonts w:ascii="Times New Roman" w:eastAsia="Calibri" w:hAnsi="Times New Roman" w:cs="Times New Roman"/>
        </w:rPr>
      </w:pPr>
      <w:r w:rsidRPr="00116E1F">
        <w:rPr>
          <w:rFonts w:ascii="Times New Roman" w:eastAsia="Calibri" w:hAnsi="Times New Roman" w:cs="Times New Roman"/>
        </w:rPr>
        <w:t>Summarising, LCA can be performed by various individuals ranging from people in industry to academics a</w:t>
      </w:r>
      <w:r w:rsidR="006F5B16" w:rsidRPr="00116E1F">
        <w:rPr>
          <w:rFonts w:ascii="Times New Roman" w:eastAsia="Calibri" w:hAnsi="Times New Roman" w:cs="Times New Roman"/>
        </w:rPr>
        <w:t>nd even government policymakers</w:t>
      </w:r>
      <w:r w:rsidRPr="00116E1F">
        <w:rPr>
          <w:rFonts w:ascii="Times New Roman" w:eastAsia="Calibri" w:hAnsi="Times New Roman" w:cs="Times New Roman"/>
        </w:rPr>
        <w:t xml:space="preserve">. It can be applied to virtually any material, product or structure possible. Depending on the system boundaries and interpretation, the variability between </w:t>
      </w:r>
      <w:r w:rsidR="006F5B16" w:rsidRPr="00116E1F">
        <w:rPr>
          <w:rFonts w:ascii="Times New Roman" w:eastAsia="Calibri" w:hAnsi="Times New Roman" w:cs="Times New Roman"/>
        </w:rPr>
        <w:t>LCA studies</w:t>
      </w:r>
      <w:r w:rsidRPr="00116E1F">
        <w:rPr>
          <w:rFonts w:ascii="Times New Roman" w:eastAsia="Calibri" w:hAnsi="Times New Roman" w:cs="Times New Roman"/>
        </w:rPr>
        <w:t xml:space="preserve"> of sim</w:t>
      </w:r>
      <w:r w:rsidR="00EF6615" w:rsidRPr="00116E1F">
        <w:rPr>
          <w:rFonts w:ascii="Times New Roman" w:eastAsia="Calibri" w:hAnsi="Times New Roman" w:cs="Times New Roman"/>
        </w:rPr>
        <w:t>ilar products can be varied</w:t>
      </w:r>
      <w:r w:rsidR="00F557F1">
        <w:rPr>
          <w:rFonts w:ascii="Times New Roman" w:eastAsia="Calibri" w:hAnsi="Times New Roman" w:cs="Times New Roman"/>
        </w:rPr>
        <w:t>.</w:t>
      </w:r>
    </w:p>
    <w:p w:rsidR="00B139B1" w:rsidRDefault="00B139B1" w:rsidP="00B139B1">
      <w:pPr>
        <w:spacing w:after="0" w:line="360" w:lineRule="auto"/>
        <w:jc w:val="both"/>
        <w:rPr>
          <w:rFonts w:ascii="Times New Roman" w:eastAsia="Calibri" w:hAnsi="Times New Roman" w:cs="Times New Roman"/>
        </w:rPr>
      </w:pPr>
    </w:p>
    <w:p w:rsidR="00B139B1" w:rsidRDefault="00B139B1" w:rsidP="00B139B1">
      <w:pPr>
        <w:spacing w:after="0" w:line="360" w:lineRule="auto"/>
        <w:jc w:val="both"/>
        <w:rPr>
          <w:rFonts w:ascii="Times New Roman" w:eastAsia="Calibri" w:hAnsi="Times New Roman" w:cs="Times New Roman"/>
        </w:rPr>
        <w:sectPr w:rsidR="00B139B1">
          <w:pgSz w:w="11906" w:h="16838"/>
          <w:pgMar w:top="1440" w:right="1440" w:bottom="1440" w:left="1440" w:header="708" w:footer="708" w:gutter="0"/>
          <w:cols w:space="708"/>
          <w:docGrid w:linePitch="360"/>
        </w:sectPr>
      </w:pPr>
    </w:p>
    <w:p w:rsidR="00484EC7" w:rsidRPr="00775AD4" w:rsidRDefault="001716DC" w:rsidP="00F557F1">
      <w:pPr>
        <w:pStyle w:val="Heading1"/>
      </w:pPr>
      <w:r>
        <w:lastRenderedPageBreak/>
        <w:t>3</w:t>
      </w:r>
      <w:r w:rsidR="006A62D1" w:rsidRPr="00F9748B">
        <w:t>. Literatur</w:t>
      </w:r>
      <w:r w:rsidR="006A62D1" w:rsidRPr="00775AD4">
        <w:t>e Review</w:t>
      </w:r>
      <w:r w:rsidR="00F557F1">
        <w:t xml:space="preserve"> </w:t>
      </w:r>
    </w:p>
    <w:p w:rsidR="006A62D1" w:rsidRDefault="001716DC" w:rsidP="00F9748B">
      <w:pPr>
        <w:pStyle w:val="Heading2"/>
      </w:pPr>
      <w:r>
        <w:t>3</w:t>
      </w:r>
      <w:r w:rsidR="006A62D1" w:rsidRPr="00775AD4">
        <w:t xml:space="preserve">.1 </w:t>
      </w:r>
      <w:r w:rsidR="00BE39D7">
        <w:rPr>
          <w:rFonts w:eastAsia="Calibri Light"/>
        </w:rPr>
        <w:t>Review and critique of current ‘Criticality’ literature</w:t>
      </w:r>
      <w:r w:rsidR="00F557F1">
        <w:t xml:space="preserve"> </w:t>
      </w:r>
    </w:p>
    <w:p w:rsidR="0024785A" w:rsidRPr="000906E1" w:rsidRDefault="0024785A" w:rsidP="0024785A">
      <w:pPr>
        <w:spacing w:after="0" w:line="360" w:lineRule="auto"/>
        <w:ind w:firstLine="720"/>
        <w:jc w:val="both"/>
        <w:rPr>
          <w:rFonts w:ascii="Times New Roman" w:eastAsia="Calibri" w:hAnsi="Times New Roman" w:cs="Times New Roman"/>
        </w:rPr>
      </w:pPr>
      <w:r w:rsidRPr="00B139B1">
        <w:rPr>
          <w:rFonts w:ascii="Times New Roman" w:eastAsia="Calibri" w:hAnsi="Times New Roman" w:cs="Times New Roman"/>
        </w:rPr>
        <w:t xml:space="preserve">The idea of ‘criticality’ pertaining to raw materials can be traced back as </w:t>
      </w:r>
      <w:r w:rsidR="00454D3C">
        <w:rPr>
          <w:rFonts w:ascii="Times New Roman" w:eastAsia="Calibri" w:hAnsi="Times New Roman" w:cs="Times New Roman"/>
        </w:rPr>
        <w:t>far as 1939 with the ‘Material Stock P</w:t>
      </w:r>
      <w:r w:rsidRPr="00B139B1">
        <w:rPr>
          <w:rFonts w:ascii="Times New Roman" w:eastAsia="Calibri" w:hAnsi="Times New Roman" w:cs="Times New Roman"/>
        </w:rPr>
        <w:t>iling Act’. Due to geopolitical uncertainty, the US government began securing sup</w:t>
      </w:r>
      <w:r w:rsidR="00212115">
        <w:rPr>
          <w:rFonts w:ascii="Times New Roman" w:eastAsia="Calibri" w:hAnsi="Times New Roman" w:cs="Times New Roman"/>
        </w:rPr>
        <w:t>ply and stock piling militarily-</w:t>
      </w:r>
      <w:r w:rsidRPr="00B139B1">
        <w:rPr>
          <w:rFonts w:ascii="Times New Roman" w:eastAsia="Calibri" w:hAnsi="Times New Roman" w:cs="Times New Roman"/>
        </w:rPr>
        <w:t xml:space="preserve">related materials </w:t>
      </w:r>
      <w:r w:rsidRPr="00B139B1">
        <w:rPr>
          <w:rFonts w:ascii="Times New Roman" w:eastAsia="Calibri" w:hAnsi="Times New Roman" w:cs="Times New Roman"/>
          <w:noProof/>
        </w:rPr>
        <w:t>(National Research Council 2007)</w:t>
      </w:r>
      <w:r w:rsidRPr="00B139B1">
        <w:rPr>
          <w:rFonts w:ascii="Times New Roman" w:eastAsia="Calibri" w:hAnsi="Times New Roman" w:cs="Times New Roman"/>
        </w:rPr>
        <w:t>. However, the following deca</w:t>
      </w:r>
      <w:r w:rsidRPr="000906E1">
        <w:rPr>
          <w:rFonts w:ascii="Times New Roman" w:eastAsia="Calibri" w:hAnsi="Times New Roman" w:cs="Times New Roman"/>
        </w:rPr>
        <w:t>des resulted in little or no development of the concept of criticality up until the past decade</w:t>
      </w:r>
      <w:r w:rsidR="00EA33B1" w:rsidRPr="000906E1">
        <w:rPr>
          <w:rFonts w:ascii="Times New Roman" w:eastAsia="Calibri" w:hAnsi="Times New Roman" w:cs="Times New Roman"/>
        </w:rPr>
        <w:t>,</w:t>
      </w:r>
      <w:r w:rsidRPr="000906E1">
        <w:rPr>
          <w:rFonts w:ascii="Times New Roman" w:eastAsia="Calibri" w:hAnsi="Times New Roman" w:cs="Times New Roman"/>
        </w:rPr>
        <w:t xml:space="preserve"> where it ha</w:t>
      </w:r>
      <w:r w:rsidR="00454D3C" w:rsidRPr="000906E1">
        <w:rPr>
          <w:rFonts w:ascii="Times New Roman" w:eastAsia="Calibri" w:hAnsi="Times New Roman" w:cs="Times New Roman"/>
        </w:rPr>
        <w:t>s become a popular methodology.</w:t>
      </w:r>
    </w:p>
    <w:p w:rsidR="0051572A" w:rsidRPr="000906E1" w:rsidRDefault="003C5621" w:rsidP="0051572A">
      <w:pPr>
        <w:spacing w:after="0" w:line="360" w:lineRule="auto"/>
        <w:ind w:firstLine="720"/>
        <w:jc w:val="both"/>
        <w:rPr>
          <w:rFonts w:ascii="Times New Roman" w:eastAsia="Calibri" w:hAnsi="Times New Roman" w:cs="Times New Roman"/>
        </w:rPr>
      </w:pPr>
      <w:r w:rsidRPr="000906E1">
        <w:rPr>
          <w:rFonts w:ascii="Times New Roman" w:eastAsia="Calibri" w:hAnsi="Times New Roman" w:cs="Times New Roman"/>
        </w:rPr>
        <w:t xml:space="preserve">The popularity of critical metals has primarily been based on the uneasiness surrounding availability of such metals. Thus, resulting in governments and industries with large usage of critical metals, pursuing diversification of supply chains in order to mitigate potential availability constraints in the future. Consequently, two assessment methods have been created to measure the ‘availability’ of critical metals. The first method, ‘high level comparative multi-criteria analyses’ focuses on a macroscopic scale looking at a range of metals. Alternatively, the second method of ‘technology specific assessments’ tends to be much more focused on a microscopic level, targeting an in-depth approach to provide a high level of understanding </w:t>
      </w:r>
      <w:r w:rsidRPr="000906E1">
        <w:rPr>
          <w:rStyle w:val="ReferenceChar"/>
          <w:noProof/>
          <w:color w:val="auto"/>
        </w:rPr>
        <w:t>(Speirs et al. 2014).</w:t>
      </w:r>
      <w:r w:rsidR="0051572A" w:rsidRPr="000906E1">
        <w:rPr>
          <w:rStyle w:val="Heading2Char"/>
          <w:noProof/>
          <w:color w:val="auto"/>
        </w:rPr>
        <w:t xml:space="preserve"> </w:t>
      </w:r>
      <w:r w:rsidR="0051572A" w:rsidRPr="000906E1">
        <w:rPr>
          <w:rStyle w:val="ReferenceChar"/>
          <w:noProof/>
          <w:color w:val="auto"/>
        </w:rPr>
        <w:t>Nevertheless, there is some accordance in methods developed for measuring availability of criticality  metals. However, given the wide and varied interested organisations involved in and around critical metals, this has led to variations to measure availability of critical metals.</w:t>
      </w:r>
      <w:r w:rsidR="0051572A" w:rsidRPr="000906E1">
        <w:rPr>
          <w:rFonts w:ascii="Times New Roman" w:eastAsia="Calibri" w:hAnsi="Times New Roman" w:cs="Times New Roman"/>
        </w:rPr>
        <w:t xml:space="preserve"> Thus leading to an unclear definition of ‘criticality’ in the literature.</w:t>
      </w:r>
    </w:p>
    <w:p w:rsidR="00CD1602" w:rsidRPr="0051572A" w:rsidRDefault="0024785A" w:rsidP="0051572A">
      <w:pPr>
        <w:spacing w:after="0" w:line="360" w:lineRule="auto"/>
        <w:ind w:firstLine="720"/>
        <w:jc w:val="both"/>
        <w:rPr>
          <w:rFonts w:ascii="Times New Roman" w:eastAsia="Calibri" w:hAnsi="Times New Roman" w:cs="Times New Roman"/>
        </w:rPr>
      </w:pPr>
      <w:r w:rsidRPr="00B139B1">
        <w:rPr>
          <w:rFonts w:ascii="Times New Roman" w:eastAsia="Calibri" w:hAnsi="Times New Roman" w:cs="Times New Roman"/>
        </w:rPr>
        <w:t xml:space="preserve">In the majority of criticality studies, criticality is still considered from an individual perspective, thus explaining the lack of a single definition of criticality between the numerous studies present. </w:t>
      </w:r>
      <w:r w:rsidRPr="00B139B1">
        <w:rPr>
          <w:rFonts w:ascii="Times New Roman" w:hAnsi="Times New Roman"/>
        </w:rPr>
        <w:t xml:space="preserve">For instance, the study by the </w:t>
      </w:r>
      <w:r w:rsidRPr="00B139B1">
        <w:rPr>
          <w:rFonts w:ascii="Times New Roman" w:hAnsi="Times New Roman"/>
          <w:noProof/>
        </w:rPr>
        <w:t>(British Geological Survey 2012)</w:t>
      </w:r>
      <w:r w:rsidRPr="00B139B1">
        <w:rPr>
          <w:rFonts w:ascii="Times New Roman" w:hAnsi="Times New Roman"/>
        </w:rPr>
        <w:t xml:space="preserve"> defines criticality, based on those elements that we need to maintain our economy and lifestyle. Whereas, the </w:t>
      </w:r>
      <w:r w:rsidR="008162D0" w:rsidRPr="00B139B1">
        <w:rPr>
          <w:rFonts w:ascii="Times New Roman" w:hAnsi="Times New Roman"/>
          <w:noProof/>
        </w:rPr>
        <w:t>(Science and Technology Committee,</w:t>
      </w:r>
      <w:r w:rsidRPr="00B139B1">
        <w:rPr>
          <w:rFonts w:ascii="Times New Roman" w:hAnsi="Times New Roman"/>
          <w:noProof/>
        </w:rPr>
        <w:t xml:space="preserve"> 2011)</w:t>
      </w:r>
      <w:r w:rsidRPr="00B139B1">
        <w:rPr>
          <w:rFonts w:ascii="Times New Roman" w:hAnsi="Times New Roman"/>
        </w:rPr>
        <w:t xml:space="preserve"> s</w:t>
      </w:r>
      <w:r w:rsidR="006132EB" w:rsidRPr="00B139B1">
        <w:rPr>
          <w:rFonts w:ascii="Times New Roman" w:hAnsi="Times New Roman"/>
        </w:rPr>
        <w:t xml:space="preserve">tudy refers to these materials </w:t>
      </w:r>
      <w:r w:rsidRPr="00B139B1">
        <w:rPr>
          <w:rFonts w:ascii="Times New Roman" w:hAnsi="Times New Roman"/>
        </w:rPr>
        <w:t>as ‘strategic’ not critical, and def</w:t>
      </w:r>
      <w:r w:rsidR="006132EB" w:rsidRPr="00B139B1">
        <w:rPr>
          <w:rFonts w:ascii="Times New Roman" w:hAnsi="Times New Roman"/>
        </w:rPr>
        <w:t xml:space="preserve">ines ‘strategic raw materials’ </w:t>
      </w:r>
      <w:r w:rsidRPr="00B139B1">
        <w:rPr>
          <w:rFonts w:ascii="Times New Roman" w:hAnsi="Times New Roman"/>
        </w:rPr>
        <w:t xml:space="preserve">as those that may be of importance to any user within the UK. Similarly, a report by the ad-hoc working group in the EU </w:t>
      </w:r>
      <w:r w:rsidRPr="00B139B1">
        <w:rPr>
          <w:rFonts w:ascii="Times New Roman" w:hAnsi="Times New Roman"/>
          <w:noProof/>
        </w:rPr>
        <w:t>(European Commission 2010)</w:t>
      </w:r>
      <w:r w:rsidRPr="00B139B1">
        <w:rPr>
          <w:rFonts w:ascii="Times New Roman" w:hAnsi="Times New Roman"/>
        </w:rPr>
        <w:t xml:space="preserve"> terms a raw material to be critical if it faces high supply risks, high environmental risk</w:t>
      </w:r>
      <w:r w:rsidR="00CD1602" w:rsidRPr="00B139B1">
        <w:rPr>
          <w:rFonts w:ascii="Times New Roman" w:hAnsi="Times New Roman"/>
        </w:rPr>
        <w:t>s and is of economic importance.</w:t>
      </w:r>
      <w:r w:rsidRPr="00B139B1">
        <w:rPr>
          <w:rFonts w:ascii="Times New Roman" w:hAnsi="Times New Roman"/>
        </w:rPr>
        <w:t xml:space="preserve"> </w:t>
      </w:r>
    </w:p>
    <w:p w:rsidR="00973AC6" w:rsidRPr="00B139B1" w:rsidRDefault="00CD1602" w:rsidP="00973AC6">
      <w:pPr>
        <w:spacing w:after="0" w:line="360" w:lineRule="auto"/>
        <w:ind w:firstLine="720"/>
        <w:jc w:val="both"/>
        <w:rPr>
          <w:rFonts w:ascii="Times New Roman" w:hAnsi="Times New Roman" w:cs="Times New Roman"/>
          <w:szCs w:val="20"/>
        </w:rPr>
      </w:pPr>
      <w:r w:rsidRPr="00B139B1">
        <w:rPr>
          <w:rFonts w:ascii="Times New Roman" w:hAnsi="Times New Roman"/>
        </w:rPr>
        <w:t>Due</w:t>
      </w:r>
      <w:r w:rsidR="006B4765" w:rsidRPr="00B139B1">
        <w:rPr>
          <w:rFonts w:ascii="Times New Roman" w:hAnsi="Times New Roman"/>
        </w:rPr>
        <w:t xml:space="preserve"> to</w:t>
      </w:r>
      <w:r w:rsidR="0024785A" w:rsidRPr="00B139B1">
        <w:rPr>
          <w:rFonts w:ascii="Times New Roman" w:hAnsi="Times New Roman"/>
        </w:rPr>
        <w:t xml:space="preserve"> a lack of a single definition of criticality, this has led to a lot of confusion and interchangeable usage of terms such as ‘strategic’, ‘critical’ and even ‘R</w:t>
      </w:r>
      <w:r w:rsidR="00212115">
        <w:rPr>
          <w:rFonts w:ascii="Times New Roman" w:hAnsi="Times New Roman"/>
        </w:rPr>
        <w:t xml:space="preserve">are </w:t>
      </w:r>
      <w:r w:rsidR="0024785A" w:rsidRPr="00B139B1">
        <w:rPr>
          <w:rFonts w:ascii="Times New Roman" w:hAnsi="Times New Roman"/>
        </w:rPr>
        <w:t>E</w:t>
      </w:r>
      <w:r w:rsidR="00212115">
        <w:rPr>
          <w:rFonts w:ascii="Times New Roman" w:hAnsi="Times New Roman"/>
        </w:rPr>
        <w:t xml:space="preserve">arth </w:t>
      </w:r>
      <w:r w:rsidR="0024785A" w:rsidRPr="00B139B1">
        <w:rPr>
          <w:rFonts w:ascii="Times New Roman" w:hAnsi="Times New Roman"/>
        </w:rPr>
        <w:t>E</w:t>
      </w:r>
      <w:r w:rsidR="00212115">
        <w:rPr>
          <w:rFonts w:ascii="Times New Roman" w:hAnsi="Times New Roman"/>
        </w:rPr>
        <w:t>lements (REE)</w:t>
      </w:r>
      <w:r w:rsidR="0024785A" w:rsidRPr="00B139B1">
        <w:rPr>
          <w:rFonts w:ascii="Times New Roman" w:hAnsi="Times New Roman"/>
        </w:rPr>
        <w:t xml:space="preserve">’ </w:t>
      </w:r>
      <w:r w:rsidR="0024785A" w:rsidRPr="00B139B1">
        <w:rPr>
          <w:rFonts w:ascii="Times New Roman" w:hAnsi="Times New Roman"/>
          <w:noProof/>
        </w:rPr>
        <w:t>(European Commission 2010)</w:t>
      </w:r>
      <w:r w:rsidR="0024785A" w:rsidRPr="00B139B1">
        <w:rPr>
          <w:rFonts w:ascii="Times New Roman" w:hAnsi="Times New Roman"/>
        </w:rPr>
        <w:t xml:space="preserve">. The term ‘critical’ brings about a negative stereotype that the world is running out of these resources, which is not the case. Mineral markets are not static; supply and demand is continually changing, mainly due to technology, leading to continual revision of criticality. </w:t>
      </w:r>
      <w:r w:rsidR="00973AC6" w:rsidRPr="00B139B1">
        <w:rPr>
          <w:rFonts w:ascii="Times New Roman" w:hAnsi="Times New Roman" w:cs="Times New Roman"/>
          <w:szCs w:val="20"/>
        </w:rPr>
        <w:t>Nevertheless, the broad definition of criticality can be explained by the metrics used in criticality assessments. Since there appears to be degree of accordance in the general methodology for</w:t>
      </w:r>
      <w:r w:rsidR="00BE7362" w:rsidRPr="00B139B1">
        <w:rPr>
          <w:rFonts w:ascii="Times New Roman" w:hAnsi="Times New Roman" w:cs="Times New Roman"/>
          <w:szCs w:val="20"/>
        </w:rPr>
        <w:t xml:space="preserve"> carrying out</w:t>
      </w:r>
      <w:r w:rsidR="00973AC6" w:rsidRPr="00B139B1">
        <w:rPr>
          <w:rFonts w:ascii="Times New Roman" w:hAnsi="Times New Roman" w:cs="Times New Roman"/>
          <w:szCs w:val="20"/>
        </w:rPr>
        <w:t xml:space="preserve"> criticality assessments.</w:t>
      </w:r>
    </w:p>
    <w:p w:rsidR="0024785A" w:rsidRPr="00B139B1" w:rsidRDefault="00BE7362" w:rsidP="00BE7362">
      <w:pPr>
        <w:spacing w:after="0" w:line="360" w:lineRule="auto"/>
        <w:ind w:firstLine="720"/>
        <w:jc w:val="both"/>
        <w:rPr>
          <w:rFonts w:ascii="Times New Roman" w:hAnsi="Times New Roman" w:cs="Times New Roman"/>
          <w:szCs w:val="20"/>
        </w:rPr>
      </w:pPr>
      <w:r w:rsidRPr="00B139B1">
        <w:rPr>
          <w:rFonts w:ascii="Times New Roman" w:hAnsi="Times New Roman" w:cs="Times New Roman"/>
          <w:szCs w:val="20"/>
        </w:rPr>
        <w:lastRenderedPageBreak/>
        <w:t xml:space="preserve">Typically authors gather an assortment of metrics representing the determining factors of metal availability. From this </w:t>
      </w:r>
      <w:r w:rsidRPr="00B139B1">
        <w:rPr>
          <w:rFonts w:ascii="Times New Roman" w:eastAsia="Calibri" w:hAnsi="Times New Roman" w:cs="Times New Roman"/>
        </w:rPr>
        <w:t>a range of materials, typically metals but occasionally minerals,</w:t>
      </w:r>
      <w:r w:rsidRPr="00B139B1">
        <w:rPr>
          <w:rFonts w:ascii="Times New Roman" w:hAnsi="Times New Roman" w:cs="Times New Roman"/>
          <w:szCs w:val="20"/>
        </w:rPr>
        <w:t xml:space="preserve"> are then assessed and scored against these metrics, resulting in an aggregated score. Thus, providing a relevant measure of criticality. </w:t>
      </w:r>
      <w:r w:rsidR="0024785A" w:rsidRPr="00B139B1">
        <w:rPr>
          <w:rFonts w:ascii="Times New Roman" w:hAnsi="Times New Roman" w:cs="Times New Roman"/>
          <w:szCs w:val="20"/>
        </w:rPr>
        <w:t>The 4 commonly used metri</w:t>
      </w:r>
      <w:r w:rsidRPr="00B139B1">
        <w:rPr>
          <w:rFonts w:ascii="Times New Roman" w:hAnsi="Times New Roman" w:cs="Times New Roman"/>
          <w:szCs w:val="20"/>
        </w:rPr>
        <w:t>cs to assess criticality are shown below and include unique sub-factors related to the primary factor</w:t>
      </w:r>
      <w:r w:rsidR="0024785A" w:rsidRPr="00B139B1">
        <w:rPr>
          <w:rFonts w:ascii="Times New Roman" w:hAnsi="Times New Roman" w:cs="Times New Roman"/>
          <w:szCs w:val="20"/>
        </w:rPr>
        <w:t>:</w:t>
      </w:r>
    </w:p>
    <w:p w:rsidR="0024785A" w:rsidRPr="00B139B1" w:rsidRDefault="0024785A" w:rsidP="0076148E">
      <w:pPr>
        <w:numPr>
          <w:ilvl w:val="0"/>
          <w:numId w:val="2"/>
        </w:numPr>
        <w:spacing w:after="0" w:line="360" w:lineRule="auto"/>
        <w:ind w:left="720" w:hanging="360"/>
        <w:jc w:val="both"/>
        <w:rPr>
          <w:rFonts w:ascii="Times New Roman" w:eastAsia="Calibri" w:hAnsi="Times New Roman" w:cs="Times New Roman"/>
        </w:rPr>
      </w:pPr>
      <w:r w:rsidRPr="00B139B1">
        <w:rPr>
          <w:rFonts w:ascii="Times New Roman" w:eastAsia="Calibri" w:hAnsi="Times New Roman" w:cs="Times New Roman"/>
        </w:rPr>
        <w:t>Supply factors comprising</w:t>
      </w:r>
      <w:r w:rsidR="0076148E" w:rsidRPr="00B139B1">
        <w:rPr>
          <w:rFonts w:ascii="Times New Roman" w:eastAsia="Calibri" w:hAnsi="Times New Roman" w:cs="Times New Roman"/>
        </w:rPr>
        <w:t xml:space="preserve"> of: geological availability, economic availability and r</w:t>
      </w:r>
      <w:r w:rsidRPr="00B139B1">
        <w:rPr>
          <w:rFonts w:ascii="Times New Roman" w:eastAsia="Calibri" w:hAnsi="Times New Roman" w:cs="Times New Roman"/>
        </w:rPr>
        <w:t>ecycling.</w:t>
      </w:r>
    </w:p>
    <w:p w:rsidR="0024785A" w:rsidRPr="00B139B1" w:rsidRDefault="0024785A" w:rsidP="0076148E">
      <w:pPr>
        <w:numPr>
          <w:ilvl w:val="0"/>
          <w:numId w:val="2"/>
        </w:numPr>
        <w:spacing w:after="0" w:line="360" w:lineRule="auto"/>
        <w:ind w:left="720" w:hanging="360"/>
        <w:jc w:val="both"/>
        <w:rPr>
          <w:rFonts w:ascii="Times New Roman" w:eastAsia="Calibri" w:hAnsi="Times New Roman" w:cs="Times New Roman"/>
        </w:rPr>
      </w:pPr>
      <w:r w:rsidRPr="00B139B1">
        <w:rPr>
          <w:rFonts w:ascii="Times New Roman" w:eastAsia="Calibri" w:hAnsi="Times New Roman" w:cs="Times New Roman"/>
        </w:rPr>
        <w:t>Geo-political factors comprising</w:t>
      </w:r>
      <w:r w:rsidR="0076148E" w:rsidRPr="00B139B1">
        <w:rPr>
          <w:rFonts w:ascii="Times New Roman" w:eastAsia="Calibri" w:hAnsi="Times New Roman" w:cs="Times New Roman"/>
        </w:rPr>
        <w:t xml:space="preserve"> of: p</w:t>
      </w:r>
      <w:r w:rsidRPr="00B139B1">
        <w:rPr>
          <w:rFonts w:ascii="Times New Roman" w:eastAsia="Calibri" w:hAnsi="Times New Roman" w:cs="Times New Roman"/>
        </w:rPr>
        <w:t>olicy and regulatory risk, geopolitical risk and supply concentration.</w:t>
      </w:r>
    </w:p>
    <w:p w:rsidR="0024785A" w:rsidRPr="00B139B1" w:rsidRDefault="0024785A" w:rsidP="0076148E">
      <w:pPr>
        <w:numPr>
          <w:ilvl w:val="0"/>
          <w:numId w:val="2"/>
        </w:numPr>
        <w:spacing w:after="0" w:line="360" w:lineRule="auto"/>
        <w:ind w:left="720" w:hanging="360"/>
        <w:jc w:val="both"/>
        <w:rPr>
          <w:rFonts w:ascii="Times New Roman" w:eastAsia="Calibri" w:hAnsi="Times New Roman" w:cs="Times New Roman"/>
        </w:rPr>
      </w:pPr>
      <w:r w:rsidRPr="00B139B1">
        <w:rPr>
          <w:rFonts w:ascii="Times New Roman" w:eastAsia="Calibri" w:hAnsi="Times New Roman" w:cs="Times New Roman"/>
        </w:rPr>
        <w:t>Demand factors comprising</w:t>
      </w:r>
      <w:r w:rsidR="00124399" w:rsidRPr="00B139B1">
        <w:rPr>
          <w:rFonts w:ascii="Times New Roman" w:eastAsia="Calibri" w:hAnsi="Times New Roman" w:cs="Times New Roman"/>
        </w:rPr>
        <w:t xml:space="preserve"> of</w:t>
      </w:r>
      <w:r w:rsidR="0076148E" w:rsidRPr="00B139B1">
        <w:rPr>
          <w:rFonts w:ascii="Times New Roman" w:eastAsia="Calibri" w:hAnsi="Times New Roman" w:cs="Times New Roman"/>
        </w:rPr>
        <w:t>: f</w:t>
      </w:r>
      <w:r w:rsidRPr="00B139B1">
        <w:rPr>
          <w:rFonts w:ascii="Times New Roman" w:eastAsia="Calibri" w:hAnsi="Times New Roman" w:cs="Times New Roman"/>
        </w:rPr>
        <w:t>uture demand potential and substitutability.</w:t>
      </w:r>
    </w:p>
    <w:p w:rsidR="0024785A" w:rsidRPr="00B139B1" w:rsidRDefault="0024785A" w:rsidP="0076148E">
      <w:pPr>
        <w:numPr>
          <w:ilvl w:val="0"/>
          <w:numId w:val="2"/>
        </w:numPr>
        <w:spacing w:after="0" w:line="360" w:lineRule="auto"/>
        <w:ind w:left="720" w:hanging="360"/>
        <w:jc w:val="both"/>
        <w:rPr>
          <w:rFonts w:ascii="Times New Roman" w:eastAsia="Calibri" w:hAnsi="Times New Roman" w:cs="Times New Roman"/>
        </w:rPr>
      </w:pPr>
      <w:r w:rsidRPr="00B139B1">
        <w:rPr>
          <w:rFonts w:ascii="Times New Roman" w:eastAsia="Calibri" w:hAnsi="Times New Roman" w:cs="Times New Roman"/>
        </w:rPr>
        <w:t>Other Factors comprising</w:t>
      </w:r>
      <w:r w:rsidR="0076148E" w:rsidRPr="00B139B1">
        <w:rPr>
          <w:rFonts w:ascii="Times New Roman" w:eastAsia="Calibri" w:hAnsi="Times New Roman" w:cs="Times New Roman"/>
        </w:rPr>
        <w:t xml:space="preserve"> of: c</w:t>
      </w:r>
      <w:r w:rsidRPr="00B139B1">
        <w:rPr>
          <w:rFonts w:ascii="Times New Roman" w:eastAsia="Calibri" w:hAnsi="Times New Roman" w:cs="Times New Roman"/>
        </w:rPr>
        <w:t>ost reduction, economic importance and environmental issue.</w:t>
      </w:r>
      <w:r w:rsidRPr="00B139B1">
        <w:rPr>
          <w:rFonts w:ascii="Times New Roman" w:eastAsia="Calibri" w:hAnsi="Times New Roman" w:cs="Times New Roman"/>
          <w:noProof/>
        </w:rPr>
        <w:t>(</w:t>
      </w:r>
      <w:r w:rsidRPr="006624F7">
        <w:rPr>
          <w:rFonts w:ascii="Times New Roman" w:eastAsia="Calibri" w:hAnsi="Times New Roman" w:cs="Times New Roman"/>
          <w:noProof/>
        </w:rPr>
        <w:t>Speirs et al. 2013</w:t>
      </w:r>
      <w:r w:rsidRPr="00B139B1">
        <w:rPr>
          <w:rFonts w:ascii="Times New Roman" w:eastAsia="Calibri" w:hAnsi="Times New Roman" w:cs="Times New Roman"/>
          <w:noProof/>
        </w:rPr>
        <w:t>)</w:t>
      </w:r>
    </w:p>
    <w:p w:rsidR="0024785A" w:rsidRPr="00B139B1" w:rsidRDefault="0024785A" w:rsidP="0024785A">
      <w:pPr>
        <w:spacing w:after="0" w:line="360" w:lineRule="auto"/>
        <w:ind w:left="1800"/>
        <w:jc w:val="both"/>
        <w:rPr>
          <w:rFonts w:ascii="Times New Roman" w:eastAsia="Calibri" w:hAnsi="Times New Roman" w:cs="Times New Roman"/>
        </w:rPr>
      </w:pPr>
    </w:p>
    <w:p w:rsidR="0024785A" w:rsidRPr="00B139B1" w:rsidRDefault="0024785A" w:rsidP="00124399">
      <w:pPr>
        <w:spacing w:after="0" w:line="360" w:lineRule="auto"/>
        <w:ind w:firstLine="720"/>
        <w:jc w:val="both"/>
        <w:rPr>
          <w:rFonts w:ascii="Times New Roman" w:hAnsi="Times New Roman" w:cs="Times New Roman"/>
          <w:szCs w:val="20"/>
        </w:rPr>
      </w:pPr>
      <w:r w:rsidRPr="00B139B1">
        <w:rPr>
          <w:rFonts w:ascii="Times New Roman" w:eastAsia="Calibri" w:hAnsi="Times New Roman" w:cs="Times New Roman"/>
        </w:rPr>
        <w:t>Although there are numerous commonly included factors</w:t>
      </w:r>
      <w:r w:rsidR="00124399" w:rsidRPr="00B139B1">
        <w:rPr>
          <w:rFonts w:ascii="Times New Roman" w:eastAsia="Calibri" w:hAnsi="Times New Roman" w:cs="Times New Roman"/>
        </w:rPr>
        <w:t>,</w:t>
      </w:r>
      <w:r w:rsidRPr="00B139B1">
        <w:rPr>
          <w:rFonts w:ascii="Times New Roman" w:eastAsia="Calibri" w:hAnsi="Times New Roman" w:cs="Times New Roman"/>
        </w:rPr>
        <w:t xml:space="preserve"> the fo</w:t>
      </w:r>
      <w:r w:rsidR="00124399" w:rsidRPr="00B139B1">
        <w:rPr>
          <w:rFonts w:ascii="Times New Roman" w:eastAsia="Calibri" w:hAnsi="Times New Roman" w:cs="Times New Roman"/>
        </w:rPr>
        <w:t xml:space="preserve">rm </w:t>
      </w:r>
      <w:r w:rsidR="006B4765" w:rsidRPr="00B139B1">
        <w:rPr>
          <w:rFonts w:ascii="Times New Roman" w:eastAsia="Calibri" w:hAnsi="Times New Roman" w:cs="Times New Roman"/>
        </w:rPr>
        <w:t xml:space="preserve">a </w:t>
      </w:r>
      <w:r w:rsidR="00124399" w:rsidRPr="00B139B1">
        <w:rPr>
          <w:rFonts w:ascii="Times New Roman" w:eastAsia="Calibri" w:hAnsi="Times New Roman" w:cs="Times New Roman"/>
        </w:rPr>
        <w:t>criticality assessment take</w:t>
      </w:r>
      <w:r w:rsidR="006B4765" w:rsidRPr="00B139B1">
        <w:rPr>
          <w:rFonts w:ascii="Times New Roman" w:eastAsia="Calibri" w:hAnsi="Times New Roman" w:cs="Times New Roman"/>
        </w:rPr>
        <w:t>s</w:t>
      </w:r>
      <w:r w:rsidRPr="00B139B1">
        <w:rPr>
          <w:rFonts w:ascii="Times New Roman" w:eastAsia="Calibri" w:hAnsi="Times New Roman" w:cs="Times New Roman"/>
        </w:rPr>
        <w:t xml:space="preserve"> varies between studies. To convey this, </w:t>
      </w:r>
      <w:r w:rsidR="00124399" w:rsidRPr="00B139B1">
        <w:rPr>
          <w:rFonts w:ascii="Times New Roman" w:eastAsia="Calibri" w:hAnsi="Times New Roman" w:cs="Times New Roman"/>
        </w:rPr>
        <w:t>the subsequent paragraphs provide an overview of how some of these factors differentiate in the current l</w:t>
      </w:r>
      <w:r w:rsidR="00212115">
        <w:rPr>
          <w:rFonts w:ascii="Times New Roman" w:eastAsia="Calibri" w:hAnsi="Times New Roman" w:cs="Times New Roman"/>
        </w:rPr>
        <w:t>iterature. One of these factors</w:t>
      </w:r>
      <w:r w:rsidR="00124399" w:rsidRPr="00B139B1">
        <w:rPr>
          <w:rFonts w:ascii="Times New Roman" w:eastAsia="Calibri" w:hAnsi="Times New Roman" w:cs="Times New Roman"/>
        </w:rPr>
        <w:t xml:space="preserve"> is the means by which</w:t>
      </w:r>
      <w:r w:rsidR="00124399" w:rsidRPr="00B139B1">
        <w:rPr>
          <w:rFonts w:ascii="Times New Roman" w:hAnsi="Times New Roman" w:cs="Times New Roman"/>
          <w:szCs w:val="20"/>
        </w:rPr>
        <w:t xml:space="preserve"> </w:t>
      </w:r>
      <w:r w:rsidR="00124399" w:rsidRPr="00B139B1">
        <w:rPr>
          <w:rFonts w:ascii="Times New Roman" w:eastAsia="Calibri" w:hAnsi="Times New Roman" w:cs="Times New Roman"/>
        </w:rPr>
        <w:t xml:space="preserve">metals are scored against </w:t>
      </w:r>
      <w:r w:rsidRPr="00B139B1">
        <w:rPr>
          <w:rFonts w:ascii="Times New Roman" w:eastAsia="Calibri" w:hAnsi="Times New Roman" w:cs="Times New Roman"/>
        </w:rPr>
        <w:t>assessed metrics. These</w:t>
      </w:r>
      <w:r w:rsidR="00124399" w:rsidRPr="00B139B1">
        <w:rPr>
          <w:rFonts w:ascii="Times New Roman" w:eastAsia="Calibri" w:hAnsi="Times New Roman" w:cs="Times New Roman"/>
        </w:rPr>
        <w:t xml:space="preserve"> primarily include:</w:t>
      </w:r>
      <w:r w:rsidRPr="00B139B1">
        <w:rPr>
          <w:rFonts w:ascii="Times New Roman" w:eastAsia="Calibri" w:hAnsi="Times New Roman" w:cs="Times New Roman"/>
        </w:rPr>
        <w:t xml:space="preserve"> c</w:t>
      </w:r>
      <w:r w:rsidR="00212115">
        <w:rPr>
          <w:rFonts w:ascii="Times New Roman" w:eastAsia="Calibri" w:hAnsi="Times New Roman" w:cs="Times New Roman"/>
        </w:rPr>
        <w:t>riticality matrices with two axe</w:t>
      </w:r>
      <w:r w:rsidRPr="00B139B1">
        <w:rPr>
          <w:rFonts w:ascii="Times New Roman" w:eastAsia="Calibri" w:hAnsi="Times New Roman" w:cs="Times New Roman"/>
        </w:rPr>
        <w:t xml:space="preserve">s, quantitative numerical scale and qualitative low-medium-high scales as illustrated by </w:t>
      </w:r>
      <w:r w:rsidR="00A6415F" w:rsidRPr="00B139B1">
        <w:fldChar w:fldCharType="begin"/>
      </w:r>
      <w:r w:rsidR="00A6415F" w:rsidRPr="00B139B1">
        <w:instrText xml:space="preserve"> REF _Ref474958505 \h  \* MERGEFORMAT </w:instrText>
      </w:r>
      <w:r w:rsidR="00A6415F" w:rsidRPr="00B139B1">
        <w:fldChar w:fldCharType="separate"/>
      </w:r>
      <w:r w:rsidR="009F5483" w:rsidRPr="009F5483">
        <w:rPr>
          <w:rStyle w:val="FiguresChar"/>
          <w:color w:val="auto"/>
        </w:rPr>
        <w:t>Figure 5</w:t>
      </w:r>
      <w:r w:rsidR="00A6415F" w:rsidRPr="00B139B1">
        <w:fldChar w:fldCharType="end"/>
      </w:r>
      <w:r w:rsidRPr="00B139B1">
        <w:rPr>
          <w:rFonts w:ascii="Times New Roman" w:eastAsia="Calibri" w:hAnsi="Times New Roman" w:cs="Times New Roman"/>
        </w:rPr>
        <w:t>.</w:t>
      </w:r>
    </w:p>
    <w:p w:rsidR="0024785A" w:rsidRPr="0024785A" w:rsidRDefault="00150E20" w:rsidP="006624F7">
      <w:pPr>
        <w:spacing w:after="0" w:line="360" w:lineRule="auto"/>
        <w:jc w:val="center"/>
        <w:rPr>
          <w:rFonts w:ascii="Times New Roman" w:eastAsia="Calibri" w:hAnsi="Times New Roman" w:cs="Times New Roman"/>
        </w:rPr>
      </w:pPr>
      <w:r>
        <w:rPr>
          <w:noProof/>
        </w:rPr>
        <w:drawing>
          <wp:inline distT="0" distB="0" distL="0" distR="0">
            <wp:extent cx="4629150" cy="197060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20109" t="38769" r="17904" b="14318"/>
                    <a:stretch/>
                  </pic:blipFill>
                  <pic:spPr bwMode="auto">
                    <a:xfrm>
                      <a:off x="0" y="0"/>
                      <a:ext cx="4644418" cy="1977109"/>
                    </a:xfrm>
                    <a:prstGeom prst="rect">
                      <a:avLst/>
                    </a:prstGeom>
                    <a:ln>
                      <a:noFill/>
                    </a:ln>
                    <a:extLst>
                      <a:ext uri="{53640926-AAD7-44D8-BBD7-CCE9431645EC}">
                        <a14:shadowObscured xmlns:a14="http://schemas.microsoft.com/office/drawing/2010/main"/>
                      </a:ext>
                    </a:extLst>
                  </pic:spPr>
                </pic:pic>
              </a:graphicData>
            </a:graphic>
          </wp:inline>
        </w:drawing>
      </w:r>
    </w:p>
    <w:p w:rsidR="0024785A" w:rsidRPr="00B139B1" w:rsidRDefault="00124399" w:rsidP="00150E20">
      <w:pPr>
        <w:pStyle w:val="Figures"/>
        <w:rPr>
          <w:color w:val="auto"/>
        </w:rPr>
      </w:pPr>
      <w:bookmarkStart w:id="9" w:name="_Ref474958505"/>
      <w:bookmarkStart w:id="10" w:name="_Toc495848338"/>
      <w:r w:rsidRPr="00B139B1">
        <w:rPr>
          <w:color w:val="auto"/>
        </w:rPr>
        <w:t xml:space="preserve">Figure </w:t>
      </w:r>
      <w:r w:rsidR="009A0ED7" w:rsidRPr="00B139B1">
        <w:rPr>
          <w:color w:val="auto"/>
        </w:rPr>
        <w:fldChar w:fldCharType="begin"/>
      </w:r>
      <w:r w:rsidRPr="00B139B1">
        <w:rPr>
          <w:color w:val="auto"/>
        </w:rPr>
        <w:instrText xml:space="preserve"> SEQ Figure \* ARABIC </w:instrText>
      </w:r>
      <w:r w:rsidR="009A0ED7" w:rsidRPr="00B139B1">
        <w:rPr>
          <w:color w:val="auto"/>
        </w:rPr>
        <w:fldChar w:fldCharType="separate"/>
      </w:r>
      <w:r w:rsidR="009F5483">
        <w:rPr>
          <w:noProof/>
          <w:color w:val="auto"/>
        </w:rPr>
        <w:t>5</w:t>
      </w:r>
      <w:r w:rsidR="009A0ED7" w:rsidRPr="00B139B1">
        <w:rPr>
          <w:color w:val="auto"/>
        </w:rPr>
        <w:fldChar w:fldCharType="end"/>
      </w:r>
      <w:bookmarkEnd w:id="9"/>
      <w:r w:rsidRPr="00B139B1">
        <w:rPr>
          <w:color w:val="auto"/>
        </w:rPr>
        <w:t>.</w:t>
      </w:r>
      <w:r w:rsidR="00150E20" w:rsidRPr="00B139B1">
        <w:rPr>
          <w:color w:val="auto"/>
        </w:rPr>
        <w:t xml:space="preserve"> Examples of the three types of scoring methods utilised in criticality assessments.</w:t>
      </w:r>
      <w:bookmarkEnd w:id="10"/>
    </w:p>
    <w:p w:rsidR="00145D4A" w:rsidRPr="00B139B1" w:rsidRDefault="0024785A" w:rsidP="00145D4A">
      <w:pPr>
        <w:spacing w:after="0" w:line="360" w:lineRule="auto"/>
        <w:ind w:firstLine="720"/>
        <w:jc w:val="both"/>
        <w:rPr>
          <w:rFonts w:ascii="Times New Roman" w:eastAsia="Calibri" w:hAnsi="Times New Roman" w:cs="Times New Roman"/>
        </w:rPr>
      </w:pPr>
      <w:r w:rsidRPr="00B139B1">
        <w:rPr>
          <w:rFonts w:ascii="Times New Roman" w:eastAsia="Calibri" w:hAnsi="Times New Roman" w:cs="Times New Roman"/>
        </w:rPr>
        <w:t>Where criticality matrices are used, the two</w:t>
      </w:r>
      <w:r w:rsidR="00150E20" w:rsidRPr="00B139B1">
        <w:rPr>
          <w:rFonts w:ascii="Times New Roman" w:eastAsia="Calibri" w:hAnsi="Times New Roman" w:cs="Times New Roman"/>
        </w:rPr>
        <w:t xml:space="preserve"> individual</w:t>
      </w:r>
      <w:r w:rsidRPr="00B139B1">
        <w:rPr>
          <w:rFonts w:ascii="Times New Roman" w:eastAsia="Calibri" w:hAnsi="Times New Roman" w:cs="Times New Roman"/>
        </w:rPr>
        <w:t xml:space="preserve"> axis represent </w:t>
      </w:r>
      <w:r w:rsidR="00150E20" w:rsidRPr="00B139B1">
        <w:rPr>
          <w:rFonts w:ascii="Times New Roman" w:eastAsia="Calibri" w:hAnsi="Times New Roman" w:cs="Times New Roman"/>
        </w:rPr>
        <w:t>two different factors. One of these axis is referred to</w:t>
      </w:r>
      <w:r w:rsidRPr="00B139B1">
        <w:rPr>
          <w:rFonts w:ascii="Times New Roman" w:eastAsia="Calibri" w:hAnsi="Times New Roman" w:cs="Times New Roman"/>
        </w:rPr>
        <w:t xml:space="preserve"> as ‘supply risk’ and consists of supply and geopolitical factors grouped to</w:t>
      </w:r>
      <w:r w:rsidR="00150E20" w:rsidRPr="00B139B1">
        <w:rPr>
          <w:rFonts w:ascii="Times New Roman" w:eastAsia="Calibri" w:hAnsi="Times New Roman" w:cs="Times New Roman"/>
        </w:rPr>
        <w:t>gether. Whilst the second axis</w:t>
      </w:r>
      <w:r w:rsidRPr="00B139B1">
        <w:rPr>
          <w:rFonts w:ascii="Times New Roman" w:eastAsia="Calibri" w:hAnsi="Times New Roman" w:cs="Times New Roman"/>
        </w:rPr>
        <w:t>, is either referred</w:t>
      </w:r>
      <w:r w:rsidR="00150E20" w:rsidRPr="00B139B1">
        <w:rPr>
          <w:rFonts w:ascii="Times New Roman" w:eastAsia="Calibri" w:hAnsi="Times New Roman" w:cs="Times New Roman"/>
        </w:rPr>
        <w:t xml:space="preserve"> to</w:t>
      </w:r>
      <w:r w:rsidRPr="00B139B1">
        <w:rPr>
          <w:rFonts w:ascii="Times New Roman" w:eastAsia="Calibri" w:hAnsi="Times New Roman" w:cs="Times New Roman"/>
        </w:rPr>
        <w:t xml:space="preserve"> as ‘vulnerability’ </w:t>
      </w:r>
      <w:r w:rsidR="00150E20" w:rsidRPr="00B139B1">
        <w:rPr>
          <w:rStyle w:val="ReferenceChar"/>
          <w:noProof/>
          <w:color w:val="auto"/>
        </w:rPr>
        <w:t>(Erdmann &amp; Graedel 2011)</w:t>
      </w:r>
      <w:r w:rsidRPr="00B139B1">
        <w:rPr>
          <w:rFonts w:ascii="Times New Roman" w:eastAsia="Calibri" w:hAnsi="Times New Roman" w:cs="Times New Roman"/>
        </w:rPr>
        <w:t xml:space="preserve"> or ‘economic importance’</w:t>
      </w:r>
      <w:r w:rsidR="001F299A">
        <w:rPr>
          <w:rFonts w:ascii="Times New Roman" w:eastAsia="Calibri" w:hAnsi="Times New Roman" w:cs="Times New Roman"/>
        </w:rPr>
        <w:t xml:space="preserve"> </w:t>
      </w:r>
      <w:r w:rsidR="00150E20" w:rsidRPr="00B139B1">
        <w:rPr>
          <w:rStyle w:val="ReferenceChar"/>
          <w:noProof/>
          <w:color w:val="auto"/>
        </w:rPr>
        <w:t>(Angerer 2009)</w:t>
      </w:r>
      <w:r w:rsidR="00150E20" w:rsidRPr="00B139B1">
        <w:rPr>
          <w:rStyle w:val="ReferenceChar"/>
          <w:color w:val="auto"/>
        </w:rPr>
        <w:t xml:space="preserve"> </w:t>
      </w:r>
      <w:r w:rsidR="00150E20" w:rsidRPr="00B139B1">
        <w:rPr>
          <w:rFonts w:ascii="Times New Roman" w:eastAsia="Calibri" w:hAnsi="Times New Roman" w:cs="Times New Roman"/>
        </w:rPr>
        <w:t xml:space="preserve">depending on the study. </w:t>
      </w:r>
      <w:r w:rsidRPr="00B139B1">
        <w:rPr>
          <w:rFonts w:ascii="Times New Roman" w:eastAsia="Calibri" w:hAnsi="Times New Roman" w:cs="Times New Roman"/>
        </w:rPr>
        <w:t>This</w:t>
      </w:r>
      <w:r w:rsidR="00150E20" w:rsidRPr="00B139B1">
        <w:rPr>
          <w:rFonts w:ascii="Times New Roman" w:eastAsia="Calibri" w:hAnsi="Times New Roman" w:cs="Times New Roman"/>
        </w:rPr>
        <w:t xml:space="preserve"> second</w:t>
      </w:r>
      <w:r w:rsidRPr="00B139B1">
        <w:rPr>
          <w:rFonts w:ascii="Times New Roman" w:eastAsia="Calibri" w:hAnsi="Times New Roman" w:cs="Times New Roman"/>
        </w:rPr>
        <w:t xml:space="preserve"> axis generally groups together demand and other associated factors. In advancement of criticality matrices, the matrix can also be represented by 3 separate axis as shown by </w:t>
      </w:r>
      <w:r w:rsidR="00A6415F" w:rsidRPr="00B139B1">
        <w:fldChar w:fldCharType="begin"/>
      </w:r>
      <w:r w:rsidR="00A6415F" w:rsidRPr="00B139B1">
        <w:instrText xml:space="preserve"> REF _Ref474958996 \h  \* MERGEFORMAT </w:instrText>
      </w:r>
      <w:r w:rsidR="00A6415F" w:rsidRPr="00B139B1">
        <w:fldChar w:fldCharType="separate"/>
      </w:r>
      <w:r w:rsidR="009F5483" w:rsidRPr="009F5483">
        <w:rPr>
          <w:rStyle w:val="FiguresChar"/>
          <w:color w:val="auto"/>
        </w:rPr>
        <w:t>Figure 6</w:t>
      </w:r>
      <w:r w:rsidR="00A6415F" w:rsidRPr="00B139B1">
        <w:fldChar w:fldCharType="end"/>
      </w:r>
      <w:r w:rsidR="00150E20" w:rsidRPr="00B139B1">
        <w:rPr>
          <w:rFonts w:ascii="Times New Roman" w:eastAsia="Calibri" w:hAnsi="Times New Roman" w:cs="Times New Roman"/>
        </w:rPr>
        <w:t xml:space="preserve">. A study by </w:t>
      </w:r>
      <w:r w:rsidR="00150E20" w:rsidRPr="00B139B1">
        <w:rPr>
          <w:rStyle w:val="ReferenceChar"/>
          <w:noProof/>
          <w:color w:val="auto"/>
        </w:rPr>
        <w:t>(Graedel et al. 2012)</w:t>
      </w:r>
      <w:r w:rsidRPr="00B139B1">
        <w:rPr>
          <w:rFonts w:ascii="Times New Roman" w:eastAsia="Calibri" w:hAnsi="Times New Roman" w:cs="Times New Roman"/>
        </w:rPr>
        <w:t xml:space="preserve"> </w:t>
      </w:r>
      <w:r w:rsidR="00150E20" w:rsidRPr="00B139B1">
        <w:rPr>
          <w:rFonts w:ascii="Times New Roman" w:eastAsia="Calibri" w:hAnsi="Times New Roman" w:cs="Times New Roman"/>
        </w:rPr>
        <w:t>into methods determining metal criticality determination</w:t>
      </w:r>
      <w:r w:rsidR="00145D4A" w:rsidRPr="00B139B1">
        <w:rPr>
          <w:rFonts w:ascii="Times New Roman" w:eastAsia="Calibri" w:hAnsi="Times New Roman" w:cs="Times New Roman"/>
        </w:rPr>
        <w:t>,</w:t>
      </w:r>
      <w:r w:rsidR="00150E20" w:rsidRPr="00B139B1">
        <w:rPr>
          <w:rFonts w:ascii="Times New Roman" w:eastAsia="Calibri" w:hAnsi="Times New Roman" w:cs="Times New Roman"/>
        </w:rPr>
        <w:t xml:space="preserve"> resulted in the creation of a third axis, ‘environmental implications’</w:t>
      </w:r>
      <w:r w:rsidR="00145D4A" w:rsidRPr="00B139B1">
        <w:rPr>
          <w:rFonts w:ascii="Times New Roman" w:eastAsia="Calibri" w:hAnsi="Times New Roman" w:cs="Times New Roman"/>
        </w:rPr>
        <w:t>,</w:t>
      </w:r>
      <w:r w:rsidR="00025362" w:rsidRPr="00B139B1">
        <w:rPr>
          <w:rFonts w:ascii="Times New Roman" w:eastAsia="Calibri" w:hAnsi="Times New Roman" w:cs="Times New Roman"/>
        </w:rPr>
        <w:t xml:space="preserve"> which capture</w:t>
      </w:r>
      <w:r w:rsidR="00145D4A" w:rsidRPr="00B139B1">
        <w:rPr>
          <w:rFonts w:ascii="Times New Roman" w:eastAsia="Calibri" w:hAnsi="Times New Roman" w:cs="Times New Roman"/>
        </w:rPr>
        <w:t xml:space="preserve"> the use of</w:t>
      </w:r>
      <w:r w:rsidR="00025362" w:rsidRPr="00B139B1">
        <w:rPr>
          <w:rFonts w:ascii="Times New Roman" w:eastAsia="Calibri" w:hAnsi="Times New Roman" w:cs="Times New Roman"/>
        </w:rPr>
        <w:t xml:space="preserve"> a</w:t>
      </w:r>
      <w:r w:rsidR="00145D4A" w:rsidRPr="00B139B1">
        <w:rPr>
          <w:rFonts w:ascii="Times New Roman" w:eastAsia="Calibri" w:hAnsi="Times New Roman" w:cs="Times New Roman"/>
        </w:rPr>
        <w:t xml:space="preserve"> particular metal, along with</w:t>
      </w:r>
      <w:r w:rsidR="00025362" w:rsidRPr="00B139B1">
        <w:rPr>
          <w:rFonts w:ascii="Times New Roman" w:eastAsia="Calibri" w:hAnsi="Times New Roman" w:cs="Times New Roman"/>
        </w:rPr>
        <w:t xml:space="preserve"> its corresponding impact on </w:t>
      </w:r>
      <w:r w:rsidR="00145D4A" w:rsidRPr="00B139B1">
        <w:rPr>
          <w:rFonts w:ascii="Times New Roman" w:eastAsia="Calibri" w:hAnsi="Times New Roman" w:cs="Times New Roman"/>
        </w:rPr>
        <w:t>ecosystems and human health.</w:t>
      </w:r>
    </w:p>
    <w:p w:rsidR="00150E20" w:rsidRPr="00B139B1" w:rsidRDefault="00150E20" w:rsidP="0024785A">
      <w:pPr>
        <w:spacing w:after="0" w:line="360" w:lineRule="auto"/>
        <w:ind w:firstLine="720"/>
        <w:jc w:val="both"/>
        <w:rPr>
          <w:rFonts w:ascii="Times New Roman" w:eastAsia="Calibri" w:hAnsi="Times New Roman" w:cs="Times New Roman"/>
        </w:rPr>
      </w:pPr>
    </w:p>
    <w:p w:rsidR="0024785A" w:rsidRPr="00B139B1" w:rsidRDefault="00145D4A" w:rsidP="00B12521">
      <w:pPr>
        <w:spacing w:after="0" w:line="360" w:lineRule="auto"/>
        <w:jc w:val="center"/>
        <w:rPr>
          <w:rFonts w:ascii="Times New Roman" w:eastAsia="Calibri" w:hAnsi="Times New Roman" w:cs="Times New Roman"/>
        </w:rPr>
      </w:pPr>
      <w:r w:rsidRPr="00B139B1">
        <w:rPr>
          <w:noProof/>
        </w:rPr>
        <w:lastRenderedPageBreak/>
        <w:drawing>
          <wp:inline distT="0" distB="0" distL="0" distR="0">
            <wp:extent cx="3400809" cy="2727434"/>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12-02 at 10.53.19.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03712" cy="2729762"/>
                    </a:xfrm>
                    <a:prstGeom prst="rect">
                      <a:avLst/>
                    </a:prstGeom>
                  </pic:spPr>
                </pic:pic>
              </a:graphicData>
            </a:graphic>
          </wp:inline>
        </w:drawing>
      </w:r>
    </w:p>
    <w:p w:rsidR="0024785A" w:rsidRPr="00B139B1" w:rsidRDefault="00150E20" w:rsidP="00025362">
      <w:pPr>
        <w:pStyle w:val="Figures"/>
        <w:rPr>
          <w:color w:val="auto"/>
        </w:rPr>
      </w:pPr>
      <w:bookmarkStart w:id="11" w:name="_Ref474958996"/>
      <w:bookmarkStart w:id="12" w:name="_Toc495848339"/>
      <w:r w:rsidRPr="00B139B1">
        <w:rPr>
          <w:color w:val="auto"/>
        </w:rPr>
        <w:t xml:space="preserve">Figure </w:t>
      </w:r>
      <w:r w:rsidR="009A0ED7" w:rsidRPr="00B139B1">
        <w:rPr>
          <w:color w:val="auto"/>
        </w:rPr>
        <w:fldChar w:fldCharType="begin"/>
      </w:r>
      <w:r w:rsidRPr="00B139B1">
        <w:rPr>
          <w:color w:val="auto"/>
        </w:rPr>
        <w:instrText xml:space="preserve"> SEQ Figure \* ARABIC </w:instrText>
      </w:r>
      <w:r w:rsidR="009A0ED7" w:rsidRPr="00B139B1">
        <w:rPr>
          <w:color w:val="auto"/>
        </w:rPr>
        <w:fldChar w:fldCharType="separate"/>
      </w:r>
      <w:r w:rsidR="009F5483">
        <w:rPr>
          <w:noProof/>
          <w:color w:val="auto"/>
        </w:rPr>
        <w:t>6</w:t>
      </w:r>
      <w:r w:rsidR="009A0ED7" w:rsidRPr="00B139B1">
        <w:rPr>
          <w:color w:val="auto"/>
        </w:rPr>
        <w:fldChar w:fldCharType="end"/>
      </w:r>
      <w:bookmarkEnd w:id="11"/>
      <w:r w:rsidR="00145D4A" w:rsidRPr="00B139B1">
        <w:rPr>
          <w:color w:val="auto"/>
        </w:rPr>
        <w:t>. Graph representing the three dimensional criticality devised by Graedel, which utilises the aforementioned supply risk and impact of supply risk factors, in addition to the expected environmental impact of a material scarcity.</w:t>
      </w:r>
      <w:bookmarkEnd w:id="12"/>
    </w:p>
    <w:p w:rsidR="00DF476A" w:rsidRPr="00B139B1" w:rsidRDefault="00025362" w:rsidP="0024785A">
      <w:pPr>
        <w:spacing w:after="0" w:line="360" w:lineRule="auto"/>
        <w:ind w:firstLine="720"/>
        <w:jc w:val="both"/>
        <w:rPr>
          <w:rFonts w:ascii="Times New Roman" w:eastAsia="Calibri" w:hAnsi="Times New Roman" w:cs="Times New Roman"/>
        </w:rPr>
      </w:pPr>
      <w:r w:rsidRPr="00B139B1">
        <w:rPr>
          <w:rFonts w:ascii="Times New Roman" w:eastAsia="Calibri" w:hAnsi="Times New Roman" w:cs="Times New Roman"/>
        </w:rPr>
        <w:t>Aside from scoring methods, t</w:t>
      </w:r>
      <w:r w:rsidR="0024785A" w:rsidRPr="00B139B1">
        <w:rPr>
          <w:rFonts w:ascii="Times New Roman" w:eastAsia="Calibri" w:hAnsi="Times New Roman" w:cs="Times New Roman"/>
        </w:rPr>
        <w:t xml:space="preserve">he </w:t>
      </w:r>
      <w:r w:rsidRPr="00B139B1">
        <w:rPr>
          <w:rFonts w:ascii="Times New Roman" w:eastAsia="Calibri" w:hAnsi="Times New Roman" w:cs="Times New Roman"/>
        </w:rPr>
        <w:t>‘</w:t>
      </w:r>
      <w:r w:rsidR="0024785A" w:rsidRPr="00B139B1">
        <w:rPr>
          <w:rFonts w:ascii="Times New Roman" w:eastAsia="Calibri" w:hAnsi="Times New Roman" w:cs="Times New Roman"/>
        </w:rPr>
        <w:t>perspective</w:t>
      </w:r>
      <w:r w:rsidRPr="00B139B1">
        <w:rPr>
          <w:rFonts w:ascii="Times New Roman" w:eastAsia="Calibri" w:hAnsi="Times New Roman" w:cs="Times New Roman"/>
        </w:rPr>
        <w:t>’</w:t>
      </w:r>
      <w:r w:rsidR="0024785A" w:rsidRPr="00B139B1">
        <w:rPr>
          <w:rFonts w:ascii="Times New Roman" w:eastAsia="Calibri" w:hAnsi="Times New Roman" w:cs="Times New Roman"/>
        </w:rPr>
        <w:t xml:space="preserve"> of criticality assessment</w:t>
      </w:r>
      <w:r w:rsidRPr="00B139B1">
        <w:rPr>
          <w:rFonts w:ascii="Times New Roman" w:eastAsia="Calibri" w:hAnsi="Times New Roman" w:cs="Times New Roman"/>
        </w:rPr>
        <w:t>s can also influence the end results</w:t>
      </w:r>
      <w:r w:rsidR="0024785A" w:rsidRPr="00B139B1">
        <w:rPr>
          <w:rFonts w:ascii="Times New Roman" w:eastAsia="Calibri" w:hAnsi="Times New Roman" w:cs="Times New Roman"/>
        </w:rPr>
        <w:t xml:space="preserve">. Some assessments may be conducted from the perspective of a country </w:t>
      </w:r>
      <w:r w:rsidR="0024785A" w:rsidRPr="00B139B1">
        <w:rPr>
          <w:rFonts w:ascii="Times New Roman" w:eastAsia="Calibri" w:hAnsi="Times New Roman" w:cs="Times New Roman"/>
          <w:noProof/>
        </w:rPr>
        <w:t>(Erdmann &amp; Graedel 2011)</w:t>
      </w:r>
      <w:r w:rsidR="0024785A" w:rsidRPr="00B139B1">
        <w:rPr>
          <w:rFonts w:ascii="Times New Roman" w:eastAsia="Calibri" w:hAnsi="Times New Roman" w:cs="Times New Roman"/>
        </w:rPr>
        <w:t>, of a private company (</w:t>
      </w:r>
      <w:proofErr w:type="spellStart"/>
      <w:r w:rsidR="0024785A" w:rsidRPr="00B139B1">
        <w:rPr>
          <w:rFonts w:ascii="Times New Roman" w:eastAsia="Calibri" w:hAnsi="Times New Roman" w:cs="Times New Roman"/>
          <w:noProof/>
        </w:rPr>
        <w:t>Duclos</w:t>
      </w:r>
      <w:proofErr w:type="spellEnd"/>
      <w:r w:rsidR="0024785A" w:rsidRPr="00B139B1">
        <w:rPr>
          <w:rFonts w:ascii="Times New Roman" w:eastAsia="Calibri" w:hAnsi="Times New Roman" w:cs="Times New Roman"/>
          <w:noProof/>
        </w:rPr>
        <w:t xml:space="preserve"> et al. 2010) and some from a specific political or economical goal such as low carbon technology development (Buchert et al 2009). Additionally, geographical scope, may produce further variations in results, leading to increased uncertainty within results. For example</w:t>
      </w:r>
      <w:r w:rsidR="00DF476A" w:rsidRPr="00B139B1">
        <w:rPr>
          <w:rFonts w:ascii="Times New Roman" w:eastAsia="Calibri" w:hAnsi="Times New Roman" w:cs="Times New Roman"/>
          <w:noProof/>
        </w:rPr>
        <w:t xml:space="preserve"> the following studies in literature,</w:t>
      </w:r>
      <w:r w:rsidR="0024785A" w:rsidRPr="00B139B1">
        <w:rPr>
          <w:rFonts w:ascii="Times New Roman" w:eastAsia="Calibri" w:hAnsi="Times New Roman" w:cs="Times New Roman"/>
          <w:noProof/>
        </w:rPr>
        <w:t xml:space="preserve"> (British Geological Survey 2012; Achze</w:t>
      </w:r>
      <w:r w:rsidR="00BF7E31" w:rsidRPr="00B139B1">
        <w:rPr>
          <w:rFonts w:ascii="Times New Roman" w:eastAsia="Calibri" w:hAnsi="Times New Roman" w:cs="Times New Roman"/>
          <w:noProof/>
        </w:rPr>
        <w:t>t et al. 2011; Bauer et al,</w:t>
      </w:r>
      <w:r w:rsidR="00202C43" w:rsidRPr="00B139B1">
        <w:rPr>
          <w:rFonts w:ascii="Times New Roman" w:eastAsia="Calibri" w:hAnsi="Times New Roman" w:cs="Times New Roman"/>
          <w:noProof/>
        </w:rPr>
        <w:t xml:space="preserve"> 2011; Buchert et al.</w:t>
      </w:r>
      <w:r w:rsidR="0024785A" w:rsidRPr="00B139B1">
        <w:rPr>
          <w:rFonts w:ascii="Times New Roman" w:eastAsia="Calibri" w:hAnsi="Times New Roman" w:cs="Times New Roman"/>
          <w:noProof/>
        </w:rPr>
        <w:t xml:space="preserve"> 2009)</w:t>
      </w:r>
      <w:r w:rsidR="0024785A" w:rsidRPr="00B139B1">
        <w:rPr>
          <w:rFonts w:ascii="Times New Roman" w:eastAsia="Calibri" w:hAnsi="Times New Roman" w:cs="Times New Roman"/>
        </w:rPr>
        <w:t xml:space="preserve"> investigated criticality from the global perspective. Whilst, 2 studies </w:t>
      </w:r>
      <w:r w:rsidR="0024785A" w:rsidRPr="00B139B1">
        <w:rPr>
          <w:rFonts w:ascii="Times New Roman" w:eastAsia="Calibri" w:hAnsi="Times New Roman" w:cs="Times New Roman"/>
          <w:noProof/>
        </w:rPr>
        <w:t>(European Commission 2014; Moss et al. 2011)</w:t>
      </w:r>
      <w:r w:rsidR="00DF476A" w:rsidRPr="00B139B1">
        <w:rPr>
          <w:rFonts w:ascii="Times New Roman" w:eastAsia="Calibri" w:hAnsi="Times New Roman" w:cs="Times New Roman"/>
        </w:rPr>
        <w:t xml:space="preserve"> gave the viewpoint</w:t>
      </w:r>
      <w:r w:rsidR="00212115">
        <w:rPr>
          <w:rFonts w:ascii="Times New Roman" w:eastAsia="Calibri" w:hAnsi="Times New Roman" w:cs="Times New Roman"/>
        </w:rPr>
        <w:t xml:space="preserve"> from the</w:t>
      </w:r>
      <w:r w:rsidR="0024785A" w:rsidRPr="00B139B1">
        <w:rPr>
          <w:rFonts w:ascii="Times New Roman" w:eastAsia="Calibri" w:hAnsi="Times New Roman" w:cs="Times New Roman"/>
        </w:rPr>
        <w:t xml:space="preserve"> European region. </w:t>
      </w:r>
    </w:p>
    <w:p w:rsidR="0024785A" w:rsidRPr="00B139B1" w:rsidRDefault="0024785A" w:rsidP="00FC5521">
      <w:pPr>
        <w:spacing w:after="0" w:line="360" w:lineRule="auto"/>
        <w:ind w:firstLine="720"/>
        <w:jc w:val="both"/>
        <w:rPr>
          <w:rFonts w:ascii="Times New Roman" w:eastAsia="Calibri" w:hAnsi="Times New Roman" w:cs="Times New Roman"/>
        </w:rPr>
      </w:pPr>
      <w:r w:rsidRPr="00B139B1">
        <w:rPr>
          <w:rFonts w:ascii="Times New Roman" w:eastAsia="Calibri" w:hAnsi="Times New Roman" w:cs="Times New Roman"/>
        </w:rPr>
        <w:t xml:space="preserve">Outside Europe, there were a number of studies from Japan, in particular from </w:t>
      </w:r>
      <w:r w:rsidRPr="00B139B1">
        <w:rPr>
          <w:rFonts w:ascii="Times New Roman" w:eastAsia="Calibri" w:hAnsi="Times New Roman" w:cs="Times New Roman"/>
          <w:noProof/>
        </w:rPr>
        <w:t>(NEDO 2008)</w:t>
      </w:r>
      <w:r w:rsidRPr="00B139B1">
        <w:rPr>
          <w:rFonts w:ascii="Times New Roman" w:eastAsia="Calibri" w:hAnsi="Times New Roman" w:cs="Times New Roman"/>
        </w:rPr>
        <w:t xml:space="preserve"> which investigated substitution of rare earth metals, but reports from China were especially uncommon and incomplete.</w:t>
      </w:r>
      <w:r w:rsidR="00FC5521" w:rsidRPr="00B139B1">
        <w:rPr>
          <w:rFonts w:ascii="Times New Roman" w:eastAsia="Calibri" w:hAnsi="Times New Roman" w:cs="Times New Roman"/>
        </w:rPr>
        <w:t xml:space="preserve"> The p</w:t>
      </w:r>
      <w:r w:rsidR="00A6415F" w:rsidRPr="00B139B1">
        <w:rPr>
          <w:rFonts w:ascii="Times New Roman" w:eastAsia="Calibri" w:hAnsi="Times New Roman" w:cs="Times New Roman"/>
        </w:rPr>
        <w:t xml:space="preserve">erception of criticality </w:t>
      </w:r>
      <w:r w:rsidR="00FC5521" w:rsidRPr="00B139B1">
        <w:rPr>
          <w:rFonts w:ascii="Times New Roman" w:eastAsia="Calibri" w:hAnsi="Times New Roman" w:cs="Times New Roman"/>
        </w:rPr>
        <w:t>can influence the scope and analysis of relevant studies</w:t>
      </w:r>
      <w:r w:rsidR="00A6415F" w:rsidRPr="00B139B1">
        <w:rPr>
          <w:rFonts w:ascii="Times New Roman" w:eastAsia="Calibri" w:hAnsi="Times New Roman" w:cs="Times New Roman"/>
        </w:rPr>
        <w:t xml:space="preserve"> when one considers </w:t>
      </w:r>
      <w:r w:rsidRPr="00B139B1">
        <w:rPr>
          <w:rFonts w:ascii="Times New Roman" w:eastAsia="Calibri" w:hAnsi="Times New Roman" w:cs="Times New Roman"/>
        </w:rPr>
        <w:t>the European perspective where criticality is seen as limiting the pote</w:t>
      </w:r>
      <w:r w:rsidR="00A6415F" w:rsidRPr="00B139B1">
        <w:rPr>
          <w:rFonts w:ascii="Times New Roman" w:eastAsia="Calibri" w:hAnsi="Times New Roman" w:cs="Times New Roman"/>
        </w:rPr>
        <w:t>ntial impact on material supply</w:t>
      </w:r>
      <w:r w:rsidRPr="00B139B1">
        <w:rPr>
          <w:rFonts w:ascii="Times New Roman" w:eastAsia="Calibri" w:hAnsi="Times New Roman" w:cs="Times New Roman"/>
        </w:rPr>
        <w:t xml:space="preserve">. </w:t>
      </w:r>
      <w:r w:rsidR="00A6415F" w:rsidRPr="00B139B1">
        <w:rPr>
          <w:rFonts w:ascii="Times New Roman" w:eastAsia="Calibri" w:hAnsi="Times New Roman" w:cs="Times New Roman"/>
        </w:rPr>
        <w:t xml:space="preserve"> This is in contrast to t</w:t>
      </w:r>
      <w:r w:rsidRPr="00B139B1">
        <w:rPr>
          <w:rFonts w:ascii="Times New Roman" w:eastAsia="Calibri" w:hAnsi="Times New Roman" w:cs="Times New Roman"/>
        </w:rPr>
        <w:t xml:space="preserve">he Chinese position </w:t>
      </w:r>
      <w:r w:rsidR="00A6415F" w:rsidRPr="00B139B1">
        <w:rPr>
          <w:rFonts w:ascii="Times New Roman" w:eastAsia="Calibri" w:hAnsi="Times New Roman" w:cs="Times New Roman"/>
        </w:rPr>
        <w:t xml:space="preserve">which focuses </w:t>
      </w:r>
      <w:r w:rsidRPr="00B139B1">
        <w:rPr>
          <w:rFonts w:ascii="Times New Roman" w:eastAsia="Calibri" w:hAnsi="Times New Roman" w:cs="Times New Roman"/>
        </w:rPr>
        <w:t>on maintaining stable supply of raw materials for domestic use</w:t>
      </w:r>
      <w:r w:rsidR="00A6415F" w:rsidRPr="00B139B1">
        <w:rPr>
          <w:rFonts w:ascii="Times New Roman" w:eastAsia="Calibri" w:hAnsi="Times New Roman" w:cs="Times New Roman"/>
        </w:rPr>
        <w:t xml:space="preserve"> and the Japanese viewpoint </w:t>
      </w:r>
      <w:r w:rsidR="00FC5521" w:rsidRPr="00B139B1">
        <w:rPr>
          <w:rFonts w:ascii="Times New Roman" w:eastAsia="Calibri" w:hAnsi="Times New Roman" w:cs="Times New Roman"/>
        </w:rPr>
        <w:t>of securing stable supply.</w:t>
      </w:r>
      <w:r w:rsidR="00885040" w:rsidRPr="00B139B1">
        <w:rPr>
          <w:rFonts w:ascii="Times New Roman" w:eastAsia="Calibri" w:hAnsi="Times New Roman" w:cs="Times New Roman"/>
        </w:rPr>
        <w:t xml:space="preserve"> The notable omission from general trends in literature was the study by</w:t>
      </w:r>
      <w:r w:rsidRPr="00B139B1">
        <w:rPr>
          <w:rFonts w:ascii="Times New Roman" w:eastAsia="Calibri" w:hAnsi="Times New Roman" w:cs="Times New Roman"/>
        </w:rPr>
        <w:t xml:space="preserve"> </w:t>
      </w:r>
      <w:r w:rsidRPr="00B139B1">
        <w:rPr>
          <w:rFonts w:ascii="Times New Roman" w:eastAsia="Calibri" w:hAnsi="Times New Roman" w:cs="Times New Roman"/>
          <w:noProof/>
        </w:rPr>
        <w:t>(Graedel et al. 2012)</w:t>
      </w:r>
      <w:r w:rsidRPr="00B139B1">
        <w:rPr>
          <w:rFonts w:ascii="Times New Roman" w:eastAsia="Calibri" w:hAnsi="Times New Roman" w:cs="Times New Roman"/>
        </w:rPr>
        <w:t xml:space="preserve"> </w:t>
      </w:r>
      <w:r w:rsidR="00885040" w:rsidRPr="00B139B1">
        <w:rPr>
          <w:rFonts w:ascii="Times New Roman" w:eastAsia="Calibri" w:hAnsi="Times New Roman" w:cs="Times New Roman"/>
        </w:rPr>
        <w:t xml:space="preserve">which </w:t>
      </w:r>
      <w:r w:rsidRPr="00B139B1">
        <w:rPr>
          <w:rFonts w:ascii="Times New Roman" w:eastAsia="Calibri" w:hAnsi="Times New Roman" w:cs="Times New Roman"/>
        </w:rPr>
        <w:t>investigat</w:t>
      </w:r>
      <w:r w:rsidR="00885040" w:rsidRPr="00B139B1">
        <w:rPr>
          <w:rFonts w:ascii="Times New Roman" w:eastAsia="Calibri" w:hAnsi="Times New Roman" w:cs="Times New Roman"/>
        </w:rPr>
        <w:t>ed</w:t>
      </w:r>
      <w:r w:rsidRPr="00B139B1">
        <w:rPr>
          <w:rFonts w:ascii="Times New Roman" w:eastAsia="Calibri" w:hAnsi="Times New Roman" w:cs="Times New Roman"/>
        </w:rPr>
        <w:t xml:space="preserve"> criticality from three different geographic foci: global, national and corporate.</w:t>
      </w:r>
      <w:r w:rsidR="00885040" w:rsidRPr="00B139B1">
        <w:rPr>
          <w:rFonts w:ascii="Times New Roman" w:eastAsia="Calibri" w:hAnsi="Times New Roman" w:cs="Times New Roman"/>
        </w:rPr>
        <w:t xml:space="preserve"> This approach is understandable especially when </w:t>
      </w:r>
      <w:r w:rsidRPr="00B139B1">
        <w:rPr>
          <w:rFonts w:ascii="Times New Roman" w:eastAsia="Calibri" w:hAnsi="Times New Roman" w:cs="Times New Roman"/>
        </w:rPr>
        <w:t>resources critical to one nation may not be critical to another,</w:t>
      </w:r>
      <w:r w:rsidR="00885040" w:rsidRPr="00B139B1">
        <w:rPr>
          <w:rFonts w:ascii="Times New Roman" w:eastAsia="Calibri" w:hAnsi="Times New Roman" w:cs="Times New Roman"/>
        </w:rPr>
        <w:t xml:space="preserve"> and thus</w:t>
      </w:r>
      <w:r w:rsidRPr="00B139B1">
        <w:rPr>
          <w:rFonts w:ascii="Times New Roman" w:eastAsia="Calibri" w:hAnsi="Times New Roman" w:cs="Times New Roman"/>
        </w:rPr>
        <w:t xml:space="preserve"> aggregating such a metric can create substantial uncertainty.</w:t>
      </w:r>
    </w:p>
    <w:p w:rsidR="00CF70EA" w:rsidRPr="00B139B1" w:rsidRDefault="0024785A" w:rsidP="007F690B">
      <w:pPr>
        <w:spacing w:after="0" w:line="360" w:lineRule="auto"/>
        <w:ind w:firstLine="720"/>
        <w:jc w:val="both"/>
        <w:rPr>
          <w:rFonts w:ascii="Times New Roman" w:eastAsia="Calibri" w:hAnsi="Times New Roman" w:cs="Times New Roman"/>
        </w:rPr>
      </w:pPr>
      <w:r w:rsidRPr="00B139B1">
        <w:rPr>
          <w:rFonts w:ascii="Times New Roman" w:eastAsia="Calibri" w:hAnsi="Times New Roman" w:cs="Times New Roman"/>
        </w:rPr>
        <w:t>Studies</w:t>
      </w:r>
      <w:r w:rsidR="00A652BE" w:rsidRPr="00B139B1">
        <w:rPr>
          <w:rFonts w:ascii="Times New Roman" w:eastAsia="Calibri" w:hAnsi="Times New Roman" w:cs="Times New Roman"/>
        </w:rPr>
        <w:t xml:space="preserve"> from literature also varied</w:t>
      </w:r>
      <w:r w:rsidRPr="00B139B1">
        <w:rPr>
          <w:rFonts w:ascii="Times New Roman" w:eastAsia="Calibri" w:hAnsi="Times New Roman" w:cs="Times New Roman"/>
        </w:rPr>
        <w:t xml:space="preserve"> in the weighting and aggregation of criticality scores. When combining scores in criticality assessments for multiple factors</w:t>
      </w:r>
      <w:r w:rsidR="00A652BE" w:rsidRPr="00B139B1">
        <w:rPr>
          <w:rFonts w:ascii="Times New Roman" w:eastAsia="Calibri" w:hAnsi="Times New Roman" w:cs="Times New Roman"/>
        </w:rPr>
        <w:t>,</w:t>
      </w:r>
      <w:r w:rsidRPr="00B139B1">
        <w:rPr>
          <w:rFonts w:ascii="Times New Roman" w:eastAsia="Calibri" w:hAnsi="Times New Roman" w:cs="Times New Roman"/>
        </w:rPr>
        <w:t xml:space="preserve"> some authors elect</w:t>
      </w:r>
      <w:r w:rsidR="00A652BE" w:rsidRPr="00B139B1">
        <w:rPr>
          <w:rFonts w:ascii="Times New Roman" w:eastAsia="Calibri" w:hAnsi="Times New Roman" w:cs="Times New Roman"/>
        </w:rPr>
        <w:t>ed</w:t>
      </w:r>
      <w:r w:rsidRPr="00B139B1">
        <w:rPr>
          <w:rFonts w:ascii="Times New Roman" w:eastAsia="Calibri" w:hAnsi="Times New Roman" w:cs="Times New Roman"/>
        </w:rPr>
        <w:t xml:space="preserve"> to represent all factors equally</w:t>
      </w:r>
      <w:r w:rsidR="00A652BE" w:rsidRPr="00B139B1">
        <w:rPr>
          <w:rFonts w:ascii="Times New Roman" w:eastAsia="Calibri" w:hAnsi="Times New Roman" w:cs="Times New Roman"/>
        </w:rPr>
        <w:t xml:space="preserve"> </w:t>
      </w:r>
      <w:r w:rsidR="00A652BE" w:rsidRPr="00B139B1">
        <w:rPr>
          <w:rStyle w:val="ReferenceChar"/>
          <w:noProof/>
          <w:color w:val="auto"/>
        </w:rPr>
        <w:t>(Erdmann &amp; Graedel 2011)</w:t>
      </w:r>
      <w:r w:rsidRPr="00B139B1">
        <w:rPr>
          <w:rStyle w:val="ReferenceChar"/>
          <w:color w:val="auto"/>
        </w:rPr>
        <w:t>,</w:t>
      </w:r>
      <w:r w:rsidRPr="00B139B1">
        <w:rPr>
          <w:rFonts w:ascii="Times New Roman" w:eastAsia="Calibri" w:hAnsi="Times New Roman" w:cs="Times New Roman"/>
        </w:rPr>
        <w:t xml:space="preserve"> whilst others favour</w:t>
      </w:r>
      <w:r w:rsidR="00A652BE" w:rsidRPr="00B139B1">
        <w:rPr>
          <w:rFonts w:ascii="Times New Roman" w:eastAsia="Calibri" w:hAnsi="Times New Roman" w:cs="Times New Roman"/>
        </w:rPr>
        <w:t>ed</w:t>
      </w:r>
      <w:r w:rsidRPr="00B139B1">
        <w:rPr>
          <w:rFonts w:ascii="Times New Roman" w:eastAsia="Calibri" w:hAnsi="Times New Roman" w:cs="Times New Roman"/>
        </w:rPr>
        <w:t xml:space="preserve"> giving extra weight to certai</w:t>
      </w:r>
      <w:r w:rsidR="00A652BE" w:rsidRPr="00B139B1">
        <w:rPr>
          <w:rFonts w:ascii="Times New Roman" w:eastAsia="Calibri" w:hAnsi="Times New Roman" w:cs="Times New Roman"/>
        </w:rPr>
        <w:t xml:space="preserve">n factors of interest </w:t>
      </w:r>
      <w:r w:rsidR="00BF7E31" w:rsidRPr="00B139B1">
        <w:rPr>
          <w:rStyle w:val="ReferenceChar"/>
          <w:noProof/>
          <w:color w:val="auto"/>
        </w:rPr>
        <w:t>(</w:t>
      </w:r>
      <w:r w:rsidR="00BF7E31" w:rsidRPr="00B139B1">
        <w:rPr>
          <w:rFonts w:ascii="Times New Roman" w:eastAsia="Calibri" w:hAnsi="Times New Roman" w:cs="Times New Roman"/>
          <w:noProof/>
        </w:rPr>
        <w:t xml:space="preserve">Buchert et al, </w:t>
      </w:r>
      <w:r w:rsidR="00A652BE" w:rsidRPr="00B139B1">
        <w:rPr>
          <w:rStyle w:val="ReferenceChar"/>
          <w:noProof/>
          <w:color w:val="auto"/>
        </w:rPr>
        <w:t>2011)</w:t>
      </w:r>
      <w:r w:rsidRPr="00B139B1">
        <w:rPr>
          <w:rFonts w:ascii="Times New Roman" w:eastAsia="Calibri" w:hAnsi="Times New Roman" w:cs="Times New Roman"/>
        </w:rPr>
        <w:t>.</w:t>
      </w:r>
      <w:r w:rsidR="00A652BE" w:rsidRPr="00B139B1">
        <w:rPr>
          <w:rFonts w:ascii="Times New Roman" w:eastAsia="Calibri" w:hAnsi="Times New Roman" w:cs="Times New Roman"/>
        </w:rPr>
        <w:t xml:space="preserve"> As well as</w:t>
      </w:r>
      <w:r w:rsidRPr="00B139B1">
        <w:rPr>
          <w:rFonts w:ascii="Times New Roman" w:eastAsia="Calibri" w:hAnsi="Times New Roman" w:cs="Times New Roman"/>
        </w:rPr>
        <w:t xml:space="preserve"> </w:t>
      </w:r>
      <w:r w:rsidR="00A652BE" w:rsidRPr="00B139B1">
        <w:rPr>
          <w:rFonts w:ascii="Times New Roman" w:eastAsia="Calibri" w:hAnsi="Times New Roman" w:cs="Times New Roman"/>
        </w:rPr>
        <w:t>the manner in which weighting was</w:t>
      </w:r>
      <w:r w:rsidRPr="00B139B1">
        <w:rPr>
          <w:rFonts w:ascii="Times New Roman" w:eastAsia="Calibri" w:hAnsi="Times New Roman" w:cs="Times New Roman"/>
        </w:rPr>
        <w:t xml:space="preserve"> applied</w:t>
      </w:r>
      <w:r w:rsidR="00A652BE" w:rsidRPr="00B139B1">
        <w:rPr>
          <w:rFonts w:ascii="Times New Roman" w:eastAsia="Calibri" w:hAnsi="Times New Roman" w:cs="Times New Roman"/>
        </w:rPr>
        <w:t xml:space="preserve">, it also varied </w:t>
      </w:r>
      <w:r w:rsidR="00A652BE" w:rsidRPr="00B139B1">
        <w:rPr>
          <w:rFonts w:ascii="Times New Roman" w:eastAsia="Calibri" w:hAnsi="Times New Roman" w:cs="Times New Roman"/>
        </w:rPr>
        <w:lastRenderedPageBreak/>
        <w:t>between and within studies.</w:t>
      </w:r>
      <w:r w:rsidR="00CF70EA" w:rsidRPr="00B139B1">
        <w:rPr>
          <w:rFonts w:ascii="Times New Roman" w:eastAsia="Calibri" w:hAnsi="Times New Roman" w:cs="Times New Roman"/>
        </w:rPr>
        <w:t xml:space="preserve"> In regards to aggregation, although it seems to be subjective, the variation in weighting can considerably adjust the findings of criticality assessme</w:t>
      </w:r>
      <w:r w:rsidR="001F299A">
        <w:rPr>
          <w:rFonts w:ascii="Times New Roman" w:eastAsia="Calibri" w:hAnsi="Times New Roman" w:cs="Times New Roman"/>
        </w:rPr>
        <w:t xml:space="preserve">nts. For example, the study by </w:t>
      </w:r>
      <w:r w:rsidR="00CF70EA" w:rsidRPr="00B139B1">
        <w:rPr>
          <w:rStyle w:val="ReferenceChar"/>
          <w:noProof/>
          <w:color w:val="auto"/>
        </w:rPr>
        <w:t>(Erdmann &amp; Graedel 2011)</w:t>
      </w:r>
      <w:r w:rsidR="00CF70EA" w:rsidRPr="00B139B1">
        <w:rPr>
          <w:rStyle w:val="ReferenceChar"/>
          <w:color w:val="auto"/>
        </w:rPr>
        <w:t xml:space="preserve"> confirmed</w:t>
      </w:r>
      <w:r w:rsidR="00CF70EA" w:rsidRPr="00B139B1">
        <w:rPr>
          <w:rFonts w:ascii="Times New Roman" w:eastAsia="Calibri" w:hAnsi="Times New Roman" w:cs="Times New Roman"/>
        </w:rPr>
        <w:t xml:space="preserve"> varying the aggregation method impacted upon the criticality scores in the European Commission study ‘Critical raw materials for the EU’.</w:t>
      </w:r>
      <w:r w:rsidR="00CF70EA" w:rsidRPr="00B139B1">
        <w:t xml:space="preserve"> </w:t>
      </w:r>
      <w:r w:rsidRPr="00B139B1">
        <w:rPr>
          <w:rFonts w:ascii="Times New Roman" w:eastAsia="Calibri" w:hAnsi="Times New Roman" w:cs="Times New Roman"/>
        </w:rPr>
        <w:t>Comparison of scores using different weighting methods reveals that ranking of critical metals may be significantly affected by the aggregation methodology used.</w:t>
      </w:r>
    </w:p>
    <w:p w:rsidR="00966E03" w:rsidRPr="00B139B1" w:rsidRDefault="007F690B" w:rsidP="00966E03">
      <w:pPr>
        <w:spacing w:after="0" w:line="360" w:lineRule="auto"/>
        <w:ind w:firstLine="720"/>
        <w:jc w:val="both"/>
        <w:rPr>
          <w:rFonts w:ascii="Times New Roman" w:eastAsia="Calibri" w:hAnsi="Times New Roman" w:cs="Times New Roman"/>
        </w:rPr>
      </w:pPr>
      <w:r w:rsidRPr="00B139B1">
        <w:rPr>
          <w:rFonts w:ascii="Times New Roman" w:eastAsia="Calibri" w:hAnsi="Times New Roman" w:cs="Times New Roman"/>
        </w:rPr>
        <w:t xml:space="preserve">Yet even wide-ranging characteristics used in criticality assessment methodologies </w:t>
      </w:r>
      <w:r w:rsidR="006B4765" w:rsidRPr="00B139B1">
        <w:rPr>
          <w:rFonts w:ascii="Times New Roman" w:eastAsia="Calibri" w:hAnsi="Times New Roman" w:cs="Times New Roman"/>
        </w:rPr>
        <w:t>exhibit</w:t>
      </w:r>
      <w:r w:rsidRPr="00B139B1">
        <w:rPr>
          <w:rFonts w:ascii="Times New Roman" w:eastAsia="Calibri" w:hAnsi="Times New Roman" w:cs="Times New Roman"/>
        </w:rPr>
        <w:t xml:space="preserve"> limitations. One of the main limitations</w:t>
      </w:r>
      <w:r w:rsidR="000F0B81" w:rsidRPr="00B139B1">
        <w:rPr>
          <w:rFonts w:ascii="Times New Roman" w:eastAsia="Calibri" w:hAnsi="Times New Roman" w:cs="Times New Roman"/>
        </w:rPr>
        <w:t xml:space="preserve"> are that </w:t>
      </w:r>
      <w:r w:rsidRPr="00B139B1">
        <w:rPr>
          <w:rFonts w:ascii="Times New Roman" w:eastAsia="Calibri" w:hAnsi="Times New Roman" w:cs="Times New Roman"/>
        </w:rPr>
        <w:t xml:space="preserve">criticality assessment methodologies are not intended to capture the impacts of criticality over time. </w:t>
      </w:r>
      <w:r w:rsidR="000F0B81" w:rsidRPr="00B139B1">
        <w:rPr>
          <w:rFonts w:ascii="Times New Roman" w:eastAsia="Calibri" w:hAnsi="Times New Roman" w:cs="Times New Roman"/>
        </w:rPr>
        <w:t>This is demonstrated by how the metric, time horizon, is often treated indirectly in criticality studies thus resulting in the following variations in literature:</w:t>
      </w:r>
    </w:p>
    <w:p w:rsidR="000F0B81" w:rsidRPr="00B139B1" w:rsidRDefault="000F0B81" w:rsidP="000F0B81">
      <w:pPr>
        <w:numPr>
          <w:ilvl w:val="0"/>
          <w:numId w:val="1"/>
        </w:numPr>
        <w:spacing w:after="0" w:line="360" w:lineRule="auto"/>
        <w:ind w:left="720" w:hanging="360"/>
        <w:jc w:val="both"/>
        <w:rPr>
          <w:rFonts w:ascii="Times New Roman" w:eastAsia="Calibri" w:hAnsi="Times New Roman" w:cs="Times New Roman"/>
        </w:rPr>
      </w:pPr>
      <w:r w:rsidRPr="00B139B1">
        <w:rPr>
          <w:rFonts w:ascii="Times New Roman" w:eastAsia="Calibri" w:hAnsi="Times New Roman" w:cs="Times New Roman"/>
        </w:rPr>
        <w:t>Generally, the short-term availability of raw materials is addressed in almost all studies.</w:t>
      </w:r>
    </w:p>
    <w:p w:rsidR="000F0B81" w:rsidRPr="00B139B1" w:rsidRDefault="000F0B81" w:rsidP="000F0B81">
      <w:pPr>
        <w:numPr>
          <w:ilvl w:val="0"/>
          <w:numId w:val="1"/>
        </w:numPr>
        <w:spacing w:after="0" w:line="360" w:lineRule="auto"/>
        <w:ind w:left="720" w:hanging="360"/>
        <w:jc w:val="both"/>
        <w:rPr>
          <w:rFonts w:ascii="Times New Roman" w:eastAsia="Calibri" w:hAnsi="Times New Roman" w:cs="Times New Roman"/>
        </w:rPr>
      </w:pPr>
      <w:r w:rsidRPr="00B139B1">
        <w:rPr>
          <w:rFonts w:ascii="Times New Roman" w:eastAsia="Calibri" w:hAnsi="Times New Roman" w:cs="Times New Roman"/>
        </w:rPr>
        <w:t xml:space="preserve">Three studies, </w:t>
      </w:r>
      <w:r w:rsidRPr="00B139B1">
        <w:rPr>
          <w:rFonts w:ascii="Times New Roman" w:eastAsia="Calibri" w:hAnsi="Times New Roman" w:cs="Times New Roman"/>
          <w:noProof/>
        </w:rPr>
        <w:t>(Graede</w:t>
      </w:r>
      <w:r w:rsidR="00202C43" w:rsidRPr="00B139B1">
        <w:rPr>
          <w:rFonts w:ascii="Times New Roman" w:eastAsia="Calibri" w:hAnsi="Times New Roman" w:cs="Times New Roman"/>
          <w:noProof/>
        </w:rPr>
        <w:t>l et al. 201</w:t>
      </w:r>
      <w:r w:rsidR="00BF7E31" w:rsidRPr="00B139B1">
        <w:rPr>
          <w:rFonts w:ascii="Times New Roman" w:eastAsia="Calibri" w:hAnsi="Times New Roman" w:cs="Times New Roman"/>
          <w:noProof/>
        </w:rPr>
        <w:t xml:space="preserve">2; Bauer et al, </w:t>
      </w:r>
      <w:r w:rsidR="00202C43" w:rsidRPr="00B139B1">
        <w:rPr>
          <w:rFonts w:ascii="Times New Roman" w:eastAsia="Calibri" w:hAnsi="Times New Roman" w:cs="Times New Roman"/>
          <w:noProof/>
        </w:rPr>
        <w:t>2011; Buchert et al,</w:t>
      </w:r>
      <w:r w:rsidRPr="00B139B1">
        <w:rPr>
          <w:rFonts w:ascii="Times New Roman" w:eastAsia="Calibri" w:hAnsi="Times New Roman" w:cs="Times New Roman"/>
          <w:noProof/>
        </w:rPr>
        <w:t xml:space="preserve"> 2009)</w:t>
      </w:r>
      <w:r w:rsidR="001F299A">
        <w:rPr>
          <w:rFonts w:ascii="Times New Roman" w:eastAsia="Calibri" w:hAnsi="Times New Roman" w:cs="Times New Roman"/>
        </w:rPr>
        <w:t xml:space="preserve"> </w:t>
      </w:r>
      <w:r w:rsidRPr="00B139B1">
        <w:rPr>
          <w:rFonts w:ascii="Times New Roman" w:eastAsia="Calibri" w:hAnsi="Times New Roman" w:cs="Times New Roman"/>
        </w:rPr>
        <w:t>include a range of time frames ranging from short, medium and long term.</w:t>
      </w:r>
    </w:p>
    <w:p w:rsidR="000F0B81" w:rsidRPr="00B139B1" w:rsidRDefault="000F0B81" w:rsidP="000F0B81">
      <w:pPr>
        <w:numPr>
          <w:ilvl w:val="0"/>
          <w:numId w:val="1"/>
        </w:numPr>
        <w:spacing w:after="0" w:line="360" w:lineRule="auto"/>
        <w:ind w:left="720" w:hanging="360"/>
        <w:jc w:val="both"/>
        <w:rPr>
          <w:rFonts w:ascii="Times New Roman" w:eastAsia="Calibri" w:hAnsi="Times New Roman" w:cs="Times New Roman"/>
        </w:rPr>
      </w:pPr>
      <w:r w:rsidRPr="00B139B1">
        <w:rPr>
          <w:rFonts w:ascii="Times New Roman" w:eastAsia="Calibri" w:hAnsi="Times New Roman" w:cs="Times New Roman"/>
        </w:rPr>
        <w:t xml:space="preserve">There are different dynamics of supply and demand captured by </w:t>
      </w:r>
      <w:r w:rsidR="00202C43" w:rsidRPr="00B139B1">
        <w:rPr>
          <w:rFonts w:ascii="Times New Roman" w:eastAsia="Calibri" w:hAnsi="Times New Roman" w:cs="Times New Roman"/>
          <w:noProof/>
        </w:rPr>
        <w:t>(Buchert et al, 2009</w:t>
      </w:r>
      <w:r w:rsidRPr="00B139B1">
        <w:rPr>
          <w:rFonts w:ascii="Times New Roman" w:eastAsia="Calibri" w:hAnsi="Times New Roman" w:cs="Times New Roman"/>
          <w:noProof/>
        </w:rPr>
        <w:t>)</w:t>
      </w:r>
      <w:r w:rsidRPr="00B139B1">
        <w:rPr>
          <w:rFonts w:ascii="Times New Roman" w:eastAsia="Calibri" w:hAnsi="Times New Roman" w:cs="Times New Roman"/>
        </w:rPr>
        <w:t xml:space="preserve"> which include physical (reserves compared to yearly demand) temporary (time lag between demand and production) and structural (in coupled production, metal is just a minor product) scarcity. For instance, if the demand for the main product (e.g. copper) decreases whilst demand for a by-product (e.g. indium) increases, a suitable supply increase of the by-product might be delayed by supply limitations of the main product. Thus emphasising, materials studied will become critical, but at different times.</w:t>
      </w:r>
    </w:p>
    <w:p w:rsidR="000F0B81" w:rsidRPr="00B139B1" w:rsidRDefault="00202C43" w:rsidP="000F0B81">
      <w:pPr>
        <w:numPr>
          <w:ilvl w:val="0"/>
          <w:numId w:val="1"/>
        </w:numPr>
        <w:spacing w:after="0" w:line="360" w:lineRule="auto"/>
        <w:ind w:left="720" w:hanging="360"/>
        <w:jc w:val="both"/>
        <w:rPr>
          <w:rFonts w:ascii="Times New Roman" w:eastAsia="Calibri" w:hAnsi="Times New Roman" w:cs="Times New Roman"/>
        </w:rPr>
      </w:pPr>
      <w:r w:rsidRPr="00B139B1">
        <w:rPr>
          <w:rFonts w:ascii="Times New Roman" w:eastAsia="Calibri" w:hAnsi="Times New Roman" w:cs="Times New Roman"/>
        </w:rPr>
        <w:t xml:space="preserve">The following </w:t>
      </w:r>
      <w:r w:rsidR="000F0B81" w:rsidRPr="00B139B1">
        <w:rPr>
          <w:rFonts w:ascii="Times New Roman" w:eastAsia="Calibri" w:hAnsi="Times New Roman" w:cs="Times New Roman"/>
        </w:rPr>
        <w:t xml:space="preserve">studies: </w:t>
      </w:r>
      <w:r w:rsidR="000F0B81" w:rsidRPr="00B139B1">
        <w:rPr>
          <w:rFonts w:ascii="Times New Roman" w:eastAsia="Calibri" w:hAnsi="Times New Roman" w:cs="Times New Roman"/>
          <w:noProof/>
        </w:rPr>
        <w:t>(Achzet et al. 2011; Duclos et al. 2010; Morley &amp; Eatherley 2008)</w:t>
      </w:r>
      <w:r w:rsidR="00B12521">
        <w:rPr>
          <w:rFonts w:ascii="Times New Roman" w:eastAsia="Calibri" w:hAnsi="Times New Roman" w:cs="Times New Roman"/>
        </w:rPr>
        <w:t xml:space="preserve"> </w:t>
      </w:r>
      <w:r w:rsidR="000F0B81" w:rsidRPr="00B139B1">
        <w:rPr>
          <w:rFonts w:ascii="Times New Roman" w:eastAsia="Calibri" w:hAnsi="Times New Roman" w:cs="Times New Roman"/>
        </w:rPr>
        <w:t>do not include a specific time frame.</w:t>
      </w:r>
    </w:p>
    <w:p w:rsidR="00966E03" w:rsidRPr="00B139B1" w:rsidRDefault="00966E03" w:rsidP="00966E03">
      <w:pPr>
        <w:spacing w:after="0" w:line="360" w:lineRule="auto"/>
        <w:ind w:left="720"/>
        <w:jc w:val="both"/>
        <w:rPr>
          <w:rFonts w:ascii="Times New Roman" w:eastAsia="Calibri" w:hAnsi="Times New Roman" w:cs="Times New Roman"/>
        </w:rPr>
      </w:pPr>
    </w:p>
    <w:p w:rsidR="001223A4" w:rsidRPr="00B139B1" w:rsidRDefault="007F690B" w:rsidP="001223A4">
      <w:pPr>
        <w:spacing w:after="0" w:line="360" w:lineRule="auto"/>
        <w:ind w:firstLine="720"/>
        <w:jc w:val="both"/>
        <w:rPr>
          <w:rFonts w:ascii="Times New Roman" w:eastAsia="Calibri" w:hAnsi="Times New Roman"/>
        </w:rPr>
      </w:pPr>
      <w:r w:rsidRPr="00B139B1">
        <w:rPr>
          <w:rFonts w:ascii="Times New Roman" w:eastAsia="Calibri" w:hAnsi="Times New Roman" w:cs="Times New Roman"/>
        </w:rPr>
        <w:t xml:space="preserve">This is particularly </w:t>
      </w:r>
      <w:r w:rsidR="000F0B81" w:rsidRPr="00B139B1">
        <w:rPr>
          <w:rFonts w:ascii="Times New Roman" w:eastAsia="Calibri" w:hAnsi="Times New Roman" w:cs="Times New Roman"/>
        </w:rPr>
        <w:t>evident in studies that utilise supply risk factors, since these are calculated by related factors such as geopolitical and metal supply, which themselves can considerably alter in the short, medium or long term. A good example of this are several studies</w:t>
      </w:r>
      <w:r w:rsidR="00650F02" w:rsidRPr="00B139B1">
        <w:rPr>
          <w:rFonts w:ascii="Times New Roman" w:eastAsia="Calibri" w:hAnsi="Times New Roman" w:cs="Times New Roman"/>
        </w:rPr>
        <w:t>:</w:t>
      </w:r>
      <w:r w:rsidR="000F0B81" w:rsidRPr="00B139B1">
        <w:rPr>
          <w:rFonts w:ascii="Times New Roman" w:eastAsia="Calibri" w:hAnsi="Times New Roman" w:cs="Times New Roman"/>
        </w:rPr>
        <w:t xml:space="preserve"> </w:t>
      </w:r>
      <w:r w:rsidR="00650F02" w:rsidRPr="00B139B1">
        <w:rPr>
          <w:rStyle w:val="ReferenceChar"/>
          <w:noProof/>
          <w:color w:val="auto"/>
        </w:rPr>
        <w:t>(Graedel et al. 2012; SEPA 2011; Achzet 2011; AEA 2010; Buchert 2009)</w:t>
      </w:r>
      <w:r w:rsidR="00650F02" w:rsidRPr="00B139B1">
        <w:rPr>
          <w:rStyle w:val="ReferenceChar"/>
          <w:color w:val="auto"/>
        </w:rPr>
        <w:t xml:space="preserve"> that make use of supply risk factor, based on geological data, to calcul</w:t>
      </w:r>
      <w:r w:rsidR="00381525">
        <w:rPr>
          <w:rStyle w:val="ReferenceChar"/>
          <w:color w:val="auto"/>
        </w:rPr>
        <w:t>ate the ratio in the most recent</w:t>
      </w:r>
      <w:r w:rsidR="00650F02" w:rsidRPr="00B139B1">
        <w:rPr>
          <w:rStyle w:val="ReferenceChar"/>
          <w:color w:val="auto"/>
        </w:rPr>
        <w:t xml:space="preserve"> year of reserves to production (R/P). Therefore, based on the previously mentioned explanation, that </w:t>
      </w:r>
      <w:r w:rsidR="00650F02" w:rsidRPr="00B139B1">
        <w:rPr>
          <w:rFonts w:ascii="Times New Roman" w:eastAsia="Calibri" w:hAnsi="Times New Roman" w:cs="Times New Roman"/>
        </w:rPr>
        <w:t xml:space="preserve">criticality assessments are not intended to capture the impacts of criticality over time, the R/P ratio has to be considered unreliable in terms of measuring future availability. Yet, alternatives are lacking apart from the use of ‘Depletion Time’ developed by </w:t>
      </w:r>
      <w:r w:rsidR="00650F02" w:rsidRPr="00B139B1">
        <w:rPr>
          <w:rStyle w:val="ReferenceChar"/>
          <w:noProof/>
          <w:color w:val="auto"/>
        </w:rPr>
        <w:t>(Graedel et al. 2012)</w:t>
      </w:r>
      <w:r w:rsidR="00650F02" w:rsidRPr="00B139B1">
        <w:rPr>
          <w:rFonts w:ascii="Times New Roman" w:eastAsia="Calibri" w:hAnsi="Times New Roman" w:cs="Times New Roman"/>
        </w:rPr>
        <w:t xml:space="preserve"> and are hardly ever applied </w:t>
      </w:r>
      <w:r w:rsidRPr="00B139B1">
        <w:rPr>
          <w:rFonts w:ascii="Times New Roman" w:eastAsia="Calibri" w:hAnsi="Times New Roman" w:cs="Times New Roman"/>
        </w:rPr>
        <w:t>in criticality assessments.</w:t>
      </w:r>
    </w:p>
    <w:p w:rsidR="009838CD" w:rsidRPr="00B139B1" w:rsidRDefault="001223A4" w:rsidP="009838CD">
      <w:pPr>
        <w:spacing w:after="0" w:line="360" w:lineRule="auto"/>
        <w:ind w:firstLine="720"/>
        <w:jc w:val="both"/>
        <w:rPr>
          <w:rFonts w:ascii="Times New Roman" w:eastAsia="Calibri" w:hAnsi="Times New Roman" w:cs="Times New Roman"/>
        </w:rPr>
      </w:pPr>
      <w:r w:rsidRPr="00B139B1">
        <w:rPr>
          <w:rFonts w:ascii="Times New Roman" w:eastAsia="Calibri" w:hAnsi="Times New Roman" w:cs="Times New Roman"/>
        </w:rPr>
        <w:t>Aside from criticality over time, criticality assessments a</w:t>
      </w:r>
      <w:r w:rsidR="009838CD" w:rsidRPr="00B139B1">
        <w:rPr>
          <w:rFonts w:ascii="Times New Roman" w:eastAsia="Calibri" w:hAnsi="Times New Roman" w:cs="Times New Roman"/>
        </w:rPr>
        <w:t>re also affected by data availability</w:t>
      </w:r>
      <w:r w:rsidRPr="00B139B1">
        <w:rPr>
          <w:rFonts w:ascii="Times New Roman" w:eastAsia="Calibri" w:hAnsi="Times New Roman" w:cs="Times New Roman"/>
        </w:rPr>
        <w:t xml:space="preserve"> and</w:t>
      </w:r>
      <w:r w:rsidR="009838CD" w:rsidRPr="00B139B1">
        <w:rPr>
          <w:rFonts w:ascii="Times New Roman" w:eastAsia="Calibri" w:hAnsi="Times New Roman" w:cs="Times New Roman"/>
        </w:rPr>
        <w:t xml:space="preserve"> data</w:t>
      </w:r>
      <w:r w:rsidRPr="00B139B1">
        <w:rPr>
          <w:rFonts w:ascii="Times New Roman" w:eastAsia="Calibri" w:hAnsi="Times New Roman" w:cs="Times New Roman"/>
        </w:rPr>
        <w:t xml:space="preserve"> certainty, in particular when comparing and contrasting large number of metals within criticality assessments.</w:t>
      </w:r>
      <w:r w:rsidR="009838CD" w:rsidRPr="00B139B1">
        <w:rPr>
          <w:rFonts w:ascii="Times New Roman" w:eastAsia="Calibri" w:hAnsi="Times New Roman" w:cs="Times New Roman"/>
        </w:rPr>
        <w:t xml:space="preserve"> Relevant data may not be available for all metals, thus limiting the type of metric that can be included. For example the R/P ratio although found wanting, data is freely available for the majority of metals and therefore is included in many assessments. Even though data may be available </w:t>
      </w:r>
      <w:r w:rsidR="009838CD" w:rsidRPr="00B139B1">
        <w:rPr>
          <w:rFonts w:ascii="Times New Roman" w:eastAsia="Calibri" w:hAnsi="Times New Roman" w:cs="Times New Roman"/>
        </w:rPr>
        <w:lastRenderedPageBreak/>
        <w:t xml:space="preserve">for all metals, the level of certainty behind it may not be. Geological data, for instance may be extensive for some elements and very limited for others. </w:t>
      </w:r>
      <w:r w:rsidR="0024785A" w:rsidRPr="00B139B1">
        <w:rPr>
          <w:rFonts w:ascii="Times New Roman" w:eastAsia="Calibri" w:hAnsi="Times New Roman" w:cs="Times New Roman"/>
        </w:rPr>
        <w:t>But without incorporating this uncertainty</w:t>
      </w:r>
      <w:r w:rsidR="009838CD" w:rsidRPr="00B139B1">
        <w:rPr>
          <w:rFonts w:ascii="Times New Roman" w:eastAsia="Calibri" w:hAnsi="Times New Roman" w:cs="Times New Roman"/>
        </w:rPr>
        <w:t xml:space="preserve"> (i.e. through aggregation or weighting) </w:t>
      </w:r>
      <w:r w:rsidR="0024785A" w:rsidRPr="00B139B1">
        <w:rPr>
          <w:rFonts w:ascii="Times New Roman" w:eastAsia="Calibri" w:hAnsi="Times New Roman" w:cs="Times New Roman"/>
        </w:rPr>
        <w:t>criticality assessment</w:t>
      </w:r>
      <w:r w:rsidR="009838CD" w:rsidRPr="00B139B1">
        <w:rPr>
          <w:rFonts w:ascii="Times New Roman" w:eastAsia="Calibri" w:hAnsi="Times New Roman" w:cs="Times New Roman"/>
        </w:rPr>
        <w:t xml:space="preserve"> gives all data equal certainty. </w:t>
      </w:r>
      <w:r w:rsidR="006B4765" w:rsidRPr="00B139B1">
        <w:rPr>
          <w:rFonts w:ascii="Times New Roman" w:eastAsia="Calibri" w:hAnsi="Times New Roman" w:cs="Times New Roman"/>
        </w:rPr>
        <w:t>This can s</w:t>
      </w:r>
      <w:r w:rsidR="009838CD" w:rsidRPr="00B139B1">
        <w:rPr>
          <w:rFonts w:ascii="Times New Roman" w:eastAsia="Calibri" w:hAnsi="Times New Roman" w:cs="Times New Roman"/>
        </w:rPr>
        <w:t>ubsequently</w:t>
      </w:r>
      <w:r w:rsidR="0024785A" w:rsidRPr="00B139B1">
        <w:rPr>
          <w:rFonts w:ascii="Times New Roman" w:eastAsia="Calibri" w:hAnsi="Times New Roman" w:cs="Times New Roman"/>
        </w:rPr>
        <w:t xml:space="preserve"> mask the vari</w:t>
      </w:r>
      <w:r w:rsidR="009838CD" w:rsidRPr="00B139B1">
        <w:rPr>
          <w:rFonts w:ascii="Times New Roman" w:eastAsia="Calibri" w:hAnsi="Times New Roman" w:cs="Times New Roman"/>
        </w:rPr>
        <w:t>ation in quality of</w:t>
      </w:r>
      <w:r w:rsidR="006B4765" w:rsidRPr="00B139B1">
        <w:rPr>
          <w:rFonts w:ascii="Times New Roman" w:eastAsia="Calibri" w:hAnsi="Times New Roman" w:cs="Times New Roman"/>
        </w:rPr>
        <w:t xml:space="preserve"> the</w:t>
      </w:r>
      <w:r w:rsidR="009838CD" w:rsidRPr="00B139B1">
        <w:rPr>
          <w:rFonts w:ascii="Times New Roman" w:eastAsia="Calibri" w:hAnsi="Times New Roman" w:cs="Times New Roman"/>
        </w:rPr>
        <w:t xml:space="preserve"> data source.</w:t>
      </w:r>
    </w:p>
    <w:p w:rsidR="0024785A" w:rsidRPr="00B139B1" w:rsidRDefault="006B4765" w:rsidP="009838CD">
      <w:pPr>
        <w:spacing w:after="0" w:line="360" w:lineRule="auto"/>
        <w:ind w:firstLine="720"/>
        <w:jc w:val="both"/>
        <w:rPr>
          <w:rFonts w:ascii="Times New Roman" w:eastAsia="Calibri" w:hAnsi="Times New Roman" w:cs="Times New Roman"/>
        </w:rPr>
      </w:pPr>
      <w:r w:rsidRPr="00B139B1">
        <w:rPr>
          <w:rFonts w:ascii="Times New Roman" w:eastAsia="Calibri" w:hAnsi="Times New Roman" w:cs="Times New Roman"/>
        </w:rPr>
        <w:t>A</w:t>
      </w:r>
      <w:r w:rsidR="009838CD" w:rsidRPr="00B139B1">
        <w:rPr>
          <w:rFonts w:ascii="Times New Roman" w:eastAsia="Calibri" w:hAnsi="Times New Roman" w:cs="Times New Roman"/>
        </w:rPr>
        <w:t>s previously mentioned</w:t>
      </w:r>
      <w:r w:rsidR="0024785A" w:rsidRPr="00B139B1">
        <w:rPr>
          <w:rFonts w:ascii="Times New Roman" w:eastAsia="Calibri" w:hAnsi="Times New Roman" w:cs="Times New Roman"/>
        </w:rPr>
        <w:t>, an alternative to criticality assessment</w:t>
      </w:r>
      <w:r w:rsidR="009838CD" w:rsidRPr="00B139B1">
        <w:rPr>
          <w:rFonts w:ascii="Times New Roman" w:eastAsia="Calibri" w:hAnsi="Times New Roman" w:cs="Times New Roman"/>
        </w:rPr>
        <w:t>,</w:t>
      </w:r>
      <w:r w:rsidR="00C461E3" w:rsidRPr="00B139B1">
        <w:rPr>
          <w:rFonts w:ascii="Times New Roman" w:eastAsia="Calibri" w:hAnsi="Times New Roman" w:cs="Times New Roman"/>
        </w:rPr>
        <w:t xml:space="preserve"> </w:t>
      </w:r>
      <w:r w:rsidR="0024785A" w:rsidRPr="00B139B1">
        <w:rPr>
          <w:rFonts w:ascii="Times New Roman" w:eastAsia="Calibri" w:hAnsi="Times New Roman" w:cs="Times New Roman"/>
        </w:rPr>
        <w:t xml:space="preserve">is metal/technology specific analyses. These tend to be less methodologically driven and the </w:t>
      </w:r>
      <w:r w:rsidR="009838CD" w:rsidRPr="00B139B1">
        <w:rPr>
          <w:rFonts w:ascii="Times New Roman" w:eastAsia="Calibri" w:hAnsi="Times New Roman" w:cs="Times New Roman"/>
        </w:rPr>
        <w:t>numerous</w:t>
      </w:r>
      <w:r w:rsidR="0024785A" w:rsidRPr="00B139B1">
        <w:rPr>
          <w:rFonts w:ascii="Times New Roman" w:eastAsia="Calibri" w:hAnsi="Times New Roman" w:cs="Times New Roman"/>
        </w:rPr>
        <w:t xml:space="preserve"> approaches are reflective of varying </w:t>
      </w:r>
      <w:r w:rsidR="00C461E3" w:rsidRPr="00B139B1">
        <w:rPr>
          <w:rFonts w:ascii="Times New Roman" w:eastAsia="Calibri" w:hAnsi="Times New Roman" w:cs="Times New Roman"/>
        </w:rPr>
        <w:t>environment</w:t>
      </w:r>
      <w:r w:rsidR="004D4C54" w:rsidRPr="00B139B1">
        <w:rPr>
          <w:rFonts w:ascii="Times New Roman" w:eastAsia="Calibri" w:hAnsi="Times New Roman" w:cs="Times New Roman"/>
        </w:rPr>
        <w:t>s</w:t>
      </w:r>
      <w:r w:rsidR="0024785A" w:rsidRPr="00B139B1">
        <w:rPr>
          <w:rFonts w:ascii="Times New Roman" w:eastAsia="Calibri" w:hAnsi="Times New Roman" w:cs="Times New Roman"/>
        </w:rPr>
        <w:t xml:space="preserve"> surrounding each of the critical metals. These assessments have a supply perspective, demand perspective and the dynamic </w:t>
      </w:r>
      <w:r w:rsidR="004D4C54" w:rsidRPr="00B139B1">
        <w:rPr>
          <w:rFonts w:ascii="Times New Roman" w:eastAsia="Calibri" w:hAnsi="Times New Roman" w:cs="Times New Roman"/>
        </w:rPr>
        <w:t>interactions between them. I</w:t>
      </w:r>
      <w:r w:rsidR="0024785A" w:rsidRPr="00B139B1">
        <w:rPr>
          <w:rFonts w:ascii="Times New Roman" w:eastAsia="Calibri" w:hAnsi="Times New Roman" w:cs="Times New Roman"/>
        </w:rPr>
        <w:t>n parallel with criticality assessments, this approach cannot capture changes in estimates of reserves or metal demand over time.</w:t>
      </w:r>
    </w:p>
    <w:p w:rsidR="00F86D0C" w:rsidRPr="00B139B1" w:rsidRDefault="00C461E3" w:rsidP="00F86D0C">
      <w:pPr>
        <w:spacing w:after="0" w:line="360" w:lineRule="auto"/>
        <w:ind w:firstLine="720"/>
        <w:jc w:val="both"/>
        <w:rPr>
          <w:rFonts w:ascii="Times New Roman" w:eastAsia="Calibri" w:hAnsi="Times New Roman" w:cs="Times New Roman"/>
        </w:rPr>
      </w:pPr>
      <w:r w:rsidRPr="00B139B1">
        <w:rPr>
          <w:rFonts w:ascii="Times New Roman" w:eastAsia="Calibri" w:hAnsi="Times New Roman" w:cs="Times New Roman"/>
        </w:rPr>
        <w:t xml:space="preserve">To summarise </w:t>
      </w:r>
      <w:r w:rsidR="00773688" w:rsidRPr="00B139B1">
        <w:rPr>
          <w:rFonts w:ascii="Times New Roman" w:eastAsia="Calibri" w:hAnsi="Times New Roman" w:cs="Times New Roman"/>
        </w:rPr>
        <w:t>there is so</w:t>
      </w:r>
      <w:r w:rsidR="004D4C54" w:rsidRPr="00B139B1">
        <w:rPr>
          <w:rFonts w:ascii="Times New Roman" w:eastAsia="Calibri" w:hAnsi="Times New Roman" w:cs="Times New Roman"/>
        </w:rPr>
        <w:t>me confusion and interchangeable</w:t>
      </w:r>
      <w:r w:rsidR="00773688" w:rsidRPr="00B139B1">
        <w:rPr>
          <w:rFonts w:ascii="Times New Roman" w:eastAsia="Calibri" w:hAnsi="Times New Roman" w:cs="Times New Roman"/>
        </w:rPr>
        <w:t xml:space="preserve"> usage of terms when it comes to criticality and so it is important to define these clearly. With regards to defining criticality, there is no single clear definition but it is impacted by how individual studies conduct criticality assessments. In the present literature this is performed via two different approaches; criticality assessments or technology specific analyses.</w:t>
      </w:r>
      <w:r w:rsidR="00F86D0C" w:rsidRPr="00B139B1">
        <w:rPr>
          <w:rFonts w:ascii="Times New Roman" w:eastAsia="Calibri" w:hAnsi="Times New Roman" w:cs="Times New Roman"/>
        </w:rPr>
        <w:t xml:space="preserve"> However, even within these approaches there are variations in the factors used (aggregation, geography, perspective, scoring type and weighting) to assess and score criticality. In particular limitations of criticality assessments are highlighted by not being designed to capture impacts of criticality assessments over time. Additionally data quality and certainty make conducting criticality assessments for large numbers of metals difficult.</w:t>
      </w:r>
    </w:p>
    <w:p w:rsidR="001F299A" w:rsidRPr="001F299A" w:rsidRDefault="00F86D0C" w:rsidP="001F299A">
      <w:pPr>
        <w:spacing w:after="0" w:line="360" w:lineRule="auto"/>
        <w:ind w:firstLine="720"/>
        <w:jc w:val="both"/>
        <w:rPr>
          <w:rStyle w:val="FiguresChar"/>
          <w:rFonts w:asciiTheme="minorHAnsi" w:eastAsiaTheme="minorEastAsia" w:hAnsiTheme="minorHAnsi" w:cstheme="minorBidi"/>
          <w:color w:val="auto"/>
        </w:rPr>
        <w:sectPr w:rsidR="001F299A" w:rsidRPr="001F299A">
          <w:pgSz w:w="11906" w:h="16838"/>
          <w:pgMar w:top="1440" w:right="1440" w:bottom="1440" w:left="1440" w:header="708" w:footer="708" w:gutter="0"/>
          <w:cols w:space="708"/>
          <w:docGrid w:linePitch="360"/>
        </w:sectPr>
      </w:pPr>
      <w:r w:rsidRPr="00B139B1">
        <w:rPr>
          <w:rFonts w:ascii="Times New Roman" w:eastAsia="Calibri" w:hAnsi="Times New Roman" w:cs="Times New Roman"/>
        </w:rPr>
        <w:t>From the overview, 10 studies were selected to assess in more detail the 4 primary factors used in criticality assessments. Selection, specifically of these 10 studies, was based on two factors. Firstly being at the forefront in the field of criticality. Secondly and supporting the previous point, by being commonly referred and cited by alternative authors and journals.</w:t>
      </w:r>
      <w:r w:rsidR="00966E03" w:rsidRPr="00B139B1">
        <w:rPr>
          <w:rFonts w:ascii="Times New Roman" w:eastAsia="Calibri" w:hAnsi="Times New Roman" w:cs="Times New Roman"/>
        </w:rPr>
        <w:t xml:space="preserve"> </w:t>
      </w:r>
      <w:r w:rsidRPr="00B139B1">
        <w:rPr>
          <w:rFonts w:ascii="Times New Roman" w:eastAsia="Calibri" w:hAnsi="Times New Roman" w:cs="Times New Roman"/>
        </w:rPr>
        <w:t xml:space="preserve">However this is not a comprehensive list and additional studies, where appropriate were analysed and included. </w:t>
      </w:r>
      <w:r w:rsidR="00966E03" w:rsidRPr="00B139B1">
        <w:rPr>
          <w:rFonts w:ascii="Times New Roman" w:eastAsia="Calibri" w:hAnsi="Times New Roman" w:cs="Times New Roman"/>
        </w:rPr>
        <w:t xml:space="preserve"> A summary of the 10 studies correlated against the 4 primary factors and sub factors within</w:t>
      </w:r>
      <w:r w:rsidR="001F299A">
        <w:rPr>
          <w:rFonts w:ascii="Times New Roman" w:eastAsia="Calibri" w:hAnsi="Times New Roman" w:cs="Times New Roman"/>
        </w:rPr>
        <w:t>,</w:t>
      </w:r>
      <w:r w:rsidR="00966E03" w:rsidRPr="00B139B1">
        <w:rPr>
          <w:rFonts w:ascii="Times New Roman" w:eastAsia="Calibri" w:hAnsi="Times New Roman" w:cs="Times New Roman"/>
        </w:rPr>
        <w:t xml:space="preserve"> can be seen in </w:t>
      </w:r>
      <w:r w:rsidR="00A6415F" w:rsidRPr="00B139B1">
        <w:fldChar w:fldCharType="begin"/>
      </w:r>
      <w:r w:rsidR="00A6415F" w:rsidRPr="00B139B1">
        <w:instrText xml:space="preserve"> REF _Ref474964227 \h  \* MERGEFORMAT </w:instrText>
      </w:r>
      <w:r w:rsidR="00A6415F" w:rsidRPr="00B139B1">
        <w:fldChar w:fldCharType="separate"/>
      </w:r>
      <w:r w:rsidR="009F5483" w:rsidRPr="009F5483">
        <w:rPr>
          <w:rStyle w:val="FiguresChar"/>
          <w:color w:val="auto"/>
        </w:rPr>
        <w:t>Figure 7</w:t>
      </w:r>
      <w:r w:rsidR="00A6415F" w:rsidRPr="00B139B1">
        <w:fldChar w:fldCharType="end"/>
      </w:r>
      <w:r w:rsidR="001F299A">
        <w:t>.</w:t>
      </w:r>
    </w:p>
    <w:p w:rsidR="004C0AC5" w:rsidRDefault="00966E03" w:rsidP="006624F7">
      <w:pPr>
        <w:spacing w:after="0" w:line="360" w:lineRule="auto"/>
        <w:rPr>
          <w:rFonts w:ascii="Times New Roman" w:hAnsi="Times New Roman" w:cs="Times New Roman"/>
        </w:rPr>
      </w:pPr>
      <w:r w:rsidRPr="00722E81">
        <w:rPr>
          <w:noProof/>
        </w:rPr>
        <w:lastRenderedPageBreak/>
        <w:drawing>
          <wp:inline distT="0" distB="0" distL="0" distR="0">
            <wp:extent cx="6104759" cy="4400550"/>
            <wp:effectExtent l="76200" t="76200" r="125095" b="133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37712" cy="44243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66E03" w:rsidRPr="00B139B1" w:rsidRDefault="00966E03" w:rsidP="00966E03">
      <w:pPr>
        <w:jc w:val="both"/>
        <w:rPr>
          <w:rFonts w:ascii="Times New Roman" w:eastAsia="Calibri" w:hAnsi="Times New Roman" w:cs="Times New Roman"/>
        </w:rPr>
      </w:pPr>
      <w:bookmarkStart w:id="13" w:name="_Ref474964227"/>
      <w:bookmarkStart w:id="14" w:name="_Toc495848340"/>
      <w:r w:rsidRPr="00B139B1">
        <w:rPr>
          <w:rFonts w:ascii="Times New Roman" w:hAnsi="Times New Roman" w:cs="Times New Roman"/>
        </w:rPr>
        <w:t xml:space="preserve">Figure </w:t>
      </w:r>
      <w:r w:rsidR="009A0ED7" w:rsidRPr="00B139B1">
        <w:rPr>
          <w:rFonts w:ascii="Times New Roman" w:hAnsi="Times New Roman" w:cs="Times New Roman"/>
        </w:rPr>
        <w:fldChar w:fldCharType="begin"/>
      </w:r>
      <w:r w:rsidRPr="00B139B1">
        <w:rPr>
          <w:rFonts w:ascii="Times New Roman" w:hAnsi="Times New Roman" w:cs="Times New Roman"/>
        </w:rPr>
        <w:instrText xml:space="preserve"> SEQ Figure \* ARABIC </w:instrText>
      </w:r>
      <w:r w:rsidR="009A0ED7" w:rsidRPr="00B139B1">
        <w:rPr>
          <w:rFonts w:ascii="Times New Roman" w:hAnsi="Times New Roman" w:cs="Times New Roman"/>
        </w:rPr>
        <w:fldChar w:fldCharType="separate"/>
      </w:r>
      <w:r w:rsidR="009F5483">
        <w:rPr>
          <w:rFonts w:ascii="Times New Roman" w:hAnsi="Times New Roman" w:cs="Times New Roman"/>
          <w:noProof/>
        </w:rPr>
        <w:t>7</w:t>
      </w:r>
      <w:r w:rsidR="009A0ED7" w:rsidRPr="00B139B1">
        <w:rPr>
          <w:rFonts w:ascii="Times New Roman" w:hAnsi="Times New Roman" w:cs="Times New Roman"/>
        </w:rPr>
        <w:fldChar w:fldCharType="end"/>
      </w:r>
      <w:bookmarkEnd w:id="13"/>
      <w:r w:rsidRPr="00B139B1">
        <w:rPr>
          <w:rFonts w:ascii="Times New Roman" w:hAnsi="Times New Roman" w:cs="Times New Roman"/>
        </w:rPr>
        <w:t xml:space="preserve">. </w:t>
      </w:r>
      <w:r w:rsidRPr="00B139B1">
        <w:rPr>
          <w:rFonts w:ascii="Times New Roman" w:eastAsia="Calibri" w:hAnsi="Times New Roman" w:cs="Times New Roman"/>
        </w:rPr>
        <w:t>List of the factors included in the criticality assessment of 10 studies.</w:t>
      </w:r>
      <w:bookmarkEnd w:id="14"/>
      <w:r w:rsidRPr="00B139B1">
        <w:rPr>
          <w:rFonts w:ascii="Times New Roman" w:eastAsia="Calibri" w:hAnsi="Times New Roman" w:cs="Times New Roman"/>
        </w:rPr>
        <w:t xml:space="preserve"> </w:t>
      </w:r>
    </w:p>
    <w:p w:rsidR="00966E03" w:rsidRDefault="00966E03" w:rsidP="00966E03">
      <w:pPr>
        <w:spacing w:line="360" w:lineRule="auto"/>
        <w:jc w:val="both"/>
        <w:rPr>
          <w:rFonts w:ascii="Times New Roman" w:eastAsia="Calibri" w:hAnsi="Times New Roman" w:cs="Times New Roman"/>
        </w:rPr>
      </w:pPr>
      <w:r w:rsidRPr="00B139B1">
        <w:rPr>
          <w:rFonts w:ascii="Times New Roman" w:eastAsia="Calibri" w:hAnsi="Times New Roman" w:cs="Times New Roman"/>
        </w:rPr>
        <w:t>Key: Green = Included within study, Red = Not included within study. A multiply indicator (e.g.*2) indicates</w:t>
      </w:r>
      <w:r w:rsidR="00F37FA7" w:rsidRPr="00B139B1">
        <w:rPr>
          <w:rFonts w:ascii="Times New Roman" w:eastAsia="Calibri" w:hAnsi="Times New Roman" w:cs="Times New Roman"/>
        </w:rPr>
        <w:t xml:space="preserve"> that more than one indicator was</w:t>
      </w:r>
      <w:r w:rsidRPr="00B139B1">
        <w:rPr>
          <w:rFonts w:ascii="Times New Roman" w:eastAsia="Calibri" w:hAnsi="Times New Roman" w:cs="Times New Roman"/>
        </w:rPr>
        <w:t xml:space="preserve"> used to quantify this factor.</w:t>
      </w:r>
    </w:p>
    <w:p w:rsidR="004C0AC5" w:rsidRDefault="004C0AC5" w:rsidP="006A62D1">
      <w:pPr>
        <w:spacing w:line="360" w:lineRule="auto"/>
        <w:rPr>
          <w:rFonts w:ascii="Times New Roman" w:eastAsia="Calibri" w:hAnsi="Times New Roman" w:cs="Times New Roman"/>
        </w:rPr>
        <w:sectPr w:rsidR="004C0AC5" w:rsidSect="002B1928">
          <w:pgSz w:w="16838" w:h="11906" w:orient="landscape"/>
          <w:pgMar w:top="1440" w:right="1440" w:bottom="1440" w:left="1440" w:header="708" w:footer="708" w:gutter="0"/>
          <w:cols w:space="708"/>
          <w:titlePg/>
          <w:docGrid w:linePitch="360"/>
        </w:sectPr>
      </w:pPr>
    </w:p>
    <w:p w:rsidR="00484EC7" w:rsidRPr="00F37FA7" w:rsidRDefault="001716DC" w:rsidP="004B5544">
      <w:pPr>
        <w:pStyle w:val="Heading3"/>
      </w:pPr>
      <w:r w:rsidRPr="00F37FA7">
        <w:lastRenderedPageBreak/>
        <w:t>3</w:t>
      </w:r>
      <w:r w:rsidR="00241446" w:rsidRPr="00F37FA7">
        <w:t>.1.1</w:t>
      </w:r>
      <w:r w:rsidR="00484EC7" w:rsidRPr="00F37FA7">
        <w:t xml:space="preserve"> Supply Factors</w:t>
      </w:r>
      <w:r w:rsidR="00FA0ADE">
        <w:t xml:space="preserve"> </w:t>
      </w:r>
    </w:p>
    <w:p w:rsidR="00A6145B" w:rsidRPr="00FA0ADE" w:rsidRDefault="00484EC7" w:rsidP="00A6145B">
      <w:pPr>
        <w:spacing w:after="0" w:line="360" w:lineRule="auto"/>
        <w:ind w:firstLine="720"/>
        <w:jc w:val="both"/>
        <w:rPr>
          <w:rFonts w:ascii="Times New Roman" w:eastAsia="Calibri" w:hAnsi="Times New Roman" w:cs="Times New Roman"/>
        </w:rPr>
      </w:pPr>
      <w:r w:rsidRPr="00FA0ADE">
        <w:rPr>
          <w:rFonts w:ascii="Times New Roman" w:eastAsia="Calibri" w:hAnsi="Times New Roman" w:cs="Times New Roman"/>
        </w:rPr>
        <w:t>Supply factors can be defined as those factors related to the physical avail</w:t>
      </w:r>
      <w:r w:rsidR="004B5544" w:rsidRPr="00FA0ADE">
        <w:rPr>
          <w:rFonts w:ascii="Times New Roman" w:eastAsia="Calibri" w:hAnsi="Times New Roman" w:cs="Times New Roman"/>
        </w:rPr>
        <w:t xml:space="preserve">ability of a material or metal, and </w:t>
      </w:r>
      <w:r w:rsidRPr="00FA0ADE">
        <w:rPr>
          <w:rFonts w:ascii="Times New Roman" w:eastAsia="Calibri" w:hAnsi="Times New Roman" w:cs="Times New Roman"/>
        </w:rPr>
        <w:t>are usuall</w:t>
      </w:r>
      <w:r w:rsidR="00F37FA7" w:rsidRPr="00FA0ADE">
        <w:rPr>
          <w:rFonts w:ascii="Times New Roman" w:eastAsia="Calibri" w:hAnsi="Times New Roman" w:cs="Times New Roman"/>
        </w:rPr>
        <w:t>y presented in the form of three</w:t>
      </w:r>
      <w:r w:rsidRPr="00FA0ADE">
        <w:rPr>
          <w:rFonts w:ascii="Times New Roman" w:eastAsia="Calibri" w:hAnsi="Times New Roman" w:cs="Times New Roman"/>
        </w:rPr>
        <w:t xml:space="preserve"> indicators:</w:t>
      </w:r>
    </w:p>
    <w:p w:rsidR="00484EC7" w:rsidRPr="00FA0ADE" w:rsidRDefault="00D06B3E" w:rsidP="00FB731F">
      <w:pPr>
        <w:numPr>
          <w:ilvl w:val="0"/>
          <w:numId w:val="3"/>
        </w:numPr>
        <w:spacing w:after="0" w:line="360" w:lineRule="auto"/>
        <w:ind w:left="720" w:hanging="360"/>
        <w:jc w:val="both"/>
        <w:rPr>
          <w:rFonts w:ascii="Times New Roman" w:eastAsia="Calibri" w:hAnsi="Times New Roman" w:cs="Times New Roman"/>
        </w:rPr>
      </w:pPr>
      <w:r w:rsidRPr="00FA0ADE">
        <w:rPr>
          <w:rFonts w:ascii="Times New Roman" w:eastAsia="Calibri" w:hAnsi="Times New Roman" w:cs="Times New Roman"/>
        </w:rPr>
        <w:t>Geological availability -</w:t>
      </w:r>
      <w:r w:rsidR="00484EC7" w:rsidRPr="00FA0ADE">
        <w:rPr>
          <w:rFonts w:ascii="Times New Roman" w:eastAsia="Calibri" w:hAnsi="Times New Roman" w:cs="Times New Roman"/>
        </w:rPr>
        <w:t xml:space="preserve"> a measure of what is physically present.</w:t>
      </w:r>
    </w:p>
    <w:p w:rsidR="00484EC7" w:rsidRPr="00FA0ADE" w:rsidRDefault="00D06B3E" w:rsidP="00FB731F">
      <w:pPr>
        <w:numPr>
          <w:ilvl w:val="0"/>
          <w:numId w:val="3"/>
        </w:numPr>
        <w:spacing w:after="0" w:line="360" w:lineRule="auto"/>
        <w:ind w:left="720" w:hanging="360"/>
        <w:jc w:val="both"/>
        <w:rPr>
          <w:rFonts w:ascii="Times New Roman" w:eastAsia="Calibri" w:hAnsi="Times New Roman" w:cs="Times New Roman"/>
        </w:rPr>
      </w:pPr>
      <w:r w:rsidRPr="00FA0ADE">
        <w:rPr>
          <w:rFonts w:ascii="Times New Roman" w:eastAsia="Calibri" w:hAnsi="Times New Roman" w:cs="Times New Roman"/>
        </w:rPr>
        <w:t xml:space="preserve">Economic availability - </w:t>
      </w:r>
      <w:r w:rsidR="00484EC7" w:rsidRPr="00FA0ADE">
        <w:rPr>
          <w:rFonts w:ascii="Times New Roman" w:eastAsia="Calibri" w:hAnsi="Times New Roman" w:cs="Times New Roman"/>
        </w:rPr>
        <w:t>a measure of what can be economically accessed.</w:t>
      </w:r>
    </w:p>
    <w:p w:rsidR="00A6145B" w:rsidRPr="00FA0ADE" w:rsidRDefault="00D06B3E" w:rsidP="00F37FA7">
      <w:pPr>
        <w:numPr>
          <w:ilvl w:val="0"/>
          <w:numId w:val="3"/>
        </w:numPr>
        <w:spacing w:after="0" w:line="360" w:lineRule="auto"/>
        <w:ind w:left="720" w:hanging="360"/>
        <w:jc w:val="both"/>
        <w:rPr>
          <w:rFonts w:ascii="Times New Roman" w:eastAsia="Calibri" w:hAnsi="Times New Roman" w:cs="Times New Roman"/>
        </w:rPr>
      </w:pPr>
      <w:r w:rsidRPr="00FA0ADE">
        <w:rPr>
          <w:rFonts w:ascii="Times New Roman" w:eastAsia="Calibri" w:hAnsi="Times New Roman" w:cs="Times New Roman"/>
        </w:rPr>
        <w:t>Recycling -</w:t>
      </w:r>
      <w:r w:rsidR="00484EC7" w:rsidRPr="00FA0ADE">
        <w:rPr>
          <w:rFonts w:ascii="Times New Roman" w:eastAsia="Calibri" w:hAnsi="Times New Roman" w:cs="Times New Roman"/>
        </w:rPr>
        <w:t xml:space="preserve"> a measure of the avail</w:t>
      </w:r>
      <w:r w:rsidR="00F37FA7" w:rsidRPr="00FA0ADE">
        <w:rPr>
          <w:rFonts w:ascii="Times New Roman" w:eastAsia="Calibri" w:hAnsi="Times New Roman" w:cs="Times New Roman"/>
        </w:rPr>
        <w:t>ability of metal recovery from E</w:t>
      </w:r>
      <w:r w:rsidR="00484EC7" w:rsidRPr="00FA0ADE">
        <w:rPr>
          <w:rFonts w:ascii="Times New Roman" w:eastAsia="Calibri" w:hAnsi="Times New Roman" w:cs="Times New Roman"/>
        </w:rPr>
        <w:t>nd-of-life</w:t>
      </w:r>
      <w:r w:rsidR="00F37FA7" w:rsidRPr="00FA0ADE">
        <w:rPr>
          <w:rFonts w:ascii="Times New Roman" w:eastAsia="Calibri" w:hAnsi="Times New Roman" w:cs="Times New Roman"/>
        </w:rPr>
        <w:t xml:space="preserve"> (EOL)</w:t>
      </w:r>
      <w:r w:rsidR="00484EC7" w:rsidRPr="00FA0ADE">
        <w:rPr>
          <w:rFonts w:ascii="Times New Roman" w:eastAsia="Calibri" w:hAnsi="Times New Roman" w:cs="Times New Roman"/>
        </w:rPr>
        <w:t xml:space="preserve"> products.</w:t>
      </w:r>
    </w:p>
    <w:p w:rsidR="00802AB3" w:rsidRPr="00FA0ADE" w:rsidRDefault="00A6145B" w:rsidP="00802AB3">
      <w:pPr>
        <w:spacing w:after="0" w:line="360" w:lineRule="auto"/>
        <w:ind w:firstLine="720"/>
        <w:jc w:val="both"/>
        <w:rPr>
          <w:rFonts w:ascii="Times New Roman" w:eastAsia="Calibri" w:hAnsi="Times New Roman" w:cs="Times New Roman"/>
        </w:rPr>
      </w:pPr>
      <w:r w:rsidRPr="00FA0ADE">
        <w:rPr>
          <w:rFonts w:ascii="Times New Roman" w:eastAsia="Calibri" w:hAnsi="Times New Roman" w:cs="Times New Roman"/>
        </w:rPr>
        <w:t>Within the list of 10</w:t>
      </w:r>
      <w:r w:rsidR="00484EC7" w:rsidRPr="00FA0ADE">
        <w:rPr>
          <w:rFonts w:ascii="Times New Roman" w:eastAsia="Calibri" w:hAnsi="Times New Roman" w:cs="Times New Roman"/>
        </w:rPr>
        <w:t xml:space="preserve"> studies, a number of different methods </w:t>
      </w:r>
      <w:r w:rsidR="004B5544" w:rsidRPr="00FA0ADE">
        <w:rPr>
          <w:rFonts w:ascii="Times New Roman" w:eastAsia="Calibri" w:hAnsi="Times New Roman" w:cs="Times New Roman"/>
        </w:rPr>
        <w:t>were</w:t>
      </w:r>
      <w:r w:rsidR="00484EC7" w:rsidRPr="00FA0ADE">
        <w:rPr>
          <w:rFonts w:ascii="Times New Roman" w:eastAsia="Calibri" w:hAnsi="Times New Roman" w:cs="Times New Roman"/>
        </w:rPr>
        <w:t xml:space="preserve"> employed to quantitatively assess the geological availability of a metal. </w:t>
      </w:r>
      <w:r w:rsidR="00F37FA7" w:rsidRPr="00FA0ADE">
        <w:rPr>
          <w:rFonts w:ascii="Times New Roman" w:eastAsia="Calibri" w:hAnsi="Times New Roman" w:cs="Times New Roman"/>
        </w:rPr>
        <w:t>One of these methods, was the use of a multiplying factor or ratio where estima</w:t>
      </w:r>
      <w:r w:rsidR="00516259" w:rsidRPr="00FA0ADE">
        <w:rPr>
          <w:rFonts w:ascii="Times New Roman" w:eastAsia="Calibri" w:hAnsi="Times New Roman" w:cs="Times New Roman"/>
        </w:rPr>
        <w:t>ted future demand for a metal was</w:t>
      </w:r>
      <w:r w:rsidR="00F37FA7" w:rsidRPr="00FA0ADE">
        <w:rPr>
          <w:rFonts w:ascii="Times New Roman" w:eastAsia="Calibri" w:hAnsi="Times New Roman" w:cs="Times New Roman"/>
        </w:rPr>
        <w:t xml:space="preserve"> compared with current global production. Studies utilising this method included: </w:t>
      </w:r>
      <w:r w:rsidR="00F37FA7" w:rsidRPr="00FA0ADE">
        <w:rPr>
          <w:rFonts w:ascii="Times New Roman" w:eastAsia="Calibri" w:hAnsi="Times New Roman" w:cs="Times New Roman"/>
          <w:noProof/>
        </w:rPr>
        <w:t>(European Commission 2014; Moss et al. 2011; Morley &amp; Eatherley 2008)</w:t>
      </w:r>
      <w:r w:rsidR="00F37FA7" w:rsidRPr="00FA0ADE">
        <w:rPr>
          <w:rFonts w:ascii="Times New Roman" w:eastAsia="Calibri" w:hAnsi="Times New Roman" w:cs="Times New Roman"/>
        </w:rPr>
        <w:t>.</w:t>
      </w:r>
    </w:p>
    <w:p w:rsidR="00802AB3" w:rsidRPr="00FA0ADE" w:rsidRDefault="00802AB3" w:rsidP="00802AB3">
      <w:pPr>
        <w:spacing w:after="0" w:line="360" w:lineRule="auto"/>
        <w:ind w:firstLine="720"/>
        <w:jc w:val="both"/>
        <w:rPr>
          <w:rFonts w:ascii="Times New Roman" w:eastAsia="Calibri" w:hAnsi="Times New Roman" w:cs="Times New Roman"/>
        </w:rPr>
      </w:pPr>
      <w:r w:rsidRPr="00FA0ADE">
        <w:rPr>
          <w:rFonts w:ascii="Times New Roman" w:eastAsia="Calibri" w:hAnsi="Times New Roman" w:cs="Times New Roman"/>
        </w:rPr>
        <w:t xml:space="preserve">Alternatives to the multiplying factor included the use of the previously mentioned R/P ratio, </w:t>
      </w:r>
      <w:r w:rsidR="00484EC7" w:rsidRPr="00FA0ADE">
        <w:rPr>
          <w:rFonts w:ascii="Times New Roman" w:eastAsia="Calibri" w:hAnsi="Times New Roman" w:cs="Times New Roman"/>
        </w:rPr>
        <w:t>used in three studies here</w:t>
      </w:r>
      <w:r w:rsidR="00E202B4" w:rsidRPr="00FA0ADE">
        <w:rPr>
          <w:rFonts w:ascii="Times New Roman" w:eastAsia="Calibri" w:hAnsi="Times New Roman" w:cs="Times New Roman"/>
        </w:rPr>
        <w:t xml:space="preserve"> </w:t>
      </w:r>
      <w:r w:rsidR="00E202B4" w:rsidRPr="00FA0ADE">
        <w:rPr>
          <w:rFonts w:ascii="Times New Roman" w:eastAsia="Calibri" w:hAnsi="Times New Roman" w:cs="Times New Roman"/>
          <w:noProof/>
        </w:rPr>
        <w:t>(Graedel et al. 2012; Achzet et al. 2011; National Research Council 2008)</w:t>
      </w:r>
      <w:r w:rsidR="00484EC7" w:rsidRPr="00FA0ADE">
        <w:rPr>
          <w:rFonts w:ascii="Times New Roman" w:eastAsia="Calibri" w:hAnsi="Times New Roman" w:cs="Times New Roman"/>
        </w:rPr>
        <w:t xml:space="preserve"> but also present in</w:t>
      </w:r>
      <w:r w:rsidR="00E202B4" w:rsidRPr="00FA0ADE">
        <w:rPr>
          <w:rFonts w:ascii="Times New Roman" w:eastAsia="Calibri" w:hAnsi="Times New Roman" w:cs="Times New Roman"/>
        </w:rPr>
        <w:t xml:space="preserve"> additional studies </w:t>
      </w:r>
      <w:r w:rsidR="00E202B4" w:rsidRPr="00FA0ADE">
        <w:rPr>
          <w:rFonts w:ascii="Times New Roman" w:eastAsia="Calibri" w:hAnsi="Times New Roman" w:cs="Times New Roman"/>
          <w:noProof/>
        </w:rPr>
        <w:t>(SEPA 2011; AEA 2010)</w:t>
      </w:r>
      <w:r w:rsidR="00E202B4" w:rsidRPr="00FA0ADE">
        <w:rPr>
          <w:rFonts w:ascii="Times New Roman" w:eastAsia="Calibri" w:hAnsi="Times New Roman" w:cs="Times New Roman"/>
        </w:rPr>
        <w:t xml:space="preserve">. </w:t>
      </w:r>
      <w:r w:rsidRPr="00FA0ADE">
        <w:rPr>
          <w:rFonts w:ascii="Times New Roman" w:eastAsia="Calibri" w:hAnsi="Times New Roman" w:cs="Times New Roman"/>
        </w:rPr>
        <w:t>The aim of the R/</w:t>
      </w:r>
      <w:r w:rsidR="00516259" w:rsidRPr="00FA0ADE">
        <w:rPr>
          <w:rFonts w:ascii="Times New Roman" w:eastAsia="Calibri" w:hAnsi="Times New Roman" w:cs="Times New Roman"/>
        </w:rPr>
        <w:t>P ratio was</w:t>
      </w:r>
      <w:r w:rsidR="00A84A63" w:rsidRPr="00FA0ADE">
        <w:rPr>
          <w:rFonts w:ascii="Times New Roman" w:eastAsia="Calibri" w:hAnsi="Times New Roman" w:cs="Times New Roman"/>
        </w:rPr>
        <w:t xml:space="preserve"> to determine the number of years remaining until fossil fuel resources (i.e. coal, oil and natural gas) are depleted, assuming static reserves and global production. This assumption makes the metric inaccurate since both reserves and production of resources are highly dynamic. </w:t>
      </w:r>
      <w:r w:rsidR="00E202B4" w:rsidRPr="00FA0ADE">
        <w:rPr>
          <w:rFonts w:ascii="Times New Roman" w:eastAsia="Calibri" w:hAnsi="Times New Roman" w:cs="Times New Roman"/>
        </w:rPr>
        <w:t xml:space="preserve">Interestingly, the </w:t>
      </w:r>
      <w:r w:rsidR="00484EC7" w:rsidRPr="00FA0ADE">
        <w:rPr>
          <w:rFonts w:ascii="Times New Roman" w:eastAsia="Calibri" w:hAnsi="Times New Roman" w:cs="Times New Roman"/>
        </w:rPr>
        <w:t>report</w:t>
      </w:r>
      <w:r w:rsidR="00E202B4" w:rsidRPr="00FA0ADE">
        <w:rPr>
          <w:rFonts w:ascii="Times New Roman" w:eastAsia="Calibri" w:hAnsi="Times New Roman" w:cs="Times New Roman"/>
        </w:rPr>
        <w:t xml:space="preserve"> by</w:t>
      </w:r>
      <w:r w:rsidR="00484EC7" w:rsidRPr="00FA0ADE">
        <w:rPr>
          <w:rFonts w:ascii="Times New Roman" w:eastAsia="Calibri" w:hAnsi="Times New Roman" w:cs="Times New Roman"/>
        </w:rPr>
        <w:t xml:space="preserve"> </w:t>
      </w:r>
      <w:r w:rsidR="00202C43" w:rsidRPr="00FA0ADE">
        <w:rPr>
          <w:rFonts w:ascii="Times New Roman" w:eastAsia="Calibri" w:hAnsi="Times New Roman" w:cs="Times New Roman"/>
          <w:noProof/>
        </w:rPr>
        <w:t xml:space="preserve">(Buchert et al, </w:t>
      </w:r>
      <w:r w:rsidR="00E202B4" w:rsidRPr="00FA0ADE">
        <w:rPr>
          <w:rFonts w:ascii="Times New Roman" w:eastAsia="Calibri" w:hAnsi="Times New Roman" w:cs="Times New Roman"/>
          <w:noProof/>
        </w:rPr>
        <w:t>2009)</w:t>
      </w:r>
      <w:r w:rsidR="00484EC7" w:rsidRPr="00FA0ADE">
        <w:rPr>
          <w:rFonts w:ascii="Times New Roman" w:eastAsia="Calibri" w:hAnsi="Times New Roman" w:cs="Times New Roman"/>
        </w:rPr>
        <w:t xml:space="preserve"> use</w:t>
      </w:r>
      <w:r w:rsidRPr="00FA0ADE">
        <w:rPr>
          <w:rFonts w:ascii="Times New Roman" w:eastAsia="Calibri" w:hAnsi="Times New Roman" w:cs="Times New Roman"/>
        </w:rPr>
        <w:t xml:space="preserve">s both the R/P ratio and </w:t>
      </w:r>
      <w:r w:rsidR="00484EC7" w:rsidRPr="00FA0ADE">
        <w:rPr>
          <w:rFonts w:ascii="Times New Roman" w:eastAsia="Calibri" w:hAnsi="Times New Roman" w:cs="Times New Roman"/>
        </w:rPr>
        <w:t>a reserves to consumption ratio, w</w:t>
      </w:r>
      <w:r w:rsidRPr="00FA0ADE">
        <w:rPr>
          <w:rFonts w:ascii="Times New Roman" w:eastAsia="Calibri" w:hAnsi="Times New Roman" w:cs="Times New Roman"/>
        </w:rPr>
        <w:t>hich is a notable analogue to the R/</w:t>
      </w:r>
      <w:r w:rsidR="00484EC7" w:rsidRPr="00FA0ADE">
        <w:rPr>
          <w:rFonts w:ascii="Times New Roman" w:eastAsia="Calibri" w:hAnsi="Times New Roman" w:cs="Times New Roman"/>
        </w:rPr>
        <w:t>P</w:t>
      </w:r>
      <w:r w:rsidRPr="00FA0ADE">
        <w:rPr>
          <w:rFonts w:ascii="Times New Roman" w:eastAsia="Calibri" w:hAnsi="Times New Roman" w:cs="Times New Roman"/>
        </w:rPr>
        <w:t xml:space="preserve"> ratio</w:t>
      </w:r>
      <w:r w:rsidR="00484EC7" w:rsidRPr="00FA0ADE">
        <w:rPr>
          <w:rFonts w:ascii="Times New Roman" w:eastAsia="Calibri" w:hAnsi="Times New Roman" w:cs="Times New Roman"/>
        </w:rPr>
        <w:t>.</w:t>
      </w:r>
      <w:r w:rsidRPr="00FA0ADE">
        <w:rPr>
          <w:rFonts w:ascii="Times New Roman" w:eastAsia="Calibri" w:hAnsi="Times New Roman" w:cs="Times New Roman"/>
        </w:rPr>
        <w:t xml:space="preserve"> However due to the inaccuracies of using the R/P ratio for estimating future demand, an alternative metric proposed by </w:t>
      </w:r>
      <w:r w:rsidRPr="00FA0ADE">
        <w:rPr>
          <w:rFonts w:ascii="Times New Roman" w:eastAsia="Calibri" w:hAnsi="Times New Roman" w:cs="Times New Roman"/>
          <w:noProof/>
        </w:rPr>
        <w:t>(Graedel et al. 2012)</w:t>
      </w:r>
      <w:r w:rsidRPr="00FA0ADE">
        <w:rPr>
          <w:rFonts w:ascii="Times New Roman" w:eastAsia="Calibri" w:hAnsi="Times New Roman" w:cs="Times New Roman"/>
        </w:rPr>
        <w:t xml:space="preserve"> labelled ‘Depletion Time’ was also </w:t>
      </w:r>
      <w:r w:rsidR="00447A2F" w:rsidRPr="00FA0ADE">
        <w:rPr>
          <w:rFonts w:ascii="Times New Roman" w:eastAsia="Calibri" w:hAnsi="Times New Roman" w:cs="Times New Roman"/>
        </w:rPr>
        <w:t>present</w:t>
      </w:r>
      <w:r w:rsidRPr="00FA0ADE">
        <w:rPr>
          <w:rFonts w:ascii="Times New Roman" w:eastAsia="Calibri" w:hAnsi="Times New Roman" w:cs="Times New Roman"/>
        </w:rPr>
        <w:t xml:space="preserve">. </w:t>
      </w:r>
    </w:p>
    <w:p w:rsidR="00447A2F" w:rsidRPr="00FA0ADE" w:rsidRDefault="00516259" w:rsidP="00447A2F">
      <w:pPr>
        <w:spacing w:after="0" w:line="360" w:lineRule="auto"/>
        <w:ind w:firstLine="720"/>
        <w:jc w:val="both"/>
        <w:rPr>
          <w:rFonts w:ascii="Times New Roman" w:eastAsia="Calibri" w:hAnsi="Times New Roman" w:cs="Times New Roman"/>
        </w:rPr>
      </w:pPr>
      <w:r w:rsidRPr="00FA0ADE">
        <w:rPr>
          <w:rFonts w:ascii="Times New Roman" w:eastAsia="Calibri" w:hAnsi="Times New Roman" w:cs="Times New Roman"/>
        </w:rPr>
        <w:t>The Depletion Time</w:t>
      </w:r>
      <w:r w:rsidR="00484EC7" w:rsidRPr="00FA0ADE">
        <w:rPr>
          <w:rFonts w:ascii="Times New Roman" w:eastAsia="Calibri" w:hAnsi="Times New Roman" w:cs="Times New Roman"/>
        </w:rPr>
        <w:t xml:space="preserve"> metric, estimates the relative availability of a metal by determining the amount of supply being met by recycling, and then calculating the amount of time it would take to deplete the geological reserves at the current rate of demand. Unlike the </w:t>
      </w:r>
      <w:r w:rsidR="00802AB3" w:rsidRPr="00FA0ADE">
        <w:rPr>
          <w:rFonts w:ascii="Times New Roman" w:eastAsia="Calibri" w:hAnsi="Times New Roman" w:cs="Times New Roman"/>
        </w:rPr>
        <w:t>R/</w:t>
      </w:r>
      <w:r w:rsidR="00D80E1C" w:rsidRPr="00FA0ADE">
        <w:rPr>
          <w:rFonts w:ascii="Times New Roman" w:eastAsia="Calibri" w:hAnsi="Times New Roman" w:cs="Times New Roman"/>
        </w:rPr>
        <w:t>P ratio</w:t>
      </w:r>
      <w:r w:rsidR="00484EC7" w:rsidRPr="00FA0ADE">
        <w:rPr>
          <w:rFonts w:ascii="Times New Roman" w:eastAsia="Calibri" w:hAnsi="Times New Roman" w:cs="Times New Roman"/>
        </w:rPr>
        <w:t xml:space="preserve">, which is simply a ratio, </w:t>
      </w:r>
      <w:r w:rsidR="00D80E1C" w:rsidRPr="00FA0ADE">
        <w:rPr>
          <w:rFonts w:ascii="Times New Roman" w:eastAsia="Calibri" w:hAnsi="Times New Roman" w:cs="Times New Roman"/>
        </w:rPr>
        <w:t>Depletion Time incorporates 4</w:t>
      </w:r>
      <w:r w:rsidR="00FA0ADE">
        <w:rPr>
          <w:rFonts w:ascii="Times New Roman" w:eastAsia="Calibri" w:hAnsi="Times New Roman" w:cs="Times New Roman"/>
        </w:rPr>
        <w:t xml:space="preserve"> main variables namely:</w:t>
      </w:r>
      <w:r w:rsidR="00484EC7" w:rsidRPr="00FA0ADE">
        <w:rPr>
          <w:rFonts w:ascii="Times New Roman" w:eastAsia="Calibri" w:hAnsi="Times New Roman" w:cs="Times New Roman"/>
        </w:rPr>
        <w:t xml:space="preserve"> EoL recycling rate, lifetime distributions, past and esti</w:t>
      </w:r>
      <w:r w:rsidR="00D80E1C" w:rsidRPr="00FA0ADE">
        <w:rPr>
          <w:rFonts w:ascii="Times New Roman" w:eastAsia="Calibri" w:hAnsi="Times New Roman" w:cs="Times New Roman"/>
        </w:rPr>
        <w:t xml:space="preserve">mated future demand statistics </w:t>
      </w:r>
      <w:r w:rsidR="00484EC7" w:rsidRPr="00FA0ADE">
        <w:rPr>
          <w:rFonts w:ascii="Times New Roman" w:eastAsia="Calibri" w:hAnsi="Times New Roman" w:cs="Times New Roman"/>
        </w:rPr>
        <w:t>and tailing and s</w:t>
      </w:r>
      <w:r w:rsidR="00D80E1C" w:rsidRPr="00FA0ADE">
        <w:rPr>
          <w:rFonts w:ascii="Times New Roman" w:eastAsia="Calibri" w:hAnsi="Times New Roman" w:cs="Times New Roman"/>
        </w:rPr>
        <w:t xml:space="preserve">lag losses from other processes. These variables </w:t>
      </w:r>
      <w:r w:rsidR="00484EC7" w:rsidRPr="00FA0ADE">
        <w:rPr>
          <w:rFonts w:ascii="Times New Roman" w:eastAsia="Calibri" w:hAnsi="Times New Roman" w:cs="Times New Roman"/>
        </w:rPr>
        <w:t xml:space="preserve">allows for a more sophisticated evaluation using future scenarios for world demand, recycling rate and lifetime of </w:t>
      </w:r>
      <w:r w:rsidR="00D80E1C" w:rsidRPr="00FA0ADE">
        <w:rPr>
          <w:rFonts w:ascii="Times New Roman" w:eastAsia="Calibri" w:hAnsi="Times New Roman" w:cs="Times New Roman"/>
        </w:rPr>
        <w:t xml:space="preserve">end-use products. Although </w:t>
      </w:r>
      <w:r w:rsidR="00484EC7" w:rsidRPr="00FA0ADE">
        <w:rPr>
          <w:rFonts w:ascii="Times New Roman" w:eastAsia="Calibri" w:hAnsi="Times New Roman" w:cs="Times New Roman"/>
        </w:rPr>
        <w:t>more advanced than the</w:t>
      </w:r>
      <w:r w:rsidR="00802AB3" w:rsidRPr="00FA0ADE">
        <w:rPr>
          <w:rFonts w:ascii="Times New Roman" w:eastAsia="Calibri" w:hAnsi="Times New Roman" w:cs="Times New Roman"/>
        </w:rPr>
        <w:t xml:space="preserve"> R/</w:t>
      </w:r>
      <w:r w:rsidR="00D80E1C" w:rsidRPr="00FA0ADE">
        <w:rPr>
          <w:rFonts w:ascii="Times New Roman" w:eastAsia="Calibri" w:hAnsi="Times New Roman" w:cs="Times New Roman"/>
        </w:rPr>
        <w:t>P ratio, Depletion Time metric</w:t>
      </w:r>
      <w:r w:rsidR="00484EC7" w:rsidRPr="00FA0ADE">
        <w:rPr>
          <w:rFonts w:ascii="Times New Roman" w:eastAsia="Calibri" w:hAnsi="Times New Roman" w:cs="Times New Roman"/>
        </w:rPr>
        <w:t xml:space="preserve"> lacks a form of geological constraint and inherently assumes that future production (minus any losses) is equal to future dema</w:t>
      </w:r>
      <w:r w:rsidR="00FC1D53" w:rsidRPr="00FA0ADE">
        <w:rPr>
          <w:rFonts w:ascii="Times New Roman" w:eastAsia="Calibri" w:hAnsi="Times New Roman" w:cs="Times New Roman"/>
        </w:rPr>
        <w:t>nd minus end-of-life recycling. I</w:t>
      </w:r>
      <w:r w:rsidR="00484EC7" w:rsidRPr="00FA0ADE">
        <w:rPr>
          <w:rFonts w:ascii="Times New Roman" w:eastAsia="Calibri" w:hAnsi="Times New Roman" w:cs="Times New Roman"/>
        </w:rPr>
        <w:t>n ac</w:t>
      </w:r>
      <w:r w:rsidR="00FC1D53" w:rsidRPr="00FA0ADE">
        <w:rPr>
          <w:rFonts w:ascii="Times New Roman" w:eastAsia="Calibri" w:hAnsi="Times New Roman" w:cs="Times New Roman"/>
        </w:rPr>
        <w:t xml:space="preserve">tual application of the metric in </w:t>
      </w:r>
      <w:r w:rsidR="00FC1D53" w:rsidRPr="00FA0ADE">
        <w:rPr>
          <w:rFonts w:ascii="Times New Roman" w:eastAsia="Calibri" w:hAnsi="Times New Roman" w:cs="Times New Roman"/>
          <w:noProof/>
        </w:rPr>
        <w:t>(Nassar et al. 2012)</w:t>
      </w:r>
      <w:r w:rsidR="00484EC7" w:rsidRPr="00FA0ADE">
        <w:rPr>
          <w:rFonts w:ascii="Times New Roman" w:eastAsia="Calibri" w:hAnsi="Times New Roman" w:cs="Times New Roman"/>
        </w:rPr>
        <w:t>, demand, lifetime and recycling rate were assumed c</w:t>
      </w:r>
      <w:r w:rsidR="00FC1D53" w:rsidRPr="00FA0ADE">
        <w:rPr>
          <w:rFonts w:ascii="Times New Roman" w:eastAsia="Calibri" w:hAnsi="Times New Roman" w:cs="Times New Roman"/>
        </w:rPr>
        <w:t>onstant for simplicity. However</w:t>
      </w:r>
      <w:r w:rsidR="00C31284" w:rsidRPr="00FA0ADE">
        <w:rPr>
          <w:rFonts w:ascii="Times New Roman" w:eastAsia="Calibri" w:hAnsi="Times New Roman" w:cs="Times New Roman"/>
        </w:rPr>
        <w:t>, in a</w:t>
      </w:r>
      <w:r w:rsidR="00FC1D53" w:rsidRPr="00FA0ADE">
        <w:rPr>
          <w:rFonts w:ascii="Times New Roman" w:eastAsia="Calibri" w:hAnsi="Times New Roman" w:cs="Times New Roman"/>
        </w:rPr>
        <w:t xml:space="preserve"> </w:t>
      </w:r>
      <w:r w:rsidR="00484EC7" w:rsidRPr="00FA0ADE">
        <w:rPr>
          <w:rFonts w:ascii="Times New Roman" w:eastAsia="Calibri" w:hAnsi="Times New Roman" w:cs="Times New Roman"/>
        </w:rPr>
        <w:t>report</w:t>
      </w:r>
      <w:r w:rsidR="00FA0ADE">
        <w:rPr>
          <w:rFonts w:ascii="Times New Roman" w:eastAsia="Calibri" w:hAnsi="Times New Roman" w:cs="Times New Roman"/>
        </w:rPr>
        <w:t xml:space="preserve"> by</w:t>
      </w:r>
      <w:r w:rsidR="00C31284" w:rsidRPr="00FA0ADE">
        <w:rPr>
          <w:rFonts w:ascii="Times New Roman" w:eastAsia="Calibri" w:hAnsi="Times New Roman" w:cs="Times New Roman"/>
        </w:rPr>
        <w:t xml:space="preserve"> </w:t>
      </w:r>
      <w:r w:rsidR="00202C43" w:rsidRPr="00FA0ADE">
        <w:rPr>
          <w:rFonts w:ascii="Times New Roman" w:eastAsia="Calibri" w:hAnsi="Times New Roman" w:cs="Times New Roman"/>
          <w:noProof/>
        </w:rPr>
        <w:t xml:space="preserve">(Buchert et al, </w:t>
      </w:r>
      <w:r w:rsidR="00687823" w:rsidRPr="00FA0ADE">
        <w:rPr>
          <w:rFonts w:ascii="Times New Roman" w:eastAsia="Calibri" w:hAnsi="Times New Roman" w:cs="Times New Roman"/>
          <w:noProof/>
        </w:rPr>
        <w:t>2009</w:t>
      </w:r>
      <w:r w:rsidR="00C31284" w:rsidRPr="00FA0ADE">
        <w:rPr>
          <w:rFonts w:ascii="Times New Roman" w:eastAsia="Calibri" w:hAnsi="Times New Roman" w:cs="Times New Roman"/>
          <w:noProof/>
        </w:rPr>
        <w:t>)</w:t>
      </w:r>
      <w:r w:rsidR="00C31284" w:rsidRPr="00FA0ADE">
        <w:rPr>
          <w:rFonts w:ascii="Times New Roman" w:eastAsia="Calibri" w:hAnsi="Times New Roman" w:cs="Times New Roman"/>
        </w:rPr>
        <w:t xml:space="preserve"> </w:t>
      </w:r>
      <w:r w:rsidR="00802AB3" w:rsidRPr="00FA0ADE">
        <w:rPr>
          <w:rFonts w:ascii="Times New Roman" w:eastAsia="Calibri" w:hAnsi="Times New Roman" w:cs="Times New Roman"/>
        </w:rPr>
        <w:t xml:space="preserve">the equation was reduced to </w:t>
      </w:r>
      <w:proofErr w:type="gramStart"/>
      <w:r w:rsidR="00802AB3" w:rsidRPr="00FA0ADE">
        <w:rPr>
          <w:rFonts w:ascii="Times New Roman" w:eastAsia="Calibri" w:hAnsi="Times New Roman" w:cs="Times New Roman"/>
        </w:rPr>
        <w:t>a</w:t>
      </w:r>
      <w:proofErr w:type="gramEnd"/>
      <w:r w:rsidR="00802AB3" w:rsidRPr="00FA0ADE">
        <w:rPr>
          <w:rFonts w:ascii="Times New Roman" w:eastAsia="Calibri" w:hAnsi="Times New Roman" w:cs="Times New Roman"/>
        </w:rPr>
        <w:t xml:space="preserve"> R/</w:t>
      </w:r>
      <w:r w:rsidR="00484EC7" w:rsidRPr="00FA0ADE">
        <w:rPr>
          <w:rFonts w:ascii="Times New Roman" w:eastAsia="Calibri" w:hAnsi="Times New Roman" w:cs="Times New Roman"/>
        </w:rPr>
        <w:t>P ratio, in order for the metals investigated to have ze</w:t>
      </w:r>
      <w:r w:rsidR="00C31284" w:rsidRPr="00FA0ADE">
        <w:rPr>
          <w:rFonts w:ascii="Times New Roman" w:eastAsia="Calibri" w:hAnsi="Times New Roman" w:cs="Times New Roman"/>
        </w:rPr>
        <w:t xml:space="preserve">ro recycling rates. Graedel </w:t>
      </w:r>
      <w:r w:rsidR="00484EC7" w:rsidRPr="00FA0ADE">
        <w:rPr>
          <w:rFonts w:ascii="Times New Roman" w:eastAsia="Calibri" w:hAnsi="Times New Roman" w:cs="Times New Roman"/>
        </w:rPr>
        <w:t>noted these flaws</w:t>
      </w:r>
      <w:r w:rsidR="00C31284" w:rsidRPr="00FA0ADE">
        <w:rPr>
          <w:rFonts w:ascii="Times New Roman" w:eastAsia="Calibri" w:hAnsi="Times New Roman" w:cs="Times New Roman"/>
        </w:rPr>
        <w:t xml:space="preserve"> and as a consequence</w:t>
      </w:r>
      <w:r w:rsidR="00484EC7" w:rsidRPr="00FA0ADE">
        <w:rPr>
          <w:rFonts w:ascii="Times New Roman" w:eastAsia="Calibri" w:hAnsi="Times New Roman" w:cs="Times New Roman"/>
        </w:rPr>
        <w:t xml:space="preserve"> a more sophisticated analysis is in development and is to be published in the future.</w:t>
      </w:r>
      <w:r w:rsidR="00005802" w:rsidRPr="00FA0ADE">
        <w:rPr>
          <w:rFonts w:ascii="Times New Roman" w:eastAsia="Calibri" w:hAnsi="Times New Roman" w:cs="Times New Roman"/>
        </w:rPr>
        <w:t xml:space="preserve"> </w:t>
      </w:r>
    </w:p>
    <w:p w:rsidR="008E15E1" w:rsidRPr="00FA0ADE" w:rsidRDefault="00005802" w:rsidP="008E15E1">
      <w:pPr>
        <w:spacing w:after="0" w:line="360" w:lineRule="auto"/>
        <w:ind w:firstLine="720"/>
        <w:jc w:val="both"/>
        <w:rPr>
          <w:rFonts w:ascii="Times New Roman" w:eastAsia="Calibri" w:hAnsi="Times New Roman" w:cs="Times New Roman"/>
        </w:rPr>
      </w:pPr>
      <w:r w:rsidRPr="00FA0ADE">
        <w:rPr>
          <w:rFonts w:ascii="Times New Roman" w:eastAsia="Calibri" w:hAnsi="Times New Roman" w:cs="Times New Roman"/>
        </w:rPr>
        <w:t>The second</w:t>
      </w:r>
      <w:r w:rsidR="00802AB3" w:rsidRPr="00FA0ADE">
        <w:rPr>
          <w:rFonts w:ascii="Times New Roman" w:eastAsia="Calibri" w:hAnsi="Times New Roman" w:cs="Times New Roman"/>
        </w:rPr>
        <w:t xml:space="preserve"> factor defining supply</w:t>
      </w:r>
      <w:r w:rsidR="00447A2F" w:rsidRPr="00FA0ADE">
        <w:rPr>
          <w:rFonts w:ascii="Times New Roman" w:eastAsia="Calibri" w:hAnsi="Times New Roman" w:cs="Times New Roman"/>
        </w:rPr>
        <w:t xml:space="preserve"> risk was</w:t>
      </w:r>
      <w:r w:rsidR="00802AB3" w:rsidRPr="00FA0ADE">
        <w:rPr>
          <w:rFonts w:ascii="Times New Roman" w:eastAsia="Calibri" w:hAnsi="Times New Roman" w:cs="Times New Roman"/>
        </w:rPr>
        <w:t xml:space="preserve"> </w:t>
      </w:r>
      <w:r w:rsidRPr="00FA0ADE">
        <w:rPr>
          <w:rFonts w:ascii="Times New Roman" w:eastAsia="Calibri" w:hAnsi="Times New Roman" w:cs="Times New Roman"/>
        </w:rPr>
        <w:t>economic availability.</w:t>
      </w:r>
      <w:r w:rsidR="00447A2F" w:rsidRPr="00FA0ADE">
        <w:rPr>
          <w:rFonts w:ascii="Times New Roman" w:eastAsia="Calibri" w:hAnsi="Times New Roman" w:cs="Times New Roman"/>
        </w:rPr>
        <w:t xml:space="preserve"> A key factor in calculating future supply, it was explained and incorporated in nine out of the ten </w:t>
      </w:r>
      <w:r w:rsidR="00FA0ADE">
        <w:rPr>
          <w:rFonts w:ascii="Times New Roman" w:eastAsia="Calibri" w:hAnsi="Times New Roman" w:cs="Times New Roman"/>
        </w:rPr>
        <w:t xml:space="preserve">studies, with the exception of </w:t>
      </w:r>
      <w:r w:rsidR="00447A2F" w:rsidRPr="00FA0ADE">
        <w:rPr>
          <w:rFonts w:ascii="Times New Roman" w:eastAsia="Calibri" w:hAnsi="Times New Roman" w:cs="Times New Roman"/>
        </w:rPr>
        <w:t xml:space="preserve">the study from the </w:t>
      </w:r>
      <w:r w:rsidR="00447A2F" w:rsidRPr="00FA0ADE">
        <w:rPr>
          <w:rFonts w:ascii="Times New Roman" w:eastAsia="Calibri" w:hAnsi="Times New Roman" w:cs="Times New Roman"/>
          <w:noProof/>
        </w:rPr>
        <w:t>(British Geological Survey 2012)</w:t>
      </w:r>
      <w:r w:rsidR="00447A2F" w:rsidRPr="00FA0ADE">
        <w:rPr>
          <w:rFonts w:ascii="Times New Roman" w:eastAsia="Calibri" w:hAnsi="Times New Roman" w:cs="Times New Roman"/>
        </w:rPr>
        <w:t xml:space="preserve">. </w:t>
      </w:r>
      <w:r w:rsidR="00484EC7" w:rsidRPr="00FA0ADE">
        <w:rPr>
          <w:rFonts w:ascii="Times New Roman" w:eastAsia="Calibri" w:hAnsi="Times New Roman" w:cs="Times New Roman"/>
        </w:rPr>
        <w:t>Although no study identified here conducted modelling of economic availability over time, al</w:t>
      </w:r>
      <w:r w:rsidRPr="00FA0ADE">
        <w:rPr>
          <w:rFonts w:ascii="Times New Roman" w:eastAsia="Calibri" w:hAnsi="Times New Roman" w:cs="Times New Roman"/>
        </w:rPr>
        <w:t>l 9</w:t>
      </w:r>
      <w:r w:rsidR="00484EC7" w:rsidRPr="00FA0ADE">
        <w:rPr>
          <w:rFonts w:ascii="Times New Roman" w:eastAsia="Calibri" w:hAnsi="Times New Roman" w:cs="Times New Roman"/>
        </w:rPr>
        <w:t xml:space="preserve"> studies recognised not all resources are cost e</w:t>
      </w:r>
      <w:r w:rsidR="00447A2F" w:rsidRPr="00FA0ADE">
        <w:rPr>
          <w:rFonts w:ascii="Times New Roman" w:eastAsia="Calibri" w:hAnsi="Times New Roman" w:cs="Times New Roman"/>
        </w:rPr>
        <w:t xml:space="preserve">ffective </w:t>
      </w:r>
      <w:r w:rsidR="00447A2F" w:rsidRPr="00FA0ADE">
        <w:rPr>
          <w:rFonts w:ascii="Times New Roman" w:eastAsia="Calibri" w:hAnsi="Times New Roman" w:cs="Times New Roman"/>
        </w:rPr>
        <w:lastRenderedPageBreak/>
        <w:t>to produce. Furthermore</w:t>
      </w:r>
      <w:r w:rsidR="00484EC7" w:rsidRPr="00FA0ADE">
        <w:rPr>
          <w:rFonts w:ascii="Times New Roman" w:eastAsia="Calibri" w:hAnsi="Times New Roman" w:cs="Times New Roman"/>
        </w:rPr>
        <w:t>, use of USGS reserv</w:t>
      </w:r>
      <w:r w:rsidR="00447A2F" w:rsidRPr="00FA0ADE">
        <w:rPr>
          <w:rFonts w:ascii="Times New Roman" w:eastAsia="Calibri" w:hAnsi="Times New Roman" w:cs="Times New Roman"/>
        </w:rPr>
        <w:t>e and reserve base data, implied</w:t>
      </w:r>
      <w:r w:rsidR="00484EC7" w:rsidRPr="00FA0ADE">
        <w:rPr>
          <w:rFonts w:ascii="Times New Roman" w:eastAsia="Calibri" w:hAnsi="Times New Roman" w:cs="Times New Roman"/>
        </w:rPr>
        <w:t xml:space="preserve"> acknowledgement and inclusion of economic availabilit</w:t>
      </w:r>
      <w:r w:rsidR="00447A2F" w:rsidRPr="00FA0ADE">
        <w:rPr>
          <w:rFonts w:ascii="Times New Roman" w:eastAsia="Calibri" w:hAnsi="Times New Roman" w:cs="Times New Roman"/>
        </w:rPr>
        <w:t xml:space="preserve">y in the studies. </w:t>
      </w:r>
      <w:r w:rsidRPr="00FA0ADE">
        <w:rPr>
          <w:rFonts w:ascii="Times New Roman" w:eastAsia="Calibri" w:hAnsi="Times New Roman" w:cs="Times New Roman"/>
        </w:rPr>
        <w:t xml:space="preserve">The study by </w:t>
      </w:r>
      <w:r w:rsidRPr="00FA0ADE">
        <w:rPr>
          <w:rStyle w:val="ReferenceChar"/>
          <w:noProof/>
          <w:color w:val="auto"/>
        </w:rPr>
        <w:t>(Duclos et al. 2010)</w:t>
      </w:r>
      <w:r w:rsidRPr="00FA0ADE">
        <w:rPr>
          <w:rFonts w:ascii="Times New Roman" w:eastAsia="Calibri" w:hAnsi="Times New Roman" w:cs="Times New Roman"/>
        </w:rPr>
        <w:t xml:space="preserve"> </w:t>
      </w:r>
      <w:r w:rsidR="00484EC7" w:rsidRPr="00FA0ADE">
        <w:rPr>
          <w:rFonts w:ascii="Times New Roman" w:eastAsia="Calibri" w:hAnsi="Times New Roman" w:cs="Times New Roman"/>
        </w:rPr>
        <w:t xml:space="preserve">was the </w:t>
      </w:r>
      <w:r w:rsidR="00447A2F" w:rsidRPr="00FA0ADE">
        <w:rPr>
          <w:rFonts w:ascii="Times New Roman" w:eastAsia="Calibri" w:hAnsi="Times New Roman" w:cs="Times New Roman"/>
        </w:rPr>
        <w:t xml:space="preserve">notable </w:t>
      </w:r>
      <w:r w:rsidR="00FA0ADE" w:rsidRPr="00FA0ADE">
        <w:rPr>
          <w:rFonts w:ascii="Times New Roman" w:eastAsia="Calibri" w:hAnsi="Times New Roman" w:cs="Times New Roman"/>
        </w:rPr>
        <w:t>exception that</w:t>
      </w:r>
      <w:r w:rsidR="00484EC7" w:rsidRPr="00FA0ADE">
        <w:rPr>
          <w:rFonts w:ascii="Times New Roman" w:eastAsia="Calibri" w:hAnsi="Times New Roman" w:cs="Times New Roman"/>
        </w:rPr>
        <w:t xml:space="preserve"> assessed and quantitatively incor</w:t>
      </w:r>
      <w:r w:rsidR="00447A2F" w:rsidRPr="00FA0ADE">
        <w:rPr>
          <w:rFonts w:ascii="Times New Roman" w:eastAsia="Calibri" w:hAnsi="Times New Roman" w:cs="Times New Roman"/>
        </w:rPr>
        <w:t>porated metal price fluctuation</w:t>
      </w:r>
      <w:r w:rsidR="00484EC7" w:rsidRPr="00FA0ADE">
        <w:rPr>
          <w:rFonts w:ascii="Times New Roman" w:eastAsia="Calibri" w:hAnsi="Times New Roman" w:cs="Times New Roman"/>
        </w:rPr>
        <w:t xml:space="preserve"> which can be considered a measure of economic availability, into its study.</w:t>
      </w:r>
      <w:bookmarkStart w:id="15" w:name="_Toc474488384"/>
      <w:bookmarkStart w:id="16" w:name="_Toc474488460"/>
      <w:bookmarkStart w:id="17" w:name="_Toc474488537"/>
      <w:bookmarkStart w:id="18" w:name="_Toc474488588"/>
      <w:bookmarkStart w:id="19" w:name="_Toc474488875"/>
      <w:bookmarkStart w:id="20" w:name="_Toc474488931"/>
      <w:bookmarkStart w:id="21" w:name="_Toc474489018"/>
    </w:p>
    <w:p w:rsidR="005B4E7E" w:rsidRPr="00FA0ADE" w:rsidRDefault="00484EC7" w:rsidP="00516259">
      <w:pPr>
        <w:spacing w:after="0" w:line="360" w:lineRule="auto"/>
        <w:ind w:firstLine="720"/>
        <w:jc w:val="both"/>
        <w:rPr>
          <w:rStyle w:val="EquationChar"/>
          <w:color w:val="auto"/>
        </w:rPr>
      </w:pPr>
      <w:bookmarkStart w:id="22" w:name="_Toc475570501"/>
      <w:r w:rsidRPr="00FA0ADE">
        <w:rPr>
          <w:rFonts w:ascii="Times New Roman" w:hAnsi="Times New Roman" w:cs="Times New Roman"/>
        </w:rPr>
        <w:t>Although, not always included in criticalit</w:t>
      </w:r>
      <w:r w:rsidR="00005802" w:rsidRPr="00FA0ADE">
        <w:rPr>
          <w:rFonts w:ascii="Times New Roman" w:hAnsi="Times New Roman" w:cs="Times New Roman"/>
        </w:rPr>
        <w:t>y assessments</w:t>
      </w:r>
      <w:r w:rsidRPr="00FA0ADE">
        <w:rPr>
          <w:rFonts w:ascii="Times New Roman" w:hAnsi="Times New Roman" w:cs="Times New Roman"/>
        </w:rPr>
        <w:t>, t</w:t>
      </w:r>
      <w:r w:rsidR="008E15E1" w:rsidRPr="00FA0ADE">
        <w:rPr>
          <w:rFonts w:ascii="Times New Roman" w:hAnsi="Times New Roman" w:cs="Times New Roman"/>
        </w:rPr>
        <w:t>he recycling of raw materials was</w:t>
      </w:r>
      <w:r w:rsidRPr="00FA0ADE">
        <w:rPr>
          <w:rFonts w:ascii="Times New Roman" w:hAnsi="Times New Roman" w:cs="Times New Roman"/>
        </w:rPr>
        <w:t xml:space="preserve"> covered by most studies as an alleviating measure to reduce primary raw material demand. </w:t>
      </w:r>
      <w:r w:rsidR="00516259" w:rsidRPr="00FA0ADE">
        <w:rPr>
          <w:rFonts w:ascii="Times New Roman" w:hAnsi="Times New Roman" w:cs="Times New Roman"/>
        </w:rPr>
        <w:t xml:space="preserve"> </w:t>
      </w:r>
      <w:r w:rsidRPr="00FA0ADE">
        <w:rPr>
          <w:rFonts w:ascii="Times New Roman" w:hAnsi="Times New Roman" w:cs="Times New Roman"/>
        </w:rPr>
        <w:t>It is often measured as the end of life recycling ra</w:t>
      </w:r>
      <w:r w:rsidR="008E15E1" w:rsidRPr="00FA0ADE">
        <w:rPr>
          <w:rFonts w:ascii="Times New Roman" w:hAnsi="Times New Roman" w:cs="Times New Roman"/>
        </w:rPr>
        <w:t>te (EoL-</w:t>
      </w:r>
      <w:r w:rsidRPr="00FA0ADE">
        <w:rPr>
          <w:rFonts w:ascii="Times New Roman" w:hAnsi="Times New Roman" w:cs="Times New Roman"/>
        </w:rPr>
        <w:t xml:space="preserve">RR), which can be determined by the product of the percentage of recycled material at each </w:t>
      </w:r>
      <w:r w:rsidR="00026D43" w:rsidRPr="00FA0ADE">
        <w:rPr>
          <w:rFonts w:ascii="Times New Roman" w:hAnsi="Times New Roman" w:cs="Times New Roman"/>
        </w:rPr>
        <w:t>recycling stage, as displayed by</w:t>
      </w:r>
      <w:bookmarkEnd w:id="15"/>
      <w:bookmarkEnd w:id="16"/>
      <w:bookmarkEnd w:id="17"/>
      <w:bookmarkEnd w:id="18"/>
      <w:bookmarkEnd w:id="19"/>
      <w:bookmarkEnd w:id="20"/>
      <w:bookmarkEnd w:id="21"/>
      <w:r w:rsidR="005B4E7E" w:rsidRPr="00FA0ADE">
        <w:rPr>
          <w:rFonts w:ascii="Times New Roman" w:hAnsi="Times New Roman" w:cs="Times New Roman"/>
        </w:rPr>
        <w:t xml:space="preserve"> </w:t>
      </w:r>
      <w:r w:rsidR="005B4E7E" w:rsidRPr="00FA0ADE">
        <w:rPr>
          <w:rStyle w:val="EquationChar"/>
          <w:color w:val="auto"/>
        </w:rPr>
        <w:t xml:space="preserve">Equation </w:t>
      </w:r>
      <w:r w:rsidR="009A0ED7" w:rsidRPr="00FA0ADE">
        <w:rPr>
          <w:rStyle w:val="EquationChar"/>
          <w:color w:val="auto"/>
        </w:rPr>
        <w:fldChar w:fldCharType="begin"/>
      </w:r>
      <w:r w:rsidR="005B4E7E" w:rsidRPr="00FA0ADE">
        <w:rPr>
          <w:rStyle w:val="EquationChar"/>
          <w:color w:val="auto"/>
        </w:rPr>
        <w:instrText xml:space="preserve"> SEQ Equation \* ARABIC </w:instrText>
      </w:r>
      <w:r w:rsidR="009A0ED7" w:rsidRPr="00FA0ADE">
        <w:rPr>
          <w:rStyle w:val="EquationChar"/>
          <w:color w:val="auto"/>
        </w:rPr>
        <w:fldChar w:fldCharType="separate"/>
      </w:r>
      <w:r w:rsidR="009F5483">
        <w:rPr>
          <w:rStyle w:val="EquationChar"/>
          <w:noProof/>
          <w:color w:val="auto"/>
        </w:rPr>
        <w:t>1</w:t>
      </w:r>
      <w:r w:rsidR="009A0ED7" w:rsidRPr="00FA0ADE">
        <w:rPr>
          <w:rStyle w:val="EquationChar"/>
          <w:color w:val="auto"/>
        </w:rPr>
        <w:fldChar w:fldCharType="end"/>
      </w:r>
      <w:r w:rsidR="005B4E7E" w:rsidRPr="00FA0ADE">
        <w:rPr>
          <w:rStyle w:val="EquationChar"/>
          <w:color w:val="auto"/>
        </w:rPr>
        <w:t>.</w:t>
      </w:r>
      <w:bookmarkEnd w:id="22"/>
    </w:p>
    <w:p w:rsidR="00516259" w:rsidRPr="00FA0ADE" w:rsidRDefault="00516259" w:rsidP="00516259">
      <w:pPr>
        <w:spacing w:after="0" w:line="360" w:lineRule="auto"/>
        <w:ind w:firstLine="720"/>
        <w:jc w:val="both"/>
        <w:rPr>
          <w:rFonts w:ascii="Times New Roman" w:hAnsi="Times New Roman" w:cs="Times New Roma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1"/>
        <w:gridCol w:w="7216"/>
        <w:gridCol w:w="1159"/>
      </w:tblGrid>
      <w:tr w:rsidR="00026D43" w:rsidRPr="00FA0ADE" w:rsidTr="00F3311E">
        <w:trPr>
          <w:trHeight w:val="311"/>
          <w:jc w:val="center"/>
        </w:trPr>
        <w:tc>
          <w:tcPr>
            <w:tcW w:w="675" w:type="dxa"/>
          </w:tcPr>
          <w:p w:rsidR="00026D43" w:rsidRPr="00FA0ADE" w:rsidRDefault="00026D43" w:rsidP="00F3311E">
            <w:pPr>
              <w:spacing w:line="360" w:lineRule="auto"/>
              <w:contextualSpacing/>
              <w:jc w:val="center"/>
              <w:rPr>
                <w:rFonts w:ascii="Times New Roman" w:hAnsi="Times New Roman"/>
                <w:sz w:val="23"/>
                <w:szCs w:val="23"/>
              </w:rPr>
            </w:pPr>
          </w:p>
        </w:tc>
        <w:tc>
          <w:tcPr>
            <w:tcW w:w="7371" w:type="dxa"/>
          </w:tcPr>
          <w:p w:rsidR="00026D43" w:rsidRPr="00FA0ADE" w:rsidRDefault="00026D43" w:rsidP="00F3311E">
            <w:pPr>
              <w:spacing w:line="360" w:lineRule="auto"/>
              <w:contextualSpacing/>
              <w:jc w:val="center"/>
              <w:rPr>
                <w:rFonts w:ascii="Times New Roman" w:hAnsi="Times New Roman"/>
                <w:sz w:val="23"/>
                <w:szCs w:val="23"/>
              </w:rPr>
            </w:pPr>
            <m:oMathPara>
              <m:oMath>
                <m:r>
                  <m:rPr>
                    <m:sty m:val="p"/>
                  </m:rPr>
                  <w:rPr>
                    <w:rFonts w:ascii="Cambria Math" w:hAnsi="Cambria Math"/>
                    <w:sz w:val="24"/>
                    <w:szCs w:val="24"/>
                  </w:rPr>
                  <m:t xml:space="preserve">EoL </m:t>
                </m:r>
                <m:r>
                  <w:rPr>
                    <w:rFonts w:ascii="Cambria Math" w:hAnsi="Cambria Math"/>
                    <w:sz w:val="24"/>
                    <w:szCs w:val="24"/>
                  </w:rPr>
                  <m:t>RR</m:t>
                </m:r>
                <m:r>
                  <m:rPr>
                    <m:sty m:val="p"/>
                  </m:rPr>
                  <w:rPr>
                    <w:rFonts w:ascii="Cambria Math" w:hAnsi="Cambria Math"/>
                    <w:sz w:val="24"/>
                    <w:szCs w:val="24"/>
                  </w:rPr>
                  <m:t xml:space="preserve">= </m:t>
                </m:r>
                <m:f>
                  <m:fPr>
                    <m:ctrlPr>
                      <w:rPr>
                        <w:rFonts w:ascii="Cambria Math" w:hAnsi="Cambria Math"/>
                        <w:sz w:val="24"/>
                        <w:szCs w:val="24"/>
                      </w:rPr>
                    </m:ctrlPr>
                  </m:fPr>
                  <m:num>
                    <m:r>
                      <w:rPr>
                        <w:rFonts w:ascii="Cambria Math" w:hAnsi="Cambria Math"/>
                        <w:sz w:val="24"/>
                        <w:szCs w:val="24"/>
                      </w:rPr>
                      <m:t>Recycled</m:t>
                    </m:r>
                    <m:r>
                      <m:rPr>
                        <m:sty m:val="p"/>
                      </m:rPr>
                      <w:rPr>
                        <w:rFonts w:ascii="Cambria Math" w:hAnsi="Cambria Math"/>
                        <w:sz w:val="24"/>
                        <w:szCs w:val="24"/>
                      </w:rPr>
                      <m:t xml:space="preserve"> </m:t>
                    </m:r>
                    <m:r>
                      <w:rPr>
                        <w:rFonts w:ascii="Cambria Math" w:hAnsi="Cambria Math"/>
                        <w:sz w:val="24"/>
                        <w:szCs w:val="24"/>
                      </w:rPr>
                      <m:t>EoL</m:t>
                    </m:r>
                    <m:r>
                      <m:rPr>
                        <m:sty m:val="p"/>
                      </m:rPr>
                      <w:rPr>
                        <w:rFonts w:ascii="Cambria Math" w:hAnsi="Cambria Math"/>
                        <w:sz w:val="24"/>
                        <w:szCs w:val="24"/>
                      </w:rPr>
                      <m:t xml:space="preserve"> </m:t>
                    </m:r>
                    <m:r>
                      <w:rPr>
                        <w:rFonts w:ascii="Cambria Math" w:hAnsi="Cambria Math"/>
                        <w:sz w:val="24"/>
                        <w:szCs w:val="24"/>
                      </w:rPr>
                      <m:t>Metal</m:t>
                    </m:r>
                    <m:r>
                      <m:rPr>
                        <m:sty m:val="p"/>
                      </m:rPr>
                      <w:rPr>
                        <w:rFonts w:ascii="Cambria Math" w:hAnsi="Cambria Math"/>
                        <w:sz w:val="24"/>
                        <w:szCs w:val="24"/>
                      </w:rPr>
                      <m:t xml:space="preserve"> </m:t>
                    </m:r>
                    <m:r>
                      <w:rPr>
                        <w:rFonts w:ascii="Cambria Math" w:hAnsi="Cambria Math"/>
                        <w:sz w:val="24"/>
                        <w:szCs w:val="24"/>
                      </w:rPr>
                      <m:t>From</m:t>
                    </m:r>
                    <m:r>
                      <m:rPr>
                        <m:sty m:val="p"/>
                      </m:rPr>
                      <w:rPr>
                        <w:rFonts w:ascii="Cambria Math" w:hAnsi="Cambria Math"/>
                        <w:sz w:val="24"/>
                        <w:szCs w:val="24"/>
                      </w:rPr>
                      <m:t xml:space="preserve"> </m:t>
                    </m:r>
                    <m:r>
                      <w:rPr>
                        <w:rFonts w:ascii="Cambria Math" w:hAnsi="Cambria Math"/>
                        <w:sz w:val="24"/>
                        <w:szCs w:val="24"/>
                      </w:rPr>
                      <m:t>Old</m:t>
                    </m:r>
                    <m:r>
                      <m:rPr>
                        <m:sty m:val="p"/>
                      </m:rPr>
                      <w:rPr>
                        <w:rFonts w:ascii="Cambria Math" w:hAnsi="Cambria Math"/>
                        <w:sz w:val="24"/>
                        <w:szCs w:val="24"/>
                      </w:rPr>
                      <m:t xml:space="preserve"> </m:t>
                    </m:r>
                    <m:r>
                      <w:rPr>
                        <w:rFonts w:ascii="Cambria Math" w:hAnsi="Cambria Math"/>
                        <w:sz w:val="24"/>
                        <w:szCs w:val="24"/>
                      </w:rPr>
                      <m:t>Scrap</m:t>
                    </m:r>
                  </m:num>
                  <m:den>
                    <m:r>
                      <w:rPr>
                        <w:rFonts w:ascii="Cambria Math" w:hAnsi="Cambria Math"/>
                        <w:sz w:val="24"/>
                        <w:szCs w:val="24"/>
                      </w:rPr>
                      <m:t>Metal</m:t>
                    </m:r>
                    <m:r>
                      <m:rPr>
                        <m:sty m:val="p"/>
                      </m:rPr>
                      <w:rPr>
                        <w:rFonts w:ascii="Cambria Math" w:hAnsi="Cambria Math"/>
                        <w:sz w:val="24"/>
                        <w:szCs w:val="24"/>
                      </w:rPr>
                      <m:t xml:space="preserve"> </m:t>
                    </m:r>
                    <m:r>
                      <w:rPr>
                        <w:rFonts w:ascii="Cambria Math" w:hAnsi="Cambria Math"/>
                        <w:sz w:val="24"/>
                        <w:szCs w:val="24"/>
                      </w:rPr>
                      <m:t>Content</m:t>
                    </m:r>
                    <m:r>
                      <m:rPr>
                        <m:sty m:val="p"/>
                      </m:rPr>
                      <w:rPr>
                        <w:rFonts w:ascii="Cambria Math" w:hAnsi="Cambria Math"/>
                        <w:sz w:val="24"/>
                        <w:szCs w:val="24"/>
                      </w:rPr>
                      <m:t xml:space="preserve"> </m:t>
                    </m:r>
                    <m:r>
                      <w:rPr>
                        <w:rFonts w:ascii="Cambria Math" w:hAnsi="Cambria Math"/>
                        <w:sz w:val="24"/>
                        <w:szCs w:val="24"/>
                      </w:rPr>
                      <m:t>of</m:t>
                    </m:r>
                    <m:r>
                      <m:rPr>
                        <m:sty m:val="p"/>
                      </m:rPr>
                      <w:rPr>
                        <w:rFonts w:ascii="Cambria Math" w:hAnsi="Cambria Math"/>
                        <w:sz w:val="24"/>
                        <w:szCs w:val="24"/>
                      </w:rPr>
                      <m:t xml:space="preserve"> </m:t>
                    </m:r>
                    <m:r>
                      <w:rPr>
                        <w:rFonts w:ascii="Cambria Math" w:hAnsi="Cambria Math"/>
                        <w:sz w:val="24"/>
                        <w:szCs w:val="24"/>
                      </w:rPr>
                      <m:t>EoL</m:t>
                    </m:r>
                    <m:r>
                      <m:rPr>
                        <m:sty m:val="p"/>
                      </m:rPr>
                      <w:rPr>
                        <w:rFonts w:ascii="Cambria Math" w:hAnsi="Cambria Math"/>
                        <w:sz w:val="24"/>
                        <w:szCs w:val="24"/>
                      </w:rPr>
                      <m:t xml:space="preserve"> </m:t>
                    </m:r>
                    <m:r>
                      <w:rPr>
                        <w:rFonts w:ascii="Cambria Math" w:hAnsi="Cambria Math"/>
                        <w:sz w:val="24"/>
                        <w:szCs w:val="24"/>
                      </w:rPr>
                      <m:t>Products</m:t>
                    </m:r>
                  </m:den>
                </m:f>
              </m:oMath>
            </m:oMathPara>
          </w:p>
        </w:tc>
        <w:tc>
          <w:tcPr>
            <w:tcW w:w="1196" w:type="dxa"/>
            <w:vAlign w:val="center"/>
          </w:tcPr>
          <w:p w:rsidR="00026D43" w:rsidRPr="00FA0ADE" w:rsidRDefault="00026D43" w:rsidP="00F3311E">
            <w:pPr>
              <w:spacing w:line="360" w:lineRule="auto"/>
              <w:contextualSpacing/>
              <w:jc w:val="center"/>
              <w:rPr>
                <w:rFonts w:ascii="Times New Roman" w:hAnsi="Times New Roman"/>
                <w:sz w:val="23"/>
                <w:szCs w:val="23"/>
              </w:rPr>
            </w:pPr>
            <w:r w:rsidRPr="006624F7">
              <w:rPr>
                <w:rFonts w:ascii="Times New Roman" w:hAnsi="Times New Roman"/>
                <w:color w:val="FF0000"/>
                <w:sz w:val="23"/>
                <w:szCs w:val="23"/>
              </w:rPr>
              <w:t>(</w:t>
            </w:r>
            <w:r w:rsidR="008F124C" w:rsidRPr="006624F7">
              <w:rPr>
                <w:color w:val="FF0000"/>
              </w:rPr>
              <w:fldChar w:fldCharType="begin"/>
            </w:r>
            <w:r w:rsidR="008F124C" w:rsidRPr="006624F7">
              <w:rPr>
                <w:color w:val="FF0000"/>
              </w:rPr>
              <w:instrText xml:space="preserve"> SEQ Eq \* MERGEFORMAT </w:instrText>
            </w:r>
            <w:r w:rsidR="008F124C" w:rsidRPr="006624F7">
              <w:rPr>
                <w:color w:val="FF0000"/>
              </w:rPr>
              <w:fldChar w:fldCharType="separate"/>
            </w:r>
            <w:r w:rsidR="009F5483" w:rsidRPr="006624F7">
              <w:rPr>
                <w:rFonts w:ascii="Times New Roman" w:hAnsi="Times New Roman"/>
                <w:noProof/>
                <w:color w:val="FF0000"/>
                <w:sz w:val="23"/>
                <w:szCs w:val="23"/>
              </w:rPr>
              <w:t>1</w:t>
            </w:r>
            <w:r w:rsidR="008F124C" w:rsidRPr="006624F7">
              <w:rPr>
                <w:rFonts w:ascii="Times New Roman" w:hAnsi="Times New Roman"/>
                <w:noProof/>
                <w:color w:val="FF0000"/>
                <w:sz w:val="23"/>
                <w:szCs w:val="23"/>
              </w:rPr>
              <w:fldChar w:fldCharType="end"/>
            </w:r>
            <w:r w:rsidRPr="006624F7">
              <w:rPr>
                <w:rFonts w:ascii="Times New Roman" w:hAnsi="Times New Roman"/>
                <w:color w:val="FF0000"/>
                <w:sz w:val="23"/>
                <w:szCs w:val="23"/>
              </w:rPr>
              <w:t>)</w:t>
            </w:r>
          </w:p>
        </w:tc>
      </w:tr>
    </w:tbl>
    <w:p w:rsidR="00516259" w:rsidRPr="00FA0ADE" w:rsidRDefault="00516259" w:rsidP="00516259">
      <w:pPr>
        <w:spacing w:after="0" w:line="360" w:lineRule="auto"/>
        <w:jc w:val="both"/>
        <w:rPr>
          <w:rFonts w:ascii="Times New Roman" w:eastAsia="Calibri" w:hAnsi="Times New Roman" w:cs="Times New Roman"/>
        </w:rPr>
      </w:pPr>
    </w:p>
    <w:p w:rsidR="00484EC7" w:rsidRPr="00FA0ADE" w:rsidRDefault="00FA0ADE" w:rsidP="00516259">
      <w:pPr>
        <w:spacing w:after="0" w:line="360" w:lineRule="auto"/>
        <w:ind w:firstLine="720"/>
        <w:jc w:val="both"/>
        <w:rPr>
          <w:rFonts w:ascii="Times New Roman" w:eastAsia="Calibri" w:hAnsi="Times New Roman" w:cs="Times New Roman"/>
        </w:rPr>
      </w:pPr>
      <w:r>
        <w:rPr>
          <w:rFonts w:ascii="Times New Roman" w:eastAsia="Calibri" w:hAnsi="Times New Roman" w:cs="Times New Roman"/>
        </w:rPr>
        <w:t>According to a report from</w:t>
      </w:r>
      <w:r w:rsidR="00005802" w:rsidRPr="00FA0ADE">
        <w:rPr>
          <w:rFonts w:ascii="Times New Roman" w:eastAsia="Calibri" w:hAnsi="Times New Roman" w:cs="Times New Roman"/>
        </w:rPr>
        <w:t xml:space="preserve"> </w:t>
      </w:r>
      <w:r w:rsidR="00687823" w:rsidRPr="00FA0ADE">
        <w:rPr>
          <w:rFonts w:ascii="Times New Roman" w:eastAsia="Calibri" w:hAnsi="Times New Roman" w:cs="Times New Roman"/>
          <w:noProof/>
        </w:rPr>
        <w:t>(UNEP, 2011</w:t>
      </w:r>
      <w:r w:rsidR="00005802" w:rsidRPr="00FA0ADE">
        <w:rPr>
          <w:rFonts w:ascii="Times New Roman" w:eastAsia="Calibri" w:hAnsi="Times New Roman" w:cs="Times New Roman"/>
          <w:noProof/>
        </w:rPr>
        <w:t>)</w:t>
      </w:r>
      <w:r w:rsidR="0075410A" w:rsidRPr="00FA0ADE">
        <w:rPr>
          <w:rFonts w:ascii="Times New Roman" w:eastAsia="Calibri" w:hAnsi="Times New Roman" w:cs="Times New Roman"/>
        </w:rPr>
        <w:t>, in which an overview of recycling knowledge on 60 metals was provided, only 3 metals (lead, niobium and ruthenium) had an EoL-RR above 50%. The majority of the 10</w:t>
      </w:r>
      <w:r w:rsidR="00484EC7" w:rsidRPr="00FA0ADE">
        <w:rPr>
          <w:rFonts w:ascii="Times New Roman" w:eastAsia="Calibri" w:hAnsi="Times New Roman" w:cs="Times New Roman"/>
        </w:rPr>
        <w:t xml:space="preserve"> studies use</w:t>
      </w:r>
      <w:r w:rsidR="00516259" w:rsidRPr="00FA0ADE">
        <w:rPr>
          <w:rFonts w:ascii="Times New Roman" w:eastAsia="Calibri" w:hAnsi="Times New Roman" w:cs="Times New Roman"/>
        </w:rPr>
        <w:t>d EoL-RR data from UNEP, as it was</w:t>
      </w:r>
      <w:r w:rsidR="00484EC7" w:rsidRPr="00FA0ADE">
        <w:rPr>
          <w:rFonts w:ascii="Times New Roman" w:eastAsia="Calibri" w:hAnsi="Times New Roman" w:cs="Times New Roman"/>
        </w:rPr>
        <w:t xml:space="preserve"> the most up-to date and comprehensive lit</w:t>
      </w:r>
      <w:r w:rsidR="00516259" w:rsidRPr="00FA0ADE">
        <w:rPr>
          <w:rFonts w:ascii="Times New Roman" w:eastAsia="Calibri" w:hAnsi="Times New Roman" w:cs="Times New Roman"/>
        </w:rPr>
        <w:t>erature source. However there were</w:t>
      </w:r>
      <w:r w:rsidR="0075410A" w:rsidRPr="00FA0ADE">
        <w:rPr>
          <w:rFonts w:ascii="Times New Roman" w:eastAsia="Calibri" w:hAnsi="Times New Roman" w:cs="Times New Roman"/>
        </w:rPr>
        <w:t xml:space="preserve"> variations in how this data was</w:t>
      </w:r>
      <w:r w:rsidR="00484EC7" w:rsidRPr="00FA0ADE">
        <w:rPr>
          <w:rFonts w:ascii="Times New Roman" w:eastAsia="Calibri" w:hAnsi="Times New Roman" w:cs="Times New Roman"/>
        </w:rPr>
        <w:t xml:space="preserve"> utilised by each study in their own criticality assessments.</w:t>
      </w:r>
    </w:p>
    <w:p w:rsidR="00992B3B" w:rsidRPr="00FA0ADE" w:rsidRDefault="00484EC7" w:rsidP="00992B3B">
      <w:pPr>
        <w:spacing w:after="0" w:line="360" w:lineRule="auto"/>
        <w:ind w:firstLine="720"/>
        <w:jc w:val="both"/>
        <w:rPr>
          <w:rFonts w:ascii="Times New Roman" w:eastAsia="Calibri" w:hAnsi="Times New Roman" w:cs="Times New Roman"/>
        </w:rPr>
      </w:pPr>
      <w:r w:rsidRPr="00FA0ADE">
        <w:rPr>
          <w:rFonts w:ascii="Times New Roman" w:eastAsia="Calibri" w:hAnsi="Times New Roman" w:cs="Times New Roman"/>
        </w:rPr>
        <w:t>For example</w:t>
      </w:r>
      <w:r w:rsidR="0075410A" w:rsidRPr="00FA0ADE">
        <w:rPr>
          <w:rFonts w:ascii="Times New Roman" w:eastAsia="Calibri" w:hAnsi="Times New Roman" w:cs="Times New Roman"/>
        </w:rPr>
        <w:t>, in the report</w:t>
      </w:r>
      <w:r w:rsidR="00202C43" w:rsidRPr="00FA0ADE">
        <w:rPr>
          <w:rFonts w:ascii="Times New Roman" w:eastAsia="Calibri" w:hAnsi="Times New Roman" w:cs="Times New Roman"/>
        </w:rPr>
        <w:t xml:space="preserve"> by </w:t>
      </w:r>
      <w:r w:rsidR="00202C43" w:rsidRPr="00FA0ADE">
        <w:rPr>
          <w:rFonts w:ascii="Times New Roman" w:eastAsia="Calibri" w:hAnsi="Times New Roman" w:cs="Times New Roman"/>
          <w:noProof/>
        </w:rPr>
        <w:t xml:space="preserve">(Buchert et al, </w:t>
      </w:r>
      <w:r w:rsidR="0075410A" w:rsidRPr="00FA0ADE">
        <w:rPr>
          <w:rFonts w:ascii="Times New Roman" w:eastAsia="Calibri" w:hAnsi="Times New Roman" w:cs="Times New Roman"/>
          <w:noProof/>
        </w:rPr>
        <w:t>2009)</w:t>
      </w:r>
      <w:r w:rsidR="0075410A" w:rsidRPr="00FA0ADE">
        <w:rPr>
          <w:rFonts w:ascii="Times New Roman" w:eastAsia="Calibri" w:hAnsi="Times New Roman" w:cs="Times New Roman"/>
        </w:rPr>
        <w:t>,</w:t>
      </w:r>
      <w:r w:rsidRPr="00FA0ADE">
        <w:rPr>
          <w:rFonts w:ascii="Times New Roman" w:eastAsia="Calibri" w:hAnsi="Times New Roman" w:cs="Times New Roman"/>
        </w:rPr>
        <w:t xml:space="preserve"> </w:t>
      </w:r>
      <w:r w:rsidR="0075410A" w:rsidRPr="00FA0ADE">
        <w:rPr>
          <w:rFonts w:ascii="Times New Roman" w:eastAsia="Calibri" w:hAnsi="Times New Roman" w:cs="Times New Roman"/>
        </w:rPr>
        <w:t xml:space="preserve">4 </w:t>
      </w:r>
      <w:r w:rsidRPr="00FA0ADE">
        <w:rPr>
          <w:rFonts w:ascii="Times New Roman" w:eastAsia="Calibri" w:hAnsi="Times New Roman" w:cs="Times New Roman"/>
        </w:rPr>
        <w:t>different aspects of recycling</w:t>
      </w:r>
      <w:r w:rsidR="00992B3B" w:rsidRPr="00FA0ADE">
        <w:rPr>
          <w:rFonts w:ascii="Times New Roman" w:eastAsia="Calibri" w:hAnsi="Times New Roman" w:cs="Times New Roman"/>
        </w:rPr>
        <w:t xml:space="preserve"> were</w:t>
      </w:r>
      <w:r w:rsidR="0075410A" w:rsidRPr="00FA0ADE">
        <w:rPr>
          <w:rFonts w:ascii="Times New Roman" w:eastAsia="Calibri" w:hAnsi="Times New Roman" w:cs="Times New Roman"/>
        </w:rPr>
        <w:t xml:space="preserve"> assessed </w:t>
      </w:r>
      <w:r w:rsidRPr="00FA0ADE">
        <w:rPr>
          <w:rFonts w:ascii="Times New Roman" w:eastAsia="Calibri" w:hAnsi="Times New Roman" w:cs="Times New Roman"/>
        </w:rPr>
        <w:t>which include</w:t>
      </w:r>
      <w:r w:rsidR="00992B3B" w:rsidRPr="00FA0ADE">
        <w:rPr>
          <w:rFonts w:ascii="Times New Roman" w:eastAsia="Calibri" w:hAnsi="Times New Roman" w:cs="Times New Roman"/>
        </w:rPr>
        <w:t>d</w:t>
      </w:r>
      <w:r w:rsidRPr="00FA0ADE">
        <w:rPr>
          <w:rFonts w:ascii="Times New Roman" w:eastAsia="Calibri" w:hAnsi="Times New Roman" w:cs="Times New Roman"/>
        </w:rPr>
        <w:t>: high scale dissipative applications, physical and chemical limitations to recycling, lack of appropriate technologies (e.g. separation processes) and infrastructure and lack of price incentives for recycling markets (e.g. secondary scrap market). On the other hand</w:t>
      </w:r>
      <w:r w:rsidR="00992B3B" w:rsidRPr="00FA0ADE">
        <w:rPr>
          <w:rFonts w:ascii="Times New Roman" w:eastAsia="Calibri" w:hAnsi="Times New Roman" w:cs="Times New Roman"/>
        </w:rPr>
        <w:t>, the report by</w:t>
      </w:r>
      <w:r w:rsidRPr="00FA0ADE">
        <w:rPr>
          <w:rFonts w:ascii="Times New Roman" w:eastAsia="Calibri" w:hAnsi="Times New Roman" w:cs="Times New Roman"/>
        </w:rPr>
        <w:t xml:space="preserve"> </w:t>
      </w:r>
      <w:r w:rsidR="0075410A" w:rsidRPr="00FA0ADE">
        <w:rPr>
          <w:rFonts w:ascii="Times New Roman" w:eastAsia="Calibri" w:hAnsi="Times New Roman" w:cs="Times New Roman"/>
          <w:noProof/>
        </w:rPr>
        <w:t>(Duclos et al. 2010)</w:t>
      </w:r>
      <w:r w:rsidR="0075410A" w:rsidRPr="00FA0ADE">
        <w:rPr>
          <w:rFonts w:ascii="Times New Roman" w:eastAsia="Calibri" w:hAnsi="Times New Roman" w:cs="Times New Roman"/>
        </w:rPr>
        <w:t xml:space="preserve"> </w:t>
      </w:r>
      <w:r w:rsidR="00992B3B" w:rsidRPr="00FA0ADE">
        <w:rPr>
          <w:rFonts w:ascii="Times New Roman" w:eastAsia="Calibri" w:hAnsi="Times New Roman" w:cs="Times New Roman"/>
        </w:rPr>
        <w:t>did</w:t>
      </w:r>
      <w:r w:rsidRPr="00FA0ADE">
        <w:rPr>
          <w:rFonts w:ascii="Times New Roman" w:eastAsia="Calibri" w:hAnsi="Times New Roman" w:cs="Times New Roman"/>
        </w:rPr>
        <w:t xml:space="preserve"> not include recycling </w:t>
      </w:r>
      <w:r w:rsidR="0075410A" w:rsidRPr="00FA0ADE">
        <w:rPr>
          <w:rFonts w:ascii="Times New Roman" w:eastAsia="Calibri" w:hAnsi="Times New Roman" w:cs="Times New Roman"/>
        </w:rPr>
        <w:t>rates, but rather recycling measures for the most critical materials identified.</w:t>
      </w:r>
      <w:r w:rsidR="00F12582" w:rsidRPr="00FA0ADE">
        <w:rPr>
          <w:rFonts w:ascii="Times New Roman" w:eastAsia="Calibri" w:hAnsi="Times New Roman" w:cs="Times New Roman"/>
        </w:rPr>
        <w:t xml:space="preserve"> </w:t>
      </w:r>
      <w:r w:rsidRPr="00FA0ADE">
        <w:rPr>
          <w:rFonts w:ascii="Times New Roman" w:eastAsia="Calibri" w:hAnsi="Times New Roman" w:cs="Times New Roman"/>
        </w:rPr>
        <w:t>However</w:t>
      </w:r>
      <w:r w:rsidR="00992B3B" w:rsidRPr="00FA0ADE">
        <w:rPr>
          <w:rFonts w:ascii="Times New Roman" w:eastAsia="Calibri" w:hAnsi="Times New Roman" w:cs="Times New Roman"/>
        </w:rPr>
        <w:t>,</w:t>
      </w:r>
      <w:r w:rsidRPr="00FA0ADE">
        <w:rPr>
          <w:rFonts w:ascii="Times New Roman" w:eastAsia="Calibri" w:hAnsi="Times New Roman" w:cs="Times New Roman"/>
        </w:rPr>
        <w:t xml:space="preserve"> the most sophist</w:t>
      </w:r>
      <w:r w:rsidR="00992B3B" w:rsidRPr="00FA0ADE">
        <w:rPr>
          <w:rFonts w:ascii="Times New Roman" w:eastAsia="Calibri" w:hAnsi="Times New Roman" w:cs="Times New Roman"/>
        </w:rPr>
        <w:t>icated modelling of recycling was</w:t>
      </w:r>
      <w:r w:rsidRPr="00FA0ADE">
        <w:rPr>
          <w:rFonts w:ascii="Times New Roman" w:eastAsia="Calibri" w:hAnsi="Times New Roman" w:cs="Times New Roman"/>
        </w:rPr>
        <w:t xml:space="preserve"> provided by</w:t>
      </w:r>
      <w:r w:rsidR="00F12582" w:rsidRPr="00FA0ADE">
        <w:rPr>
          <w:rFonts w:ascii="Times New Roman" w:eastAsia="Calibri" w:hAnsi="Times New Roman" w:cs="Times New Roman"/>
        </w:rPr>
        <w:t xml:space="preserve"> </w:t>
      </w:r>
      <w:r w:rsidR="00F12582" w:rsidRPr="00FA0ADE">
        <w:rPr>
          <w:rFonts w:ascii="Times New Roman" w:eastAsia="Calibri" w:hAnsi="Times New Roman" w:cs="Times New Roman"/>
          <w:noProof/>
        </w:rPr>
        <w:t>(Graedel et al. 2012)</w:t>
      </w:r>
      <w:r w:rsidRPr="00FA0ADE">
        <w:rPr>
          <w:rFonts w:ascii="Times New Roman" w:eastAsia="Calibri" w:hAnsi="Times New Roman" w:cs="Times New Roman"/>
        </w:rPr>
        <w:t xml:space="preserve">. </w:t>
      </w:r>
    </w:p>
    <w:p w:rsidR="00516259" w:rsidRPr="00FA0ADE" w:rsidRDefault="00484EC7" w:rsidP="00992B3B">
      <w:pPr>
        <w:spacing w:after="0" w:line="360" w:lineRule="auto"/>
        <w:ind w:firstLine="720"/>
        <w:jc w:val="both"/>
        <w:rPr>
          <w:rFonts w:ascii="Times New Roman" w:eastAsia="Calibri" w:hAnsi="Times New Roman" w:cs="Times New Roman"/>
        </w:rPr>
      </w:pPr>
      <w:r w:rsidRPr="00FA0ADE">
        <w:rPr>
          <w:rFonts w:ascii="Times New Roman" w:eastAsia="Calibri" w:hAnsi="Times New Roman" w:cs="Times New Roman"/>
        </w:rPr>
        <w:t>Assuming present-day recycling rate</w:t>
      </w:r>
      <w:r w:rsidR="00F12582" w:rsidRPr="00FA0ADE">
        <w:rPr>
          <w:rFonts w:ascii="Times New Roman" w:eastAsia="Calibri" w:hAnsi="Times New Roman" w:cs="Times New Roman"/>
        </w:rPr>
        <w:t>s from the 2011 UNEP study</w:t>
      </w:r>
      <w:r w:rsidR="00516259" w:rsidRPr="00FA0ADE">
        <w:rPr>
          <w:rFonts w:ascii="Times New Roman" w:eastAsia="Calibri" w:hAnsi="Times New Roman" w:cs="Times New Roman"/>
        </w:rPr>
        <w:t xml:space="preserve">, Graedel estimated </w:t>
      </w:r>
      <w:r w:rsidRPr="00FA0ADE">
        <w:rPr>
          <w:rFonts w:ascii="Times New Roman" w:eastAsia="Calibri" w:hAnsi="Times New Roman" w:cs="Times New Roman"/>
        </w:rPr>
        <w:t xml:space="preserve">the useful lifetime of products using a Weibull distribution. A number of other studies namely </w:t>
      </w:r>
      <w:r w:rsidR="00F12582" w:rsidRPr="00FA0ADE">
        <w:rPr>
          <w:rFonts w:ascii="Times New Roman" w:eastAsia="Calibri" w:hAnsi="Times New Roman" w:cs="Times New Roman"/>
          <w:noProof/>
        </w:rPr>
        <w:t>(British Geological Survey 2012; Achzet et al. 2011)</w:t>
      </w:r>
      <w:r w:rsidRPr="00FA0ADE">
        <w:rPr>
          <w:rFonts w:ascii="Times New Roman" w:eastAsia="Calibri" w:hAnsi="Times New Roman" w:cs="Times New Roman"/>
        </w:rPr>
        <w:t>, utilise</w:t>
      </w:r>
      <w:r w:rsidR="00516259" w:rsidRPr="00FA0ADE">
        <w:rPr>
          <w:rFonts w:ascii="Times New Roman" w:eastAsia="Calibri" w:hAnsi="Times New Roman" w:cs="Times New Roman"/>
        </w:rPr>
        <w:t>d</w:t>
      </w:r>
      <w:r w:rsidRPr="00FA0ADE">
        <w:rPr>
          <w:rFonts w:ascii="Times New Roman" w:eastAsia="Calibri" w:hAnsi="Times New Roman" w:cs="Times New Roman"/>
        </w:rPr>
        <w:t xml:space="preserve"> the UNEP report to identify the recycling rates of materials of interest to them, before applying their own unique scoring method. </w:t>
      </w:r>
    </w:p>
    <w:p w:rsidR="00484EC7" w:rsidRDefault="00516259" w:rsidP="00992B3B">
      <w:pPr>
        <w:spacing w:after="0" w:line="360" w:lineRule="auto"/>
        <w:ind w:firstLine="720"/>
        <w:jc w:val="both"/>
        <w:rPr>
          <w:rFonts w:ascii="Times New Roman" w:eastAsia="Calibri" w:hAnsi="Times New Roman" w:cs="Times New Roman"/>
        </w:rPr>
      </w:pPr>
      <w:r w:rsidRPr="00FA0ADE">
        <w:rPr>
          <w:rFonts w:ascii="Times New Roman" w:eastAsia="Calibri" w:hAnsi="Times New Roman" w:cs="Times New Roman"/>
        </w:rPr>
        <w:t>Still</w:t>
      </w:r>
      <w:r w:rsidR="00484EC7" w:rsidRPr="00FA0ADE">
        <w:rPr>
          <w:rFonts w:ascii="Times New Roman" w:eastAsia="Calibri" w:hAnsi="Times New Roman" w:cs="Times New Roman"/>
        </w:rPr>
        <w:t xml:space="preserve"> in all the c</w:t>
      </w:r>
      <w:r w:rsidRPr="00FA0ADE">
        <w:rPr>
          <w:rFonts w:ascii="Times New Roman" w:eastAsia="Calibri" w:hAnsi="Times New Roman" w:cs="Times New Roman"/>
        </w:rPr>
        <w:t>riticality assessments, there was</w:t>
      </w:r>
      <w:r w:rsidR="00484EC7" w:rsidRPr="00FA0ADE">
        <w:rPr>
          <w:rFonts w:ascii="Times New Roman" w:eastAsia="Calibri" w:hAnsi="Times New Roman" w:cs="Times New Roman"/>
        </w:rPr>
        <w:t xml:space="preserve"> no modelling based on the relationship between recycling rates and resource economics over time. A high metal price should incentivise an increase in recycling, but this has not been investigated yet.</w:t>
      </w:r>
    </w:p>
    <w:p w:rsidR="00FA0ADE" w:rsidRDefault="00FA0ADE" w:rsidP="00FA0ADE">
      <w:pPr>
        <w:spacing w:after="0" w:line="360" w:lineRule="auto"/>
        <w:jc w:val="both"/>
        <w:rPr>
          <w:rFonts w:ascii="Times New Roman" w:eastAsia="Calibri" w:hAnsi="Times New Roman" w:cs="Times New Roman"/>
        </w:rPr>
      </w:pPr>
    </w:p>
    <w:p w:rsidR="00FA0ADE" w:rsidRDefault="00FA0ADE" w:rsidP="00992B3B">
      <w:pPr>
        <w:spacing w:after="0" w:line="360" w:lineRule="auto"/>
        <w:ind w:firstLine="720"/>
        <w:jc w:val="both"/>
        <w:rPr>
          <w:rFonts w:ascii="Times New Roman" w:eastAsia="Calibri" w:hAnsi="Times New Roman" w:cs="Times New Roman"/>
        </w:rPr>
        <w:sectPr w:rsidR="00FA0ADE" w:rsidSect="00C24042">
          <w:pgSz w:w="11906" w:h="16838"/>
          <w:pgMar w:top="1440" w:right="1440" w:bottom="1440" w:left="1440" w:header="708" w:footer="708" w:gutter="0"/>
          <w:cols w:space="708"/>
          <w:docGrid w:linePitch="360"/>
        </w:sectPr>
      </w:pPr>
    </w:p>
    <w:p w:rsidR="00B148F8" w:rsidRDefault="001716DC" w:rsidP="00B148F8">
      <w:pPr>
        <w:pStyle w:val="Heading3"/>
        <w:rPr>
          <w:rFonts w:eastAsia="Calibri"/>
        </w:rPr>
      </w:pPr>
      <w:r>
        <w:rPr>
          <w:rFonts w:eastAsia="Calibri"/>
        </w:rPr>
        <w:lastRenderedPageBreak/>
        <w:t>3</w:t>
      </w:r>
      <w:r w:rsidR="00241446">
        <w:rPr>
          <w:rFonts w:eastAsia="Calibri"/>
        </w:rPr>
        <w:t>.1.2</w:t>
      </w:r>
      <w:r w:rsidR="00B148F8">
        <w:rPr>
          <w:rFonts w:eastAsia="Calibri"/>
        </w:rPr>
        <w:t xml:space="preserve"> Geopolitical Factors</w:t>
      </w:r>
      <w:r w:rsidR="00FA0ADE">
        <w:rPr>
          <w:rFonts w:eastAsia="Calibri"/>
        </w:rPr>
        <w:t xml:space="preserve"> </w:t>
      </w:r>
    </w:p>
    <w:p w:rsidR="00040A8C" w:rsidRPr="00FA1334" w:rsidRDefault="00040A8C" w:rsidP="00040A8C">
      <w:pPr>
        <w:spacing w:after="0" w:line="360" w:lineRule="auto"/>
        <w:ind w:firstLine="720"/>
        <w:contextualSpacing/>
        <w:jc w:val="both"/>
        <w:rPr>
          <w:rFonts w:ascii="Times New Roman" w:hAnsi="Times New Roman" w:cs="Times New Roman"/>
        </w:rPr>
      </w:pPr>
      <w:r w:rsidRPr="00FA1334">
        <w:rPr>
          <w:rFonts w:ascii="Times New Roman" w:hAnsi="Times New Roman" w:cs="Times New Roman"/>
        </w:rPr>
        <w:t xml:space="preserve">Geopolitical factors are usually composed of exterior risks that are not natural i.e. </w:t>
      </w:r>
      <w:r w:rsidR="00A00657" w:rsidRPr="00FA1334">
        <w:rPr>
          <w:rFonts w:ascii="Times New Roman" w:hAnsi="Times New Roman" w:cs="Times New Roman"/>
        </w:rPr>
        <w:t>man-made</w:t>
      </w:r>
      <w:r w:rsidRPr="00FA1334">
        <w:rPr>
          <w:rFonts w:ascii="Times New Roman" w:hAnsi="Times New Roman" w:cs="Times New Roman"/>
        </w:rPr>
        <w:t>. These f</w:t>
      </w:r>
      <w:r w:rsidR="00901B8A" w:rsidRPr="00FA1334">
        <w:rPr>
          <w:rFonts w:ascii="Times New Roman" w:hAnsi="Times New Roman" w:cs="Times New Roman"/>
        </w:rPr>
        <w:t>actors can be used to describe three</w:t>
      </w:r>
      <w:r w:rsidRPr="00FA1334">
        <w:rPr>
          <w:rFonts w:ascii="Times New Roman" w:hAnsi="Times New Roman" w:cs="Times New Roman"/>
        </w:rPr>
        <w:t xml:space="preserve"> supply criteria, linked to national po</w:t>
      </w:r>
      <w:r w:rsidR="00901B8A" w:rsidRPr="00FA1334">
        <w:rPr>
          <w:rFonts w:ascii="Times New Roman" w:hAnsi="Times New Roman" w:cs="Times New Roman"/>
        </w:rPr>
        <w:t>licies and global markets which</w:t>
      </w:r>
      <w:r w:rsidRPr="00FA1334">
        <w:rPr>
          <w:rFonts w:ascii="Times New Roman" w:hAnsi="Times New Roman" w:cs="Times New Roman"/>
        </w:rPr>
        <w:t xml:space="preserve"> include:</w:t>
      </w:r>
    </w:p>
    <w:p w:rsidR="00040A8C" w:rsidRPr="00FA1334" w:rsidRDefault="00D06B3E" w:rsidP="00EE7761">
      <w:pPr>
        <w:pStyle w:val="ListParagraph"/>
        <w:numPr>
          <w:ilvl w:val="0"/>
          <w:numId w:val="15"/>
        </w:numPr>
        <w:spacing w:line="360" w:lineRule="auto"/>
        <w:jc w:val="both"/>
        <w:rPr>
          <w:rFonts w:ascii="Times New Roman" w:hAnsi="Times New Roman" w:cs="Times New Roman"/>
        </w:rPr>
      </w:pPr>
      <w:r w:rsidRPr="00FA1334">
        <w:rPr>
          <w:rFonts w:ascii="Times New Roman" w:hAnsi="Times New Roman" w:cs="Times New Roman"/>
        </w:rPr>
        <w:t xml:space="preserve">Geopolitical risk </w:t>
      </w:r>
      <w:r w:rsidR="00040A8C" w:rsidRPr="00FA1334">
        <w:rPr>
          <w:rFonts w:ascii="Times New Roman" w:hAnsi="Times New Roman" w:cs="Times New Roman"/>
        </w:rPr>
        <w:t>which can be defined as a measure of the risks posed by policy actions that may limit the global availability of a particular material and political instability.</w:t>
      </w:r>
    </w:p>
    <w:p w:rsidR="00040A8C" w:rsidRPr="00FA1334" w:rsidRDefault="00040A8C" w:rsidP="00EE7761">
      <w:pPr>
        <w:pStyle w:val="ListParagraph"/>
        <w:numPr>
          <w:ilvl w:val="0"/>
          <w:numId w:val="15"/>
        </w:numPr>
        <w:spacing w:line="360" w:lineRule="auto"/>
        <w:jc w:val="both"/>
        <w:rPr>
          <w:rFonts w:ascii="Times New Roman" w:hAnsi="Times New Roman" w:cs="Times New Roman"/>
        </w:rPr>
      </w:pPr>
      <w:r w:rsidRPr="00FA1334">
        <w:rPr>
          <w:rFonts w:ascii="Times New Roman" w:hAnsi="Times New Roman" w:cs="Times New Roman"/>
        </w:rPr>
        <w:t>Policy and regulatory risk which is a measure of the risk that existing national policies may pose.</w:t>
      </w:r>
    </w:p>
    <w:p w:rsidR="00040A8C" w:rsidRPr="00FA1334" w:rsidRDefault="00040A8C" w:rsidP="00EE7761">
      <w:pPr>
        <w:pStyle w:val="ListParagraph"/>
        <w:numPr>
          <w:ilvl w:val="0"/>
          <w:numId w:val="15"/>
        </w:numPr>
        <w:spacing w:line="360" w:lineRule="auto"/>
        <w:jc w:val="both"/>
        <w:rPr>
          <w:rFonts w:ascii="Times New Roman" w:hAnsi="Times New Roman" w:cs="Times New Roman"/>
        </w:rPr>
      </w:pPr>
      <w:r w:rsidRPr="00FA1334">
        <w:rPr>
          <w:rFonts w:ascii="Times New Roman" w:hAnsi="Times New Roman" w:cs="Times New Roman"/>
        </w:rPr>
        <w:t>Supply concentration which is a measure of the various different global countries producing a material.</w:t>
      </w:r>
    </w:p>
    <w:p w:rsidR="00040A8C" w:rsidRPr="00FA1334" w:rsidRDefault="00901B8A" w:rsidP="00687823">
      <w:pPr>
        <w:spacing w:after="0" w:line="360" w:lineRule="auto"/>
        <w:ind w:firstLine="720"/>
        <w:contextualSpacing/>
        <w:jc w:val="both"/>
        <w:rPr>
          <w:rFonts w:ascii="Times New Roman" w:hAnsi="Times New Roman" w:cs="Times New Roman"/>
          <w:iCs/>
          <w:noProof/>
        </w:rPr>
      </w:pPr>
      <w:r w:rsidRPr="00FA1334">
        <w:rPr>
          <w:rFonts w:ascii="Times New Roman" w:hAnsi="Times New Roman" w:cs="Times New Roman"/>
          <w:iCs/>
        </w:rPr>
        <w:t xml:space="preserve">Within the </w:t>
      </w:r>
      <w:r w:rsidR="00040A8C" w:rsidRPr="00FA1334">
        <w:rPr>
          <w:rFonts w:ascii="Times New Roman" w:hAnsi="Times New Roman" w:cs="Times New Roman"/>
          <w:iCs/>
        </w:rPr>
        <w:t>10 studies</w:t>
      </w:r>
      <w:r w:rsidRPr="00FA1334">
        <w:rPr>
          <w:rFonts w:ascii="Times New Roman" w:hAnsi="Times New Roman" w:cs="Times New Roman"/>
          <w:iCs/>
        </w:rPr>
        <w:t>,</w:t>
      </w:r>
      <w:r w:rsidR="00040A8C" w:rsidRPr="00FA1334">
        <w:rPr>
          <w:rFonts w:ascii="Times New Roman" w:hAnsi="Times New Roman" w:cs="Times New Roman"/>
          <w:iCs/>
        </w:rPr>
        <w:t xml:space="preserve"> the report from</w:t>
      </w:r>
      <w:r w:rsidR="00067D61" w:rsidRPr="00FA1334">
        <w:rPr>
          <w:rFonts w:ascii="Times New Roman" w:hAnsi="Times New Roman" w:cs="Times New Roman"/>
          <w:iCs/>
        </w:rPr>
        <w:t xml:space="preserve"> </w:t>
      </w:r>
      <w:r w:rsidR="00202C43" w:rsidRPr="00FA1334">
        <w:rPr>
          <w:rFonts w:ascii="Times New Roman" w:hAnsi="Times New Roman" w:cs="Times New Roman"/>
          <w:iCs/>
          <w:noProof/>
        </w:rPr>
        <w:t>(</w:t>
      </w:r>
      <w:r w:rsidR="00202C43" w:rsidRPr="00FA1334">
        <w:rPr>
          <w:rFonts w:ascii="Times New Roman" w:eastAsia="Calibri" w:hAnsi="Times New Roman" w:cs="Times New Roman"/>
          <w:noProof/>
        </w:rPr>
        <w:t xml:space="preserve">Buchert et al, </w:t>
      </w:r>
      <w:r w:rsidR="00067D61" w:rsidRPr="00FA1334">
        <w:rPr>
          <w:rFonts w:ascii="Times New Roman" w:hAnsi="Times New Roman" w:cs="Times New Roman"/>
          <w:iCs/>
          <w:noProof/>
        </w:rPr>
        <w:t>2009)</w:t>
      </w:r>
      <w:r w:rsidR="00067D61" w:rsidRPr="00FA1334">
        <w:rPr>
          <w:rFonts w:ascii="Times New Roman" w:hAnsi="Times New Roman" w:cs="Times New Roman"/>
          <w:iCs/>
        </w:rPr>
        <w:t xml:space="preserve"> </w:t>
      </w:r>
      <w:r w:rsidR="00040A8C" w:rsidRPr="00FA1334">
        <w:rPr>
          <w:rFonts w:ascii="Times New Roman" w:hAnsi="Times New Roman" w:cs="Times New Roman"/>
          <w:iCs/>
        </w:rPr>
        <w:t xml:space="preserve">was the </w:t>
      </w:r>
      <w:r w:rsidRPr="00FA1334">
        <w:rPr>
          <w:rFonts w:ascii="Times New Roman" w:hAnsi="Times New Roman" w:cs="Times New Roman"/>
          <w:iCs/>
        </w:rPr>
        <w:t>sole</w:t>
      </w:r>
      <w:r w:rsidR="00040A8C" w:rsidRPr="00FA1334">
        <w:rPr>
          <w:rFonts w:ascii="Times New Roman" w:hAnsi="Times New Roman" w:cs="Times New Roman"/>
          <w:iCs/>
        </w:rPr>
        <w:t xml:space="preserve"> report </w:t>
      </w:r>
      <w:r w:rsidRPr="00FA1334">
        <w:rPr>
          <w:rFonts w:ascii="Times New Roman" w:hAnsi="Times New Roman" w:cs="Times New Roman"/>
          <w:iCs/>
        </w:rPr>
        <w:t>excluding</w:t>
      </w:r>
      <w:r w:rsidR="00040A8C" w:rsidRPr="00FA1334">
        <w:rPr>
          <w:rFonts w:ascii="Times New Roman" w:hAnsi="Times New Roman" w:cs="Times New Roman"/>
          <w:iCs/>
        </w:rPr>
        <w:t xml:space="preserve"> geopolitical factors in its criticality assessment.</w:t>
      </w:r>
      <w:r w:rsidRPr="00FA1334">
        <w:rPr>
          <w:rFonts w:ascii="Times New Roman" w:hAnsi="Times New Roman" w:cs="Times New Roman"/>
          <w:iCs/>
        </w:rPr>
        <w:t xml:space="preserve"> For the remaining studies geopolitical risk was considered either by itself or as ‘political instability’ in the cases of </w:t>
      </w:r>
      <w:r w:rsidRPr="00FA1334">
        <w:rPr>
          <w:rFonts w:ascii="Times New Roman" w:hAnsi="Times New Roman" w:cs="Times New Roman"/>
          <w:iCs/>
          <w:noProof/>
        </w:rPr>
        <w:t>(Moss et al. 2011; Morley &amp; Eatherley 2008)</w:t>
      </w:r>
      <w:r w:rsidRPr="00FA1334">
        <w:rPr>
          <w:rFonts w:ascii="Times New Roman" w:hAnsi="Times New Roman" w:cs="Times New Roman"/>
          <w:iCs/>
        </w:rPr>
        <w:t xml:space="preserve">. </w:t>
      </w:r>
      <w:r w:rsidR="00067D61" w:rsidRPr="00FA1334">
        <w:rPr>
          <w:rFonts w:ascii="Times New Roman" w:hAnsi="Times New Roman" w:cs="Times New Roman"/>
          <w:iCs/>
        </w:rPr>
        <w:t>On the other hand, there were</w:t>
      </w:r>
      <w:r w:rsidR="00040A8C" w:rsidRPr="00FA1334">
        <w:rPr>
          <w:rFonts w:ascii="Times New Roman" w:hAnsi="Times New Roman" w:cs="Times New Roman"/>
          <w:iCs/>
        </w:rPr>
        <w:t xml:space="preserve"> </w:t>
      </w:r>
      <w:r w:rsidR="00067D61" w:rsidRPr="00FA1334">
        <w:rPr>
          <w:rFonts w:ascii="Times New Roman" w:hAnsi="Times New Roman" w:cs="Times New Roman"/>
          <w:iCs/>
        </w:rPr>
        <w:t>several studies</w:t>
      </w:r>
      <w:r w:rsidRPr="00FA1334">
        <w:rPr>
          <w:rFonts w:ascii="Times New Roman" w:hAnsi="Times New Roman" w:cs="Times New Roman"/>
          <w:iCs/>
        </w:rPr>
        <w:t xml:space="preserve"> present:</w:t>
      </w:r>
      <w:r w:rsidR="00067D61" w:rsidRPr="00FA1334">
        <w:rPr>
          <w:rFonts w:ascii="Times New Roman" w:hAnsi="Times New Roman" w:cs="Times New Roman"/>
          <w:iCs/>
        </w:rPr>
        <w:t xml:space="preserve"> </w:t>
      </w:r>
      <w:r w:rsidR="002841A7" w:rsidRPr="00FA1334">
        <w:rPr>
          <w:rFonts w:ascii="Times New Roman" w:hAnsi="Times New Roman" w:cs="Times New Roman"/>
          <w:iCs/>
          <w:noProof/>
        </w:rPr>
        <w:t>(E</w:t>
      </w:r>
      <w:r w:rsidR="00BF7E31" w:rsidRPr="00FA1334">
        <w:rPr>
          <w:rFonts w:ascii="Times New Roman" w:hAnsi="Times New Roman" w:cs="Times New Roman"/>
          <w:iCs/>
          <w:noProof/>
        </w:rPr>
        <w:t xml:space="preserve">uropean Commission 2014; </w:t>
      </w:r>
      <w:r w:rsidR="00BF7E31" w:rsidRPr="00FA1334">
        <w:rPr>
          <w:rFonts w:ascii="Times New Roman" w:eastAsia="Calibri" w:hAnsi="Times New Roman" w:cs="Times New Roman"/>
          <w:noProof/>
        </w:rPr>
        <w:t>Bauer et al</w:t>
      </w:r>
      <w:r w:rsidR="00BF7E31" w:rsidRPr="00FA1334">
        <w:rPr>
          <w:rFonts w:ascii="Times New Roman" w:hAnsi="Times New Roman" w:cs="Times New Roman"/>
          <w:iCs/>
          <w:noProof/>
        </w:rPr>
        <w:t xml:space="preserve">, </w:t>
      </w:r>
      <w:r w:rsidR="002841A7" w:rsidRPr="00FA1334">
        <w:rPr>
          <w:rFonts w:ascii="Times New Roman" w:hAnsi="Times New Roman" w:cs="Times New Roman"/>
          <w:iCs/>
          <w:noProof/>
        </w:rPr>
        <w:t>2011; Duclos et al. 2010)</w:t>
      </w:r>
      <w:r w:rsidR="00040A8C" w:rsidRPr="00FA1334">
        <w:rPr>
          <w:rFonts w:ascii="Times New Roman" w:hAnsi="Times New Roman" w:cs="Times New Roman"/>
          <w:iCs/>
        </w:rPr>
        <w:t xml:space="preserve"> in which</w:t>
      </w:r>
      <w:r w:rsidR="00067D61" w:rsidRPr="00FA1334">
        <w:rPr>
          <w:rFonts w:ascii="Times New Roman" w:hAnsi="Times New Roman" w:cs="Times New Roman"/>
          <w:iCs/>
        </w:rPr>
        <w:t xml:space="preserve"> a combination of one or both of alternative</w:t>
      </w:r>
      <w:r w:rsidRPr="00FA1334">
        <w:rPr>
          <w:rFonts w:ascii="Times New Roman" w:hAnsi="Times New Roman" w:cs="Times New Roman"/>
          <w:iCs/>
        </w:rPr>
        <w:t xml:space="preserve"> geopolitical factors (i.e. </w:t>
      </w:r>
      <w:r w:rsidR="00040A8C" w:rsidRPr="00FA1334">
        <w:rPr>
          <w:rFonts w:ascii="Times New Roman" w:hAnsi="Times New Roman" w:cs="Times New Roman"/>
          <w:iCs/>
        </w:rPr>
        <w:t>policy and regulatory ri</w:t>
      </w:r>
      <w:r w:rsidR="00067D61" w:rsidRPr="00FA1334">
        <w:rPr>
          <w:rFonts w:ascii="Times New Roman" w:hAnsi="Times New Roman" w:cs="Times New Roman"/>
          <w:iCs/>
        </w:rPr>
        <w:t xml:space="preserve">sk </w:t>
      </w:r>
      <w:r w:rsidRPr="00FA1334">
        <w:rPr>
          <w:rFonts w:ascii="Times New Roman" w:hAnsi="Times New Roman" w:cs="Times New Roman"/>
          <w:iCs/>
        </w:rPr>
        <w:t>plus</w:t>
      </w:r>
      <w:r w:rsidR="00067D61" w:rsidRPr="00FA1334">
        <w:rPr>
          <w:rFonts w:ascii="Times New Roman" w:hAnsi="Times New Roman" w:cs="Times New Roman"/>
          <w:iCs/>
        </w:rPr>
        <w:t xml:space="preserve"> supply concentration) were</w:t>
      </w:r>
      <w:r w:rsidR="00040A8C" w:rsidRPr="00FA1334">
        <w:rPr>
          <w:rFonts w:ascii="Times New Roman" w:hAnsi="Times New Roman" w:cs="Times New Roman"/>
          <w:iCs/>
        </w:rPr>
        <w:t xml:space="preserve"> also considered.</w:t>
      </w:r>
    </w:p>
    <w:p w:rsidR="000A214C" w:rsidRPr="00FA1334" w:rsidRDefault="00FE06A1" w:rsidP="000A214C">
      <w:pPr>
        <w:spacing w:after="0" w:line="360" w:lineRule="auto"/>
        <w:ind w:firstLine="720"/>
        <w:contextualSpacing/>
        <w:jc w:val="both"/>
        <w:rPr>
          <w:rFonts w:ascii="Times New Roman" w:hAnsi="Times New Roman" w:cs="Times New Roman"/>
        </w:rPr>
      </w:pPr>
      <w:r w:rsidRPr="00FA1334">
        <w:rPr>
          <w:rFonts w:ascii="Times New Roman" w:hAnsi="Times New Roman" w:cs="Times New Roman"/>
          <w:iCs/>
        </w:rPr>
        <w:t xml:space="preserve">Further analysis within the studies highlighted 2 main metrics as the primary tools used to quantify </w:t>
      </w:r>
      <w:r w:rsidRPr="00FA1334">
        <w:rPr>
          <w:rFonts w:ascii="Times New Roman" w:hAnsi="Times New Roman" w:cs="Times New Roman"/>
        </w:rPr>
        <w:t>political instability and overall geopolitical risk. The first</w:t>
      </w:r>
      <w:r w:rsidR="00DB28CC" w:rsidRPr="00FA1334">
        <w:rPr>
          <w:rFonts w:ascii="Times New Roman" w:hAnsi="Times New Roman" w:cs="Times New Roman"/>
        </w:rPr>
        <w:t xml:space="preserve"> of these</w:t>
      </w:r>
      <w:r w:rsidRPr="00FA1334">
        <w:rPr>
          <w:rFonts w:ascii="Times New Roman" w:hAnsi="Times New Roman" w:cs="Times New Roman"/>
        </w:rPr>
        <w:t xml:space="preserve"> metric</w:t>
      </w:r>
      <w:r w:rsidR="00DB28CC" w:rsidRPr="00FA1334">
        <w:rPr>
          <w:rFonts w:ascii="Times New Roman" w:hAnsi="Times New Roman" w:cs="Times New Roman"/>
        </w:rPr>
        <w:t>s</w:t>
      </w:r>
      <w:r w:rsidRPr="00FA1334">
        <w:rPr>
          <w:rFonts w:ascii="Times New Roman" w:hAnsi="Times New Roman" w:cs="Times New Roman"/>
        </w:rPr>
        <w:t>, developed by the World Bank</w:t>
      </w:r>
      <w:r w:rsidR="005D19AE" w:rsidRPr="00FA1334">
        <w:rPr>
          <w:rFonts w:ascii="Times New Roman" w:hAnsi="Times New Roman" w:cs="Times New Roman"/>
        </w:rPr>
        <w:t xml:space="preserve"> </w:t>
      </w:r>
      <w:r w:rsidR="005D19AE" w:rsidRPr="00FA1334">
        <w:rPr>
          <w:rFonts w:ascii="Times New Roman" w:hAnsi="Times New Roman" w:cs="Times New Roman"/>
          <w:noProof/>
        </w:rPr>
        <w:t>(Kaufmann et al. 2010)</w:t>
      </w:r>
      <w:r w:rsidRPr="00FA1334">
        <w:rPr>
          <w:rFonts w:ascii="Times New Roman" w:hAnsi="Times New Roman" w:cs="Times New Roman"/>
        </w:rPr>
        <w:t>, was</w:t>
      </w:r>
      <w:r w:rsidR="005D19AE" w:rsidRPr="00FA1334">
        <w:rPr>
          <w:rFonts w:ascii="Times New Roman" w:hAnsi="Times New Roman" w:cs="Times New Roman"/>
        </w:rPr>
        <w:t xml:space="preserve"> the</w:t>
      </w:r>
      <w:r w:rsidRPr="00FA1334">
        <w:rPr>
          <w:rFonts w:ascii="Times New Roman" w:hAnsi="Times New Roman" w:cs="Times New Roman"/>
        </w:rPr>
        <w:t xml:space="preserve"> World Governance Indicators (WGI). </w:t>
      </w:r>
      <w:r w:rsidR="000A214C" w:rsidRPr="00FA1334">
        <w:rPr>
          <w:rFonts w:ascii="Times New Roman" w:hAnsi="Times New Roman" w:cs="Times New Roman"/>
        </w:rPr>
        <w:t>The WGI encompassed 6</w:t>
      </w:r>
      <w:r w:rsidR="00FA1334">
        <w:rPr>
          <w:rFonts w:ascii="Times New Roman" w:hAnsi="Times New Roman" w:cs="Times New Roman"/>
          <w:iCs/>
        </w:rPr>
        <w:t xml:space="preserve"> different indexes namely: </w:t>
      </w:r>
      <w:r w:rsidR="000A214C" w:rsidRPr="00FA1334">
        <w:rPr>
          <w:rFonts w:ascii="Times New Roman" w:hAnsi="Times New Roman" w:cs="Times New Roman"/>
        </w:rPr>
        <w:t>Accountability, Control of Corruption, Government Effectiveness, Political Stability and Absence of Violence/Terrorism, Regulatory Quality and Rule of Law and Voice</w:t>
      </w:r>
      <w:r w:rsidR="000A214C" w:rsidRPr="00FA1334">
        <w:rPr>
          <w:rFonts w:ascii="Times New Roman" w:hAnsi="Times New Roman" w:cs="Times New Roman"/>
          <w:iCs/>
        </w:rPr>
        <w:t xml:space="preserve">. In each index, the data was standardized and a percentile ranking given for each country </w:t>
      </w:r>
      <w:r w:rsidR="000A214C" w:rsidRPr="00FA1334">
        <w:rPr>
          <w:rFonts w:ascii="Times New Roman" w:hAnsi="Times New Roman" w:cs="Times New Roman"/>
          <w:iCs/>
          <w:noProof/>
        </w:rPr>
        <w:t>(Kaufmann et al. 2010)</w:t>
      </w:r>
      <w:r w:rsidR="000A214C" w:rsidRPr="00FA1334">
        <w:rPr>
          <w:rFonts w:ascii="Times New Roman" w:hAnsi="Times New Roman" w:cs="Times New Roman"/>
          <w:iCs/>
        </w:rPr>
        <w:t xml:space="preserve">. </w:t>
      </w:r>
    </w:p>
    <w:p w:rsidR="002F1201" w:rsidRPr="00FA1334" w:rsidRDefault="000A214C" w:rsidP="000A214C">
      <w:pPr>
        <w:spacing w:after="0" w:line="360" w:lineRule="auto"/>
        <w:ind w:firstLine="720"/>
        <w:contextualSpacing/>
        <w:jc w:val="both"/>
        <w:rPr>
          <w:rFonts w:ascii="Times New Roman" w:hAnsi="Times New Roman" w:cs="Times New Roman"/>
        </w:rPr>
      </w:pPr>
      <w:r w:rsidRPr="00FA1334">
        <w:rPr>
          <w:rFonts w:ascii="Times New Roman" w:hAnsi="Times New Roman" w:cs="Times New Roman"/>
        </w:rPr>
        <w:t>T</w:t>
      </w:r>
      <w:r w:rsidR="00FE06A1" w:rsidRPr="00FA1334">
        <w:rPr>
          <w:rFonts w:ascii="Times New Roman" w:hAnsi="Times New Roman" w:cs="Times New Roman"/>
        </w:rPr>
        <w:t>he second commonly used metric was the Fund for Peace’s Failed States Index (FSI).</w:t>
      </w:r>
      <w:r w:rsidRPr="00FA1334">
        <w:rPr>
          <w:rFonts w:ascii="Times New Roman" w:hAnsi="Times New Roman" w:cs="Times New Roman"/>
        </w:rPr>
        <w:t xml:space="preserve"> This metric measured </w:t>
      </w:r>
      <w:r w:rsidR="00040A8C" w:rsidRPr="00FA1334">
        <w:rPr>
          <w:rFonts w:ascii="Times New Roman" w:hAnsi="Times New Roman" w:cs="Times New Roman"/>
          <w:iCs/>
        </w:rPr>
        <w:t>geopolitical risk using 12 indicators</w:t>
      </w:r>
      <w:r w:rsidRPr="00FA1334">
        <w:rPr>
          <w:rFonts w:ascii="Times New Roman" w:hAnsi="Times New Roman" w:cs="Times New Roman"/>
          <w:iCs/>
        </w:rPr>
        <w:t xml:space="preserve"> </w:t>
      </w:r>
      <w:r w:rsidR="005D19AE" w:rsidRPr="00FA1334">
        <w:rPr>
          <w:rFonts w:ascii="Times New Roman" w:hAnsi="Times New Roman" w:cs="Times New Roman"/>
          <w:iCs/>
        </w:rPr>
        <w:t>in 3 different areas</w:t>
      </w:r>
      <w:r w:rsidRPr="00FA1334">
        <w:rPr>
          <w:rFonts w:ascii="Times New Roman" w:hAnsi="Times New Roman" w:cs="Times New Roman"/>
          <w:iCs/>
        </w:rPr>
        <w:t>. A list of the indicators includes</w:t>
      </w:r>
      <w:r w:rsidR="005D19AE" w:rsidRPr="00FA1334">
        <w:rPr>
          <w:rFonts w:ascii="Times New Roman" w:hAnsi="Times New Roman" w:cs="Times New Roman"/>
          <w:iCs/>
        </w:rPr>
        <w:t>: Economic Indicators (</w:t>
      </w:r>
      <w:r w:rsidR="004B7543" w:rsidRPr="00FA1334">
        <w:rPr>
          <w:rFonts w:ascii="Times New Roman" w:hAnsi="Times New Roman" w:cs="Times New Roman"/>
        </w:rPr>
        <w:t>Uneven Economic Development and Poverty and Economic Decline</w:t>
      </w:r>
      <w:r w:rsidR="005D19AE" w:rsidRPr="00FA1334">
        <w:rPr>
          <w:rFonts w:ascii="Times New Roman" w:hAnsi="Times New Roman" w:cs="Times New Roman"/>
          <w:iCs/>
        </w:rPr>
        <w:t>), Social indicators (</w:t>
      </w:r>
      <w:r w:rsidR="004B7543" w:rsidRPr="00FA1334">
        <w:rPr>
          <w:rFonts w:ascii="Times New Roman" w:hAnsi="Times New Roman" w:cs="Times New Roman"/>
        </w:rPr>
        <w:t>Demographic Pressures, Group Grievance, Human Flight &amp; Brain Drain and Refugees or Internally-Displaced Persons</w:t>
      </w:r>
      <w:r w:rsidR="005D19AE" w:rsidRPr="00FA1334">
        <w:rPr>
          <w:rFonts w:ascii="Times New Roman" w:hAnsi="Times New Roman" w:cs="Times New Roman"/>
          <w:iCs/>
        </w:rPr>
        <w:t>), and Political and Military Indicators</w:t>
      </w:r>
      <w:r w:rsidR="004B7543" w:rsidRPr="00FA1334">
        <w:rPr>
          <w:rFonts w:ascii="Times New Roman" w:hAnsi="Times New Roman" w:cs="Times New Roman"/>
          <w:iCs/>
        </w:rPr>
        <w:t xml:space="preserve"> (External Intervention, </w:t>
      </w:r>
      <w:r w:rsidR="004B7543" w:rsidRPr="00FA1334">
        <w:rPr>
          <w:rFonts w:ascii="Times New Roman" w:hAnsi="Times New Roman" w:cs="Times New Roman"/>
        </w:rPr>
        <w:t>Factionalized Elites, Human Rights &amp; Rule of Law, Public Services, Security Apparatus and State Legitimacy)</w:t>
      </w:r>
      <w:r w:rsidR="00DD6B57" w:rsidRPr="00FA1334">
        <w:rPr>
          <w:rFonts w:ascii="Times New Roman" w:hAnsi="Times New Roman" w:cs="Times New Roman"/>
        </w:rPr>
        <w:t xml:space="preserve"> </w:t>
      </w:r>
      <w:r w:rsidR="00DD6B57" w:rsidRPr="00FA1334">
        <w:rPr>
          <w:rFonts w:ascii="Times New Roman" w:hAnsi="Times New Roman" w:cs="Times New Roman"/>
          <w:noProof/>
        </w:rPr>
        <w:t>(Fund for Peace 2016)</w:t>
      </w:r>
      <w:r w:rsidR="00DD6B57" w:rsidRPr="00FA1334">
        <w:rPr>
          <w:rFonts w:ascii="Times New Roman" w:hAnsi="Times New Roman" w:cs="Times New Roman"/>
        </w:rPr>
        <w:t>.</w:t>
      </w:r>
    </w:p>
    <w:p w:rsidR="001907E1" w:rsidRPr="00FA1334" w:rsidRDefault="002F1201" w:rsidP="000A214C">
      <w:pPr>
        <w:spacing w:after="0" w:line="360" w:lineRule="auto"/>
        <w:ind w:firstLine="720"/>
        <w:jc w:val="both"/>
        <w:rPr>
          <w:rFonts w:ascii="Times New Roman" w:hAnsi="Times New Roman" w:cs="Times New Roman"/>
        </w:rPr>
      </w:pPr>
      <w:r w:rsidRPr="00FA1334">
        <w:rPr>
          <w:rFonts w:ascii="Times New Roman" w:hAnsi="Times New Roman" w:cs="Times New Roman"/>
          <w:iCs/>
        </w:rPr>
        <w:t>B</w:t>
      </w:r>
      <w:r w:rsidR="00040A8C" w:rsidRPr="00FA1334">
        <w:rPr>
          <w:rFonts w:ascii="Times New Roman" w:hAnsi="Times New Roman" w:cs="Times New Roman"/>
        </w:rPr>
        <w:t>oth indicators use</w:t>
      </w:r>
      <w:r w:rsidR="000A214C" w:rsidRPr="00FA1334">
        <w:rPr>
          <w:rFonts w:ascii="Times New Roman" w:hAnsi="Times New Roman" w:cs="Times New Roman"/>
        </w:rPr>
        <w:t>d</w:t>
      </w:r>
      <w:r w:rsidR="00040A8C" w:rsidRPr="00FA1334">
        <w:rPr>
          <w:rFonts w:ascii="Times New Roman" w:hAnsi="Times New Roman" w:cs="Times New Roman"/>
        </w:rPr>
        <w:t xml:space="preserve"> freely a</w:t>
      </w:r>
      <w:r w:rsidR="000A214C" w:rsidRPr="00FA1334">
        <w:rPr>
          <w:rFonts w:ascii="Times New Roman" w:hAnsi="Times New Roman" w:cs="Times New Roman"/>
        </w:rPr>
        <w:t>vailable data yet aggregated this</w:t>
      </w:r>
      <w:r w:rsidR="00040A8C" w:rsidRPr="00FA1334">
        <w:rPr>
          <w:rFonts w:ascii="Times New Roman" w:hAnsi="Times New Roman" w:cs="Times New Roman"/>
        </w:rPr>
        <w:t xml:space="preserve"> differently, </w:t>
      </w:r>
      <w:r w:rsidR="004B7543" w:rsidRPr="00FA1334">
        <w:rPr>
          <w:rFonts w:ascii="Times New Roman" w:hAnsi="Times New Roman" w:cs="Times New Roman"/>
        </w:rPr>
        <w:t>resulting in occasional variations</w:t>
      </w:r>
      <w:r w:rsidR="00040A8C" w:rsidRPr="00FA1334">
        <w:rPr>
          <w:rFonts w:ascii="Times New Roman" w:hAnsi="Times New Roman" w:cs="Times New Roman"/>
        </w:rPr>
        <w:t xml:space="preserve"> in results. For instance</w:t>
      </w:r>
      <w:r w:rsidR="004B7543" w:rsidRPr="00FA1334">
        <w:rPr>
          <w:rFonts w:ascii="Times New Roman" w:hAnsi="Times New Roman" w:cs="Times New Roman"/>
        </w:rPr>
        <w:t>,</w:t>
      </w:r>
      <w:r w:rsidR="00040A8C" w:rsidRPr="00FA1334">
        <w:rPr>
          <w:rFonts w:ascii="Times New Roman" w:hAnsi="Times New Roman" w:cs="Times New Roman"/>
        </w:rPr>
        <w:t xml:space="preserve"> </w:t>
      </w:r>
      <w:r w:rsidR="004B7543" w:rsidRPr="00FA1334">
        <w:rPr>
          <w:rFonts w:ascii="Times New Roman" w:hAnsi="Times New Roman" w:cs="Times New Roman"/>
        </w:rPr>
        <w:t xml:space="preserve">studies by </w:t>
      </w:r>
      <w:r w:rsidR="003726F3" w:rsidRPr="00FA1334">
        <w:rPr>
          <w:rFonts w:ascii="Times New Roman" w:hAnsi="Times New Roman" w:cs="Times New Roman"/>
          <w:noProof/>
        </w:rPr>
        <w:t>(British Geological Survey 2012; Morley &amp; Eatherley 2008)</w:t>
      </w:r>
      <w:r w:rsidR="004B7543" w:rsidRPr="00FA1334">
        <w:rPr>
          <w:rFonts w:ascii="Times New Roman" w:hAnsi="Times New Roman" w:cs="Times New Roman"/>
        </w:rPr>
        <w:t xml:space="preserve"> assign</w:t>
      </w:r>
      <w:r w:rsidR="000A214C" w:rsidRPr="00FA1334">
        <w:rPr>
          <w:rFonts w:ascii="Times New Roman" w:hAnsi="Times New Roman" w:cs="Times New Roman"/>
        </w:rPr>
        <w:t>ed</w:t>
      </w:r>
      <w:r w:rsidR="004B7543" w:rsidRPr="00FA1334">
        <w:rPr>
          <w:rFonts w:ascii="Times New Roman" w:hAnsi="Times New Roman" w:cs="Times New Roman"/>
        </w:rPr>
        <w:t xml:space="preserve"> a qualitative (High-Mid-Low) score for a metal’s political risk. Taking the example of n</w:t>
      </w:r>
      <w:r w:rsidR="00040A8C" w:rsidRPr="00FA1334">
        <w:rPr>
          <w:rFonts w:ascii="Times New Roman" w:hAnsi="Times New Roman" w:cs="Times New Roman"/>
        </w:rPr>
        <w:t xml:space="preserve">ickel, present in both studies, </w:t>
      </w:r>
      <w:r w:rsidR="000A214C" w:rsidRPr="00FA1334">
        <w:rPr>
          <w:rFonts w:ascii="Times New Roman" w:hAnsi="Times New Roman" w:cs="Times New Roman"/>
        </w:rPr>
        <w:t>the latter study categorised</w:t>
      </w:r>
      <w:r w:rsidR="004B7543" w:rsidRPr="00FA1334">
        <w:rPr>
          <w:rFonts w:ascii="Times New Roman" w:hAnsi="Times New Roman" w:cs="Times New Roman"/>
        </w:rPr>
        <w:t xml:space="preserve"> nickel</w:t>
      </w:r>
      <w:r w:rsidR="00040A8C" w:rsidRPr="00FA1334">
        <w:rPr>
          <w:rFonts w:ascii="Times New Roman" w:hAnsi="Times New Roman" w:cs="Times New Roman"/>
        </w:rPr>
        <w:t xml:space="preserve"> as high risk whilst </w:t>
      </w:r>
      <w:r w:rsidR="004B7543" w:rsidRPr="00FA1334">
        <w:rPr>
          <w:rFonts w:ascii="Times New Roman" w:hAnsi="Times New Roman" w:cs="Times New Roman"/>
        </w:rPr>
        <w:t>the former study</w:t>
      </w:r>
      <w:r w:rsidR="000A214C" w:rsidRPr="00FA1334">
        <w:rPr>
          <w:rFonts w:ascii="Times New Roman" w:hAnsi="Times New Roman" w:cs="Times New Roman"/>
        </w:rPr>
        <w:t xml:space="preserve"> identified</w:t>
      </w:r>
      <w:r w:rsidR="00040A8C" w:rsidRPr="00FA1334">
        <w:rPr>
          <w:rFonts w:ascii="Times New Roman" w:hAnsi="Times New Roman" w:cs="Times New Roman"/>
        </w:rPr>
        <w:t xml:space="preserve"> it as low risk. </w:t>
      </w:r>
      <w:r w:rsidR="003726F3" w:rsidRPr="00FA1334">
        <w:rPr>
          <w:rFonts w:ascii="Times New Roman" w:hAnsi="Times New Roman" w:cs="Times New Roman"/>
        </w:rPr>
        <w:t xml:space="preserve">Related to this qualitative approach a study by </w:t>
      </w:r>
      <w:r w:rsidR="003726F3" w:rsidRPr="00FA1334">
        <w:rPr>
          <w:rFonts w:ascii="Times New Roman" w:hAnsi="Times New Roman" w:cs="Times New Roman"/>
          <w:noProof/>
        </w:rPr>
        <w:t>(Moss et al. 2011)</w:t>
      </w:r>
      <w:r w:rsidR="003726F3" w:rsidRPr="00FA1334">
        <w:rPr>
          <w:rFonts w:ascii="Times New Roman" w:hAnsi="Times New Roman" w:cs="Times New Roman"/>
        </w:rPr>
        <w:t xml:space="preserve"> examined both the WGI and FSI scores of key suppliers in order to assign a qualitative (High-Mid-Low) score for </w:t>
      </w:r>
      <w:r w:rsidR="003726F3" w:rsidRPr="00FA1334">
        <w:rPr>
          <w:rFonts w:ascii="Times New Roman" w:hAnsi="Times New Roman" w:cs="Times New Roman"/>
        </w:rPr>
        <w:lastRenderedPageBreak/>
        <w:t>a metal’s political risk. Assessment using either indicator</w:t>
      </w:r>
      <w:r w:rsidR="004455EE" w:rsidRPr="00FA1334">
        <w:rPr>
          <w:rFonts w:ascii="Times New Roman" w:hAnsi="Times New Roman" w:cs="Times New Roman"/>
        </w:rPr>
        <w:t>,</w:t>
      </w:r>
      <w:r w:rsidR="003726F3" w:rsidRPr="00FA1334">
        <w:rPr>
          <w:rFonts w:ascii="Times New Roman" w:hAnsi="Times New Roman" w:cs="Times New Roman"/>
        </w:rPr>
        <w:t xml:space="preserve"> </w:t>
      </w:r>
      <w:r w:rsidR="004455EE" w:rsidRPr="00FA1334">
        <w:rPr>
          <w:rFonts w:ascii="Times New Roman" w:hAnsi="Times New Roman" w:cs="Times New Roman"/>
        </w:rPr>
        <w:t xml:space="preserve">as evidenced in their poor rankings, </w:t>
      </w:r>
      <w:r w:rsidR="003726F3" w:rsidRPr="00FA1334">
        <w:rPr>
          <w:rFonts w:ascii="Times New Roman" w:hAnsi="Times New Roman" w:cs="Times New Roman"/>
        </w:rPr>
        <w:t>highlighte</w:t>
      </w:r>
      <w:r w:rsidR="004D4C54" w:rsidRPr="00FA1334">
        <w:rPr>
          <w:rFonts w:ascii="Times New Roman" w:hAnsi="Times New Roman" w:cs="Times New Roman"/>
        </w:rPr>
        <w:t xml:space="preserve">d both Indonesia and Russia </w:t>
      </w:r>
      <w:r w:rsidR="003726F3" w:rsidRPr="00FA1334">
        <w:rPr>
          <w:rFonts w:ascii="Times New Roman" w:hAnsi="Times New Roman" w:cs="Times New Roman"/>
        </w:rPr>
        <w:t>as representing a substantial share of world nickel supply and</w:t>
      </w:r>
      <w:r w:rsidR="004455EE" w:rsidRPr="00FA1334">
        <w:rPr>
          <w:rFonts w:ascii="Times New Roman" w:hAnsi="Times New Roman" w:cs="Times New Roman"/>
        </w:rPr>
        <w:t xml:space="preserve"> thus posing some long term risk. Therefore agreeing with the study from BGS. </w:t>
      </w:r>
      <w:r w:rsidR="00040A8C" w:rsidRPr="00FA1334">
        <w:rPr>
          <w:rFonts w:ascii="Times New Roman" w:hAnsi="Times New Roman" w:cs="Times New Roman"/>
        </w:rPr>
        <w:t>The inclusion of geopolitical risk is essential in assessing supply risk. However, its consideration and usage of the WGI, is not particularly effective in longer-term assessments, and may not take into account, some of the more sensitive effects such as sudden political shifts.</w:t>
      </w:r>
    </w:p>
    <w:p w:rsidR="0052674C" w:rsidRPr="00FA1334" w:rsidRDefault="000A214C" w:rsidP="00241446">
      <w:pPr>
        <w:spacing w:after="0" w:line="360" w:lineRule="auto"/>
        <w:ind w:firstLine="720"/>
        <w:jc w:val="both"/>
        <w:rPr>
          <w:rFonts w:ascii="Times New Roman" w:hAnsi="Times New Roman" w:cs="Times New Roman"/>
        </w:rPr>
      </w:pPr>
      <w:r w:rsidRPr="00FA1334">
        <w:rPr>
          <w:rFonts w:ascii="Times New Roman" w:hAnsi="Times New Roman" w:cs="Times New Roman"/>
        </w:rPr>
        <w:t>Regarding p</w:t>
      </w:r>
      <w:r w:rsidR="00040A8C" w:rsidRPr="00FA1334">
        <w:rPr>
          <w:rFonts w:ascii="Times New Roman" w:hAnsi="Times New Roman" w:cs="Times New Roman"/>
        </w:rPr>
        <w:t>olicy and regulation</w:t>
      </w:r>
      <w:r w:rsidR="001907E1" w:rsidRPr="00FA1334">
        <w:rPr>
          <w:rFonts w:ascii="Times New Roman" w:hAnsi="Times New Roman" w:cs="Times New Roman"/>
        </w:rPr>
        <w:t xml:space="preserve"> indicators</w:t>
      </w:r>
      <w:r w:rsidRPr="00FA1334">
        <w:rPr>
          <w:rFonts w:ascii="Times New Roman" w:hAnsi="Times New Roman" w:cs="Times New Roman"/>
        </w:rPr>
        <w:t>, these</w:t>
      </w:r>
      <w:r w:rsidR="001907E1" w:rsidRPr="00FA1334">
        <w:rPr>
          <w:rFonts w:ascii="Times New Roman" w:hAnsi="Times New Roman" w:cs="Times New Roman"/>
        </w:rPr>
        <w:t xml:space="preserve"> assess</w:t>
      </w:r>
      <w:r w:rsidR="00040A8C" w:rsidRPr="00FA1334">
        <w:rPr>
          <w:rFonts w:ascii="Times New Roman" w:hAnsi="Times New Roman" w:cs="Times New Roman"/>
        </w:rPr>
        <w:t xml:space="preserve"> the risk that existing national policies may pose</w:t>
      </w:r>
      <w:r w:rsidR="002F1201" w:rsidRPr="00FA1334">
        <w:rPr>
          <w:rFonts w:ascii="Times New Roman" w:hAnsi="Times New Roman" w:cs="Times New Roman"/>
        </w:rPr>
        <w:t xml:space="preserve"> especially</w:t>
      </w:r>
      <w:r w:rsidR="00040A8C" w:rsidRPr="00FA1334">
        <w:rPr>
          <w:rFonts w:ascii="Times New Roman" w:hAnsi="Times New Roman" w:cs="Times New Roman"/>
        </w:rPr>
        <w:t xml:space="preserve"> to</w:t>
      </w:r>
      <w:r w:rsidR="002F1201" w:rsidRPr="00FA1334">
        <w:rPr>
          <w:rFonts w:ascii="Times New Roman" w:hAnsi="Times New Roman" w:cs="Times New Roman"/>
        </w:rPr>
        <w:t xml:space="preserve"> activities such as</w:t>
      </w:r>
      <w:r w:rsidRPr="00FA1334">
        <w:rPr>
          <w:rFonts w:ascii="Times New Roman" w:hAnsi="Times New Roman" w:cs="Times New Roman"/>
        </w:rPr>
        <w:t xml:space="preserve"> mining. These indicators</w:t>
      </w:r>
      <w:r w:rsidR="001907E1" w:rsidRPr="00FA1334">
        <w:rPr>
          <w:rFonts w:ascii="Times New Roman" w:hAnsi="Times New Roman" w:cs="Times New Roman"/>
        </w:rPr>
        <w:t xml:space="preserve"> also take</w:t>
      </w:r>
      <w:r w:rsidR="00040A8C" w:rsidRPr="00FA1334">
        <w:rPr>
          <w:rFonts w:ascii="Times New Roman" w:hAnsi="Times New Roman" w:cs="Times New Roman"/>
        </w:rPr>
        <w:t xml:space="preserve"> into consideration public opposition to these policies usually in the form of perceived negative environmenta</w:t>
      </w:r>
      <w:r w:rsidR="001907E1" w:rsidRPr="00FA1334">
        <w:rPr>
          <w:rFonts w:ascii="Times New Roman" w:hAnsi="Times New Roman" w:cs="Times New Roman"/>
        </w:rPr>
        <w:t>l or socio-economic effects. Out of the 10</w:t>
      </w:r>
      <w:r w:rsidR="00040A8C" w:rsidRPr="00FA1334">
        <w:rPr>
          <w:rFonts w:ascii="Times New Roman" w:hAnsi="Times New Roman" w:cs="Times New Roman"/>
        </w:rPr>
        <w:t xml:space="preserve"> studies</w:t>
      </w:r>
      <w:r w:rsidR="001907E1" w:rsidRPr="00FA1334">
        <w:rPr>
          <w:rFonts w:ascii="Times New Roman" w:hAnsi="Times New Roman" w:cs="Times New Roman"/>
        </w:rPr>
        <w:t>, 7 did not</w:t>
      </w:r>
      <w:r w:rsidR="00040A8C" w:rsidRPr="00FA1334">
        <w:rPr>
          <w:rFonts w:ascii="Times New Roman" w:hAnsi="Times New Roman" w:cs="Times New Roman"/>
        </w:rPr>
        <w:t xml:space="preserve"> consider an indicator for policy and regulation</w:t>
      </w:r>
      <w:r w:rsidR="001907E1" w:rsidRPr="00FA1334">
        <w:rPr>
          <w:rFonts w:ascii="Times New Roman" w:hAnsi="Times New Roman" w:cs="Times New Roman"/>
        </w:rPr>
        <w:t xml:space="preserve">. With the 3 </w:t>
      </w:r>
      <w:r w:rsidRPr="00FA1334">
        <w:rPr>
          <w:rFonts w:ascii="Times New Roman" w:hAnsi="Times New Roman" w:cs="Times New Roman"/>
        </w:rPr>
        <w:t xml:space="preserve">outstanding </w:t>
      </w:r>
      <w:r w:rsidR="001907E1" w:rsidRPr="00FA1334">
        <w:rPr>
          <w:rFonts w:ascii="Times New Roman" w:hAnsi="Times New Roman" w:cs="Times New Roman"/>
        </w:rPr>
        <w:t>studies that did, the</w:t>
      </w:r>
      <w:r w:rsidRPr="00FA1334">
        <w:rPr>
          <w:rFonts w:ascii="Times New Roman" w:hAnsi="Times New Roman" w:cs="Times New Roman"/>
        </w:rPr>
        <w:t xml:space="preserve"> policy and regulation</w:t>
      </w:r>
      <w:r w:rsidR="001907E1" w:rsidRPr="00FA1334">
        <w:rPr>
          <w:rFonts w:ascii="Times New Roman" w:hAnsi="Times New Roman" w:cs="Times New Roman"/>
        </w:rPr>
        <w:t xml:space="preserve"> indicators varied from being qualitative</w:t>
      </w:r>
      <w:r w:rsidR="00040A8C" w:rsidRPr="00FA1334">
        <w:rPr>
          <w:rFonts w:ascii="Times New Roman" w:hAnsi="Times New Roman" w:cs="Times New Roman"/>
        </w:rPr>
        <w:t xml:space="preserve"> </w:t>
      </w:r>
      <w:r w:rsidR="00BF7E31" w:rsidRPr="00FA1334">
        <w:rPr>
          <w:rFonts w:ascii="Times New Roman" w:hAnsi="Times New Roman" w:cs="Times New Roman"/>
          <w:noProof/>
        </w:rPr>
        <w:t>(</w:t>
      </w:r>
      <w:r w:rsidR="00BF7E31" w:rsidRPr="00FA1334">
        <w:rPr>
          <w:rFonts w:ascii="Times New Roman" w:eastAsia="Calibri" w:hAnsi="Times New Roman" w:cs="Times New Roman"/>
          <w:noProof/>
        </w:rPr>
        <w:t>Bauer et al 2011</w:t>
      </w:r>
      <w:r w:rsidR="001907E1" w:rsidRPr="00FA1334">
        <w:rPr>
          <w:rFonts w:ascii="Times New Roman" w:hAnsi="Times New Roman" w:cs="Times New Roman"/>
          <w:noProof/>
        </w:rPr>
        <w:t>)</w:t>
      </w:r>
      <w:r w:rsidR="001907E1" w:rsidRPr="00FA1334">
        <w:rPr>
          <w:rFonts w:ascii="Times New Roman" w:hAnsi="Times New Roman" w:cs="Times New Roman"/>
        </w:rPr>
        <w:t xml:space="preserve"> or quantitative </w:t>
      </w:r>
      <w:r w:rsidR="001907E1" w:rsidRPr="00FA1334">
        <w:rPr>
          <w:rFonts w:ascii="Times New Roman" w:hAnsi="Times New Roman" w:cs="Times New Roman"/>
          <w:noProof/>
        </w:rPr>
        <w:t>(Graedel et al. 2012; National Research Council 2008)</w:t>
      </w:r>
      <w:r w:rsidR="00040A8C" w:rsidRPr="00FA1334">
        <w:rPr>
          <w:rFonts w:ascii="Times New Roman" w:hAnsi="Times New Roman" w:cs="Times New Roman"/>
        </w:rPr>
        <w:t xml:space="preserve">. </w:t>
      </w:r>
    </w:p>
    <w:p w:rsidR="00040A8C" w:rsidRPr="00FA1334" w:rsidRDefault="000A214C" w:rsidP="00D42F0C">
      <w:pPr>
        <w:spacing w:after="0" w:line="360" w:lineRule="auto"/>
        <w:ind w:firstLine="720"/>
        <w:jc w:val="both"/>
        <w:rPr>
          <w:rFonts w:ascii="Times New Roman" w:eastAsia="Calibri" w:hAnsi="Times New Roman"/>
        </w:rPr>
      </w:pPr>
      <w:r w:rsidRPr="00FA1334">
        <w:rPr>
          <w:rFonts w:ascii="Times New Roman" w:hAnsi="Times New Roman" w:cs="Times New Roman"/>
        </w:rPr>
        <w:t>With respect to quantitative,</w:t>
      </w:r>
      <w:r w:rsidRPr="00FA1334">
        <w:rPr>
          <w:rFonts w:ascii="Times New Roman" w:hAnsi="Times New Roman" w:cs="Times New Roman"/>
          <w:iCs/>
        </w:rPr>
        <w:t xml:space="preserve"> </w:t>
      </w:r>
      <w:r w:rsidRPr="00FA1334">
        <w:rPr>
          <w:rFonts w:ascii="Times New Roman" w:hAnsi="Times New Roman" w:cs="Times New Roman"/>
        </w:rPr>
        <w:t>q</w:t>
      </w:r>
      <w:r w:rsidR="00040A8C" w:rsidRPr="00FA1334">
        <w:rPr>
          <w:rFonts w:ascii="Times New Roman" w:hAnsi="Times New Roman" w:cs="Times New Roman"/>
        </w:rPr>
        <w:t xml:space="preserve">uantification </w:t>
      </w:r>
      <w:r w:rsidRPr="00FA1334">
        <w:rPr>
          <w:rFonts w:ascii="Times New Roman" w:hAnsi="Times New Roman" w:cs="Times New Roman"/>
        </w:rPr>
        <w:t xml:space="preserve">of this factor </w:t>
      </w:r>
      <w:r w:rsidR="00D42F0C" w:rsidRPr="00FA1334">
        <w:rPr>
          <w:rFonts w:ascii="Times New Roman" w:hAnsi="Times New Roman" w:cs="Times New Roman"/>
        </w:rPr>
        <w:t xml:space="preserve">in the study by </w:t>
      </w:r>
      <w:r w:rsidR="00D42F0C" w:rsidRPr="00FA1334">
        <w:rPr>
          <w:rStyle w:val="ReferenceChar"/>
          <w:noProof/>
          <w:color w:val="auto"/>
        </w:rPr>
        <w:t>(National Research Council 2008)</w:t>
      </w:r>
      <w:r w:rsidRPr="00FA1334">
        <w:rPr>
          <w:rFonts w:ascii="Times New Roman" w:hAnsi="Times New Roman" w:cs="Times New Roman"/>
        </w:rPr>
        <w:t xml:space="preserve"> employed</w:t>
      </w:r>
      <w:r w:rsidR="001907E1" w:rsidRPr="00FA1334">
        <w:rPr>
          <w:rFonts w:ascii="Times New Roman" w:hAnsi="Times New Roman" w:cs="Times New Roman"/>
        </w:rPr>
        <w:t xml:space="preserve"> the use of a</w:t>
      </w:r>
      <w:r w:rsidR="00040A8C" w:rsidRPr="00FA1334">
        <w:rPr>
          <w:rFonts w:ascii="Times New Roman" w:hAnsi="Times New Roman" w:cs="Times New Roman"/>
        </w:rPr>
        <w:t xml:space="preserve"> metric produced by the Fraser Institute called the Policy Potential Index (PPI). </w:t>
      </w:r>
      <w:r w:rsidR="001907E1" w:rsidRPr="00FA1334">
        <w:rPr>
          <w:rFonts w:ascii="Times New Roman" w:hAnsi="Times New Roman" w:cs="Times New Roman"/>
          <w:iCs/>
        </w:rPr>
        <w:t>This</w:t>
      </w:r>
      <w:r w:rsidR="00040A8C" w:rsidRPr="00FA1334">
        <w:rPr>
          <w:rFonts w:ascii="Times New Roman" w:hAnsi="Times New Roman" w:cs="Times New Roman"/>
          <w:iCs/>
        </w:rPr>
        <w:t xml:space="preserve"> index evaluates a broad range of g</w:t>
      </w:r>
      <w:r w:rsidR="00040A8C" w:rsidRPr="00FA1334">
        <w:rPr>
          <w:rFonts w:ascii="Times New Roman" w:hAnsi="Times New Roman" w:cs="Times New Roman"/>
        </w:rPr>
        <w:t xml:space="preserve">overnmental and non-governmental issues (e.g. taxation, geological database, security) that affect mining investments and potential exploration. </w:t>
      </w:r>
      <w:r w:rsidR="00040A8C" w:rsidRPr="00FA1334">
        <w:rPr>
          <w:rFonts w:ascii="Times New Roman" w:hAnsi="Times New Roman" w:cs="Times New Roman"/>
          <w:iCs/>
        </w:rPr>
        <w:t>The</w:t>
      </w:r>
      <w:r w:rsidR="00040A8C" w:rsidRPr="00FA1334">
        <w:rPr>
          <w:rFonts w:ascii="Times New Roman" w:hAnsi="Times New Roman" w:cs="Times New Roman"/>
          <w:i/>
          <w:iCs/>
        </w:rPr>
        <w:t xml:space="preserve"> </w:t>
      </w:r>
      <w:r w:rsidR="00040A8C" w:rsidRPr="00FA1334">
        <w:rPr>
          <w:rFonts w:ascii="Times New Roman" w:hAnsi="Times New Roman" w:cs="Times New Roman"/>
          <w:iCs/>
        </w:rPr>
        <w:t xml:space="preserve">results are compiled into a single score for each jurisdiction with a perfect score of 100 meaning that a jurisdiction is perceived to be best in all measured aspects of public policy. A score of 0 means it is the worst in all categories. </w:t>
      </w:r>
      <w:r w:rsidR="00040A8C" w:rsidRPr="00FA1334">
        <w:rPr>
          <w:rFonts w:ascii="Times New Roman" w:hAnsi="Times New Roman" w:cs="Times New Roman"/>
        </w:rPr>
        <w:t>The Fraser Institute also produced two other complementary</w:t>
      </w:r>
      <w:r w:rsidR="001907E1" w:rsidRPr="00FA1334">
        <w:rPr>
          <w:rFonts w:ascii="Times New Roman" w:hAnsi="Times New Roman" w:cs="Times New Roman"/>
        </w:rPr>
        <w:t xml:space="preserve"> metrics</w:t>
      </w:r>
      <w:r w:rsidR="00040A8C" w:rsidRPr="00FA1334">
        <w:rPr>
          <w:rFonts w:ascii="Times New Roman" w:hAnsi="Times New Roman" w:cs="Times New Roman"/>
        </w:rPr>
        <w:t xml:space="preserve"> to PPI, called the Current Mineral Potential Index (CMPI) and the Best Practices Mineral Potential Index (BPMPI). The CMPI measures the mineral potential of a certain region </w:t>
      </w:r>
      <w:r w:rsidR="00040A8C" w:rsidRPr="00FA1334">
        <w:rPr>
          <w:rFonts w:ascii="Times New Roman" w:hAnsi="Times New Roman" w:cs="Times New Roman"/>
          <w:shd w:val="clear" w:color="auto" w:fill="FAF8F6"/>
        </w:rPr>
        <w:t>and whether the current policy environment encourages or discourages exploration. The BPMPI measures whether poli</w:t>
      </w:r>
      <w:r w:rsidR="0052674C" w:rsidRPr="00FA1334">
        <w:rPr>
          <w:rFonts w:ascii="Times New Roman" w:hAnsi="Times New Roman" w:cs="Times New Roman"/>
          <w:shd w:val="clear" w:color="auto" w:fill="FAF8F6"/>
        </w:rPr>
        <w:t xml:space="preserve">cies conform to best practices </w:t>
      </w:r>
      <w:r w:rsidR="00040A8C" w:rsidRPr="00FA1334">
        <w:rPr>
          <w:rFonts w:ascii="Times New Roman" w:hAnsi="Times New Roman" w:cs="Times New Roman"/>
          <w:noProof/>
          <w:shd w:val="clear" w:color="auto" w:fill="FAF8F6"/>
        </w:rPr>
        <w:t>(McMahon &amp; Cervantes 2013)</w:t>
      </w:r>
      <w:r w:rsidR="0052674C" w:rsidRPr="00FA1334">
        <w:rPr>
          <w:rFonts w:ascii="Times New Roman" w:hAnsi="Times New Roman" w:cs="Times New Roman"/>
          <w:shd w:val="clear" w:color="auto" w:fill="FAF8F6"/>
        </w:rPr>
        <w:t>.</w:t>
      </w:r>
      <w:r w:rsidR="00040A8C" w:rsidRPr="00FA1334">
        <w:rPr>
          <w:rFonts w:ascii="Times New Roman" w:hAnsi="Times New Roman" w:cs="Times New Roman"/>
          <w:iCs/>
          <w:shd w:val="clear" w:color="auto" w:fill="FAF8F6"/>
        </w:rPr>
        <w:t xml:space="preserve"> </w:t>
      </w:r>
      <w:r w:rsidR="00040A8C" w:rsidRPr="00FA1334">
        <w:rPr>
          <w:rFonts w:ascii="Times New Roman" w:hAnsi="Times New Roman" w:cs="Times New Roman"/>
          <w:shd w:val="clear" w:color="auto" w:fill="FAF8F6"/>
        </w:rPr>
        <w:t>Additionally by subtracting the BPMI score from the CMP a room-for-improvement score is calculated. High</w:t>
      </w:r>
      <w:r w:rsidR="00212115">
        <w:rPr>
          <w:rFonts w:ascii="Times New Roman" w:hAnsi="Times New Roman" w:cs="Times New Roman"/>
          <w:shd w:val="clear" w:color="auto" w:fill="FAF8F6"/>
        </w:rPr>
        <w:t xml:space="preserve"> positive scores on this metric</w:t>
      </w:r>
      <w:r w:rsidR="00040A8C" w:rsidRPr="00FA1334">
        <w:rPr>
          <w:rFonts w:ascii="Times New Roman" w:hAnsi="Times New Roman" w:cs="Times New Roman"/>
          <w:shd w:val="clear" w:color="auto" w:fill="FAF8F6"/>
        </w:rPr>
        <w:t>, indicate that the jurisdiction is far from best practices. Apart from the latter, bot</w:t>
      </w:r>
      <w:r w:rsidR="00D42F0C" w:rsidRPr="00FA1334">
        <w:rPr>
          <w:rFonts w:ascii="Times New Roman" w:hAnsi="Times New Roman" w:cs="Times New Roman"/>
          <w:shd w:val="clear" w:color="auto" w:fill="FAF8F6"/>
        </w:rPr>
        <w:t>h CMPI and BPMPI were</w:t>
      </w:r>
      <w:r w:rsidR="001907E1" w:rsidRPr="00FA1334">
        <w:rPr>
          <w:rFonts w:ascii="Times New Roman" w:hAnsi="Times New Roman" w:cs="Times New Roman"/>
          <w:shd w:val="clear" w:color="auto" w:fill="FAF8F6"/>
        </w:rPr>
        <w:t xml:space="preserve"> used in </w:t>
      </w:r>
      <w:r w:rsidR="001907E1" w:rsidRPr="00FA1334">
        <w:rPr>
          <w:rFonts w:ascii="Times New Roman" w:hAnsi="Times New Roman" w:cs="Times New Roman"/>
          <w:noProof/>
          <w:shd w:val="clear" w:color="auto" w:fill="FAF8F6"/>
        </w:rPr>
        <w:t>(National Research Council 2008)</w:t>
      </w:r>
      <w:r w:rsidR="00040A8C" w:rsidRPr="00FA1334">
        <w:rPr>
          <w:rFonts w:ascii="Times New Roman" w:hAnsi="Times New Roman" w:cs="Times New Roman"/>
          <w:shd w:val="clear" w:color="auto" w:fill="FAF8F6"/>
        </w:rPr>
        <w:t xml:space="preserve"> study to ass</w:t>
      </w:r>
      <w:r w:rsidR="00D42F0C" w:rsidRPr="00FA1334">
        <w:rPr>
          <w:rFonts w:ascii="Times New Roman" w:hAnsi="Times New Roman" w:cs="Times New Roman"/>
          <w:shd w:val="clear" w:color="auto" w:fill="FAF8F6"/>
        </w:rPr>
        <w:t xml:space="preserve">ess policy and regulatory risk. However, </w:t>
      </w:r>
      <w:r w:rsidR="00040A8C" w:rsidRPr="00FA1334">
        <w:rPr>
          <w:rFonts w:ascii="Times New Roman" w:hAnsi="Times New Roman" w:cs="Times New Roman"/>
          <w:shd w:val="clear" w:color="auto" w:fill="FAF8F6"/>
        </w:rPr>
        <w:t>the weighting of these metrics in formulating the final criticality score is unclear.</w:t>
      </w:r>
    </w:p>
    <w:p w:rsidR="00040A8C" w:rsidRPr="00FA1334" w:rsidRDefault="0052674C" w:rsidP="00241446">
      <w:pPr>
        <w:spacing w:after="0" w:line="360" w:lineRule="auto"/>
        <w:ind w:firstLine="720"/>
        <w:contextualSpacing/>
        <w:jc w:val="both"/>
        <w:rPr>
          <w:rFonts w:ascii="Times New Roman" w:hAnsi="Times New Roman" w:cs="Times New Roman"/>
          <w:iCs/>
        </w:rPr>
      </w:pPr>
      <w:r w:rsidRPr="00FA1334">
        <w:rPr>
          <w:rFonts w:ascii="Times New Roman" w:hAnsi="Times New Roman" w:cs="Times New Roman"/>
          <w:iCs/>
        </w:rPr>
        <w:t xml:space="preserve">On the other hand, the study by </w:t>
      </w:r>
      <w:r w:rsidRPr="00FA1334">
        <w:rPr>
          <w:rFonts w:ascii="Times New Roman" w:hAnsi="Times New Roman" w:cs="Times New Roman"/>
          <w:iCs/>
          <w:noProof/>
        </w:rPr>
        <w:t>(Graedel et al. 2012)</w:t>
      </w:r>
      <w:r w:rsidR="00D42F0C" w:rsidRPr="00FA1334">
        <w:rPr>
          <w:rFonts w:ascii="Times New Roman" w:hAnsi="Times New Roman" w:cs="Times New Roman"/>
          <w:iCs/>
        </w:rPr>
        <w:t xml:space="preserve"> used</w:t>
      </w:r>
      <w:r w:rsidR="00040A8C" w:rsidRPr="00FA1334">
        <w:rPr>
          <w:rFonts w:ascii="Times New Roman" w:hAnsi="Times New Roman" w:cs="Times New Roman"/>
          <w:iCs/>
        </w:rPr>
        <w:t xml:space="preserve"> both the PPI along with the </w:t>
      </w:r>
      <w:r w:rsidR="00040A8C" w:rsidRPr="00FA1334">
        <w:rPr>
          <w:rFonts w:ascii="Times New Roman" w:hAnsi="Times New Roman" w:cs="Times New Roman"/>
        </w:rPr>
        <w:t>Human D</w:t>
      </w:r>
      <w:r w:rsidR="00D42F0C" w:rsidRPr="00FA1334">
        <w:rPr>
          <w:rFonts w:ascii="Times New Roman" w:hAnsi="Times New Roman" w:cs="Times New Roman"/>
        </w:rPr>
        <w:t>evelopment Index (HDI), which was</w:t>
      </w:r>
      <w:r w:rsidR="00040A8C" w:rsidRPr="00FA1334">
        <w:rPr>
          <w:rFonts w:ascii="Times New Roman" w:hAnsi="Times New Roman" w:cs="Times New Roman"/>
        </w:rPr>
        <w:t xml:space="preserve"> published by </w:t>
      </w:r>
      <w:r w:rsidR="00040A8C" w:rsidRPr="00FA1334">
        <w:rPr>
          <w:rFonts w:ascii="Times New Roman" w:hAnsi="Times New Roman" w:cs="Times New Roman"/>
          <w:iCs/>
        </w:rPr>
        <w:t xml:space="preserve">the United Nations Development Programme (UNDP). HDI evaluates the level of social progress of a country under the hypothesis that high levels of social progress correspond with a preference for human quality of life over intrusive industrial development, where those two goals appear to be in conflict. The HDI measures the performance of a country according to life expectancy, education and </w:t>
      </w:r>
      <w:r w:rsidR="00040A8C" w:rsidRPr="00FA1334">
        <w:rPr>
          <w:rFonts w:ascii="Times New Roman" w:hAnsi="Times New Roman" w:cs="Times New Roman"/>
        </w:rPr>
        <w:t>living standards (e.g. income per capita). PPI and HDI are weighted equally to give a score of 0-100 for the ‘Social and Regula</w:t>
      </w:r>
      <w:r w:rsidR="001907E1" w:rsidRPr="00FA1334">
        <w:rPr>
          <w:rFonts w:ascii="Times New Roman" w:hAnsi="Times New Roman" w:cs="Times New Roman"/>
        </w:rPr>
        <w:t xml:space="preserve">tory’ component of supply risk </w:t>
      </w:r>
      <w:r w:rsidR="001907E1" w:rsidRPr="00FA1334">
        <w:rPr>
          <w:rFonts w:ascii="Times New Roman" w:hAnsi="Times New Roman" w:cs="Times New Roman"/>
          <w:noProof/>
        </w:rPr>
        <w:t>(Graedel et al. 2012)</w:t>
      </w:r>
      <w:r w:rsidR="001907E1" w:rsidRPr="00FA1334">
        <w:rPr>
          <w:rFonts w:ascii="Times New Roman" w:hAnsi="Times New Roman" w:cs="Times New Roman"/>
        </w:rPr>
        <w:t>.</w:t>
      </w:r>
    </w:p>
    <w:p w:rsidR="00040A8C" w:rsidRPr="00FA1334" w:rsidRDefault="00D42F0C" w:rsidP="00241446">
      <w:pPr>
        <w:spacing w:after="0" w:line="360" w:lineRule="auto"/>
        <w:ind w:firstLine="720"/>
        <w:contextualSpacing/>
        <w:jc w:val="both"/>
        <w:rPr>
          <w:rFonts w:ascii="Times New Roman" w:hAnsi="Times New Roman" w:cs="Times New Roman"/>
        </w:rPr>
      </w:pPr>
      <w:r w:rsidRPr="00FA1334">
        <w:rPr>
          <w:rFonts w:ascii="Times New Roman" w:hAnsi="Times New Roman" w:cs="Times New Roman"/>
        </w:rPr>
        <w:t>Apart from</w:t>
      </w:r>
      <w:r w:rsidR="00040A8C" w:rsidRPr="00FA1334">
        <w:rPr>
          <w:rFonts w:ascii="Times New Roman" w:hAnsi="Times New Roman" w:cs="Times New Roman"/>
        </w:rPr>
        <w:t xml:space="preserve"> geopolitical avail</w:t>
      </w:r>
      <w:r w:rsidRPr="00FA1334">
        <w:rPr>
          <w:rFonts w:ascii="Times New Roman" w:hAnsi="Times New Roman" w:cs="Times New Roman"/>
        </w:rPr>
        <w:t>ability, risk to supply concentration was</w:t>
      </w:r>
      <w:r w:rsidR="00040A8C" w:rsidRPr="00FA1334">
        <w:rPr>
          <w:rFonts w:ascii="Times New Roman" w:hAnsi="Times New Roman" w:cs="Times New Roman"/>
        </w:rPr>
        <w:t xml:space="preserve"> the only other fa</w:t>
      </w:r>
      <w:r w:rsidR="0052674C" w:rsidRPr="00FA1334">
        <w:rPr>
          <w:rFonts w:ascii="Times New Roman" w:hAnsi="Times New Roman" w:cs="Times New Roman"/>
        </w:rPr>
        <w:t>ctor to be considered by all 10 studies</w:t>
      </w:r>
      <w:r w:rsidRPr="00FA1334">
        <w:rPr>
          <w:rFonts w:ascii="Times New Roman" w:hAnsi="Times New Roman" w:cs="Times New Roman"/>
        </w:rPr>
        <w:t xml:space="preserve">. </w:t>
      </w:r>
      <w:r w:rsidR="0052674C" w:rsidRPr="00FA1334">
        <w:rPr>
          <w:rFonts w:ascii="Times New Roman" w:hAnsi="Times New Roman" w:cs="Times New Roman"/>
        </w:rPr>
        <w:t>Although risk</w:t>
      </w:r>
      <w:r w:rsidR="00040A8C" w:rsidRPr="00FA1334">
        <w:rPr>
          <w:rFonts w:ascii="Times New Roman" w:hAnsi="Times New Roman" w:cs="Times New Roman"/>
        </w:rPr>
        <w:t xml:space="preserve"> to supply concentr</w:t>
      </w:r>
      <w:r w:rsidRPr="00FA1334">
        <w:rPr>
          <w:rFonts w:ascii="Times New Roman" w:hAnsi="Times New Roman" w:cs="Times New Roman"/>
        </w:rPr>
        <w:t>ation was</w:t>
      </w:r>
      <w:r w:rsidR="0052674C" w:rsidRPr="00FA1334">
        <w:rPr>
          <w:rFonts w:ascii="Times New Roman" w:hAnsi="Times New Roman" w:cs="Times New Roman"/>
        </w:rPr>
        <w:t xml:space="preserve"> considered for all 10</w:t>
      </w:r>
      <w:r w:rsidR="00040A8C" w:rsidRPr="00FA1334">
        <w:rPr>
          <w:rFonts w:ascii="Times New Roman" w:hAnsi="Times New Roman" w:cs="Times New Roman"/>
        </w:rPr>
        <w:t xml:space="preserve"> studies, </w:t>
      </w:r>
      <w:r w:rsidRPr="00FA1334">
        <w:rPr>
          <w:rFonts w:ascii="Times New Roman" w:hAnsi="Times New Roman" w:cs="Times New Roman"/>
        </w:rPr>
        <w:lastRenderedPageBreak/>
        <w:t>they were</w:t>
      </w:r>
      <w:r w:rsidR="0052674C" w:rsidRPr="00FA1334">
        <w:rPr>
          <w:rFonts w:ascii="Times New Roman" w:hAnsi="Times New Roman" w:cs="Times New Roman"/>
        </w:rPr>
        <w:t xml:space="preserve"> </w:t>
      </w:r>
      <w:r w:rsidRPr="00FA1334">
        <w:rPr>
          <w:rFonts w:ascii="Times New Roman" w:hAnsi="Times New Roman" w:cs="Times New Roman"/>
        </w:rPr>
        <w:t>reflected</w:t>
      </w:r>
      <w:r w:rsidR="0052674C" w:rsidRPr="00FA1334">
        <w:rPr>
          <w:rFonts w:ascii="Times New Roman" w:hAnsi="Times New Roman" w:cs="Times New Roman"/>
        </w:rPr>
        <w:t xml:space="preserve"> in alternative methods</w:t>
      </w:r>
      <w:r w:rsidR="00040A8C" w:rsidRPr="00FA1334">
        <w:rPr>
          <w:rFonts w:ascii="Times New Roman" w:hAnsi="Times New Roman" w:cs="Times New Roman"/>
        </w:rPr>
        <w:t xml:space="preserve">. </w:t>
      </w:r>
      <w:r w:rsidR="0052674C" w:rsidRPr="00FA1334">
        <w:rPr>
          <w:rFonts w:ascii="Times New Roman" w:hAnsi="Times New Roman" w:cs="Times New Roman"/>
        </w:rPr>
        <w:t>Several</w:t>
      </w:r>
      <w:r w:rsidR="00040A8C" w:rsidRPr="00FA1334">
        <w:rPr>
          <w:rFonts w:ascii="Times New Roman" w:hAnsi="Times New Roman" w:cs="Times New Roman"/>
        </w:rPr>
        <w:t xml:space="preserve"> studies, </w:t>
      </w:r>
      <w:r w:rsidR="00BF7E31" w:rsidRPr="00FA1334">
        <w:rPr>
          <w:rFonts w:ascii="Times New Roman" w:hAnsi="Times New Roman" w:cs="Times New Roman"/>
          <w:noProof/>
        </w:rPr>
        <w:t>(</w:t>
      </w:r>
      <w:r w:rsidR="00BF7E31" w:rsidRPr="00FA1334">
        <w:rPr>
          <w:rFonts w:ascii="Times New Roman" w:eastAsia="Calibri" w:hAnsi="Times New Roman" w:cs="Times New Roman"/>
          <w:noProof/>
        </w:rPr>
        <w:t>Bauer et al</w:t>
      </w:r>
      <w:r w:rsidR="0052674C" w:rsidRPr="00FA1334">
        <w:rPr>
          <w:rFonts w:ascii="Times New Roman" w:hAnsi="Times New Roman" w:cs="Times New Roman"/>
          <w:noProof/>
        </w:rPr>
        <w:t xml:space="preserve"> 2011; Buchert 2009; NRC 2008)</w:t>
      </w:r>
      <w:r w:rsidR="0052674C" w:rsidRPr="00FA1334">
        <w:rPr>
          <w:rFonts w:ascii="Times New Roman" w:hAnsi="Times New Roman" w:cs="Times New Roman"/>
        </w:rPr>
        <w:t xml:space="preserve"> </w:t>
      </w:r>
      <w:r w:rsidR="00040A8C" w:rsidRPr="00FA1334">
        <w:rPr>
          <w:rFonts w:ascii="Times New Roman" w:hAnsi="Times New Roman" w:cs="Times New Roman"/>
        </w:rPr>
        <w:t>merely allocate a score based on the number of supplying</w:t>
      </w:r>
      <w:r w:rsidRPr="00FA1334">
        <w:rPr>
          <w:rFonts w:ascii="Times New Roman" w:hAnsi="Times New Roman" w:cs="Times New Roman"/>
        </w:rPr>
        <w:t xml:space="preserve"> countries reported in an annual mineral commodity s</w:t>
      </w:r>
      <w:r w:rsidR="006C03EB" w:rsidRPr="00FA1334">
        <w:rPr>
          <w:rFonts w:ascii="Times New Roman" w:hAnsi="Times New Roman" w:cs="Times New Roman"/>
        </w:rPr>
        <w:t>ummary report by</w:t>
      </w:r>
      <w:r w:rsidRPr="00FA1334">
        <w:rPr>
          <w:rFonts w:ascii="Times New Roman" w:hAnsi="Times New Roman" w:cs="Times New Roman"/>
        </w:rPr>
        <w:t xml:space="preserve"> the</w:t>
      </w:r>
      <w:r w:rsidR="0052674C" w:rsidRPr="00FA1334">
        <w:rPr>
          <w:rFonts w:ascii="Times New Roman" w:hAnsi="Times New Roman" w:cs="Times New Roman"/>
        </w:rPr>
        <w:t xml:space="preserve"> </w:t>
      </w:r>
      <w:r w:rsidR="00067D61" w:rsidRPr="00FA1334">
        <w:rPr>
          <w:rFonts w:ascii="Times New Roman" w:hAnsi="Times New Roman" w:cs="Times New Roman"/>
          <w:noProof/>
        </w:rPr>
        <w:t>(USGS 2012)</w:t>
      </w:r>
      <w:r w:rsidR="00040A8C" w:rsidRPr="00FA1334">
        <w:rPr>
          <w:rFonts w:ascii="Times New Roman" w:hAnsi="Times New Roman" w:cs="Times New Roman"/>
        </w:rPr>
        <w:t xml:space="preserve">. Other studies </w:t>
      </w:r>
      <w:r w:rsidR="002841A7" w:rsidRPr="00FA1334">
        <w:rPr>
          <w:rFonts w:ascii="Times New Roman" w:hAnsi="Times New Roman" w:cs="Times New Roman"/>
          <w:noProof/>
        </w:rPr>
        <w:t>(European Commission 2014; Graedel et al. 2012)</w:t>
      </w:r>
      <w:r w:rsidR="00040A8C" w:rsidRPr="00FA1334">
        <w:rPr>
          <w:rFonts w:ascii="Times New Roman" w:hAnsi="Times New Roman" w:cs="Times New Roman"/>
        </w:rPr>
        <w:t xml:space="preserve"> </w:t>
      </w:r>
      <w:r w:rsidRPr="00FA1334">
        <w:rPr>
          <w:rFonts w:ascii="Times New Roman" w:hAnsi="Times New Roman" w:cs="Times New Roman"/>
        </w:rPr>
        <w:t>mad</w:t>
      </w:r>
      <w:r w:rsidR="006C03EB" w:rsidRPr="00FA1334">
        <w:rPr>
          <w:rFonts w:ascii="Times New Roman" w:hAnsi="Times New Roman" w:cs="Times New Roman"/>
        </w:rPr>
        <w:t xml:space="preserve">e </w:t>
      </w:r>
      <w:r w:rsidR="00040A8C" w:rsidRPr="00FA1334">
        <w:rPr>
          <w:rFonts w:ascii="Times New Roman" w:hAnsi="Times New Roman" w:cs="Times New Roman"/>
        </w:rPr>
        <w:t>use</w:t>
      </w:r>
      <w:r w:rsidR="006C03EB" w:rsidRPr="00FA1334">
        <w:rPr>
          <w:rFonts w:ascii="Times New Roman" w:hAnsi="Times New Roman" w:cs="Times New Roman"/>
        </w:rPr>
        <w:t xml:space="preserve"> of</w:t>
      </w:r>
      <w:r w:rsidR="00040A8C" w:rsidRPr="00FA1334">
        <w:rPr>
          <w:rFonts w:ascii="Times New Roman" w:hAnsi="Times New Roman" w:cs="Times New Roman"/>
        </w:rPr>
        <w:t xml:space="preserve"> the </w:t>
      </w:r>
      <w:proofErr w:type="spellStart"/>
      <w:r w:rsidR="00040A8C" w:rsidRPr="00FA1334">
        <w:rPr>
          <w:rFonts w:ascii="Times New Roman" w:hAnsi="Times New Roman" w:cs="Times New Roman"/>
        </w:rPr>
        <w:t>Herfindahl</w:t>
      </w:r>
      <w:proofErr w:type="spellEnd"/>
      <w:r w:rsidR="00040A8C" w:rsidRPr="00FA1334">
        <w:rPr>
          <w:rFonts w:ascii="Times New Roman" w:hAnsi="Times New Roman" w:cs="Times New Roman"/>
        </w:rPr>
        <w:t>-Hirschman index (HHI), which is a metric commonly used to measure market concentration. The HHI is calculated by summing the squares of each source country‘s annual production (mining, refining, or smelting) share, so a higher HHI indicates a more concentrated market.</w:t>
      </w:r>
    </w:p>
    <w:p w:rsidR="00040A8C" w:rsidRDefault="00AD445E" w:rsidP="00241446">
      <w:pPr>
        <w:spacing w:after="0" w:line="360" w:lineRule="auto"/>
        <w:ind w:firstLine="720"/>
        <w:contextualSpacing/>
        <w:jc w:val="both"/>
        <w:rPr>
          <w:rFonts w:ascii="Times New Roman" w:hAnsi="Times New Roman" w:cs="Times New Roman"/>
        </w:rPr>
      </w:pPr>
      <w:r w:rsidRPr="00FA1334">
        <w:rPr>
          <w:rFonts w:ascii="Times New Roman" w:hAnsi="Times New Roman" w:cs="Times New Roman"/>
        </w:rPr>
        <w:t>Additionally, i</w:t>
      </w:r>
      <w:r w:rsidR="00040A8C" w:rsidRPr="00FA1334">
        <w:rPr>
          <w:rFonts w:ascii="Times New Roman" w:hAnsi="Times New Roman" w:cs="Times New Roman"/>
        </w:rPr>
        <w:t xml:space="preserve">nclusion </w:t>
      </w:r>
      <w:r w:rsidRPr="00FA1334">
        <w:rPr>
          <w:rFonts w:ascii="Times New Roman" w:hAnsi="Times New Roman" w:cs="Times New Roman"/>
        </w:rPr>
        <w:t>of risk to supply concentration</w:t>
      </w:r>
      <w:r w:rsidR="00040A8C" w:rsidRPr="00FA1334">
        <w:rPr>
          <w:rFonts w:ascii="Times New Roman" w:hAnsi="Times New Roman" w:cs="Times New Roman"/>
        </w:rPr>
        <w:t>, should</w:t>
      </w:r>
      <w:r w:rsidRPr="00FA1334">
        <w:rPr>
          <w:rFonts w:ascii="Times New Roman" w:hAnsi="Times New Roman" w:cs="Times New Roman"/>
        </w:rPr>
        <w:t xml:space="preserve"> also</w:t>
      </w:r>
      <w:r w:rsidR="00040A8C" w:rsidRPr="00FA1334">
        <w:rPr>
          <w:rFonts w:ascii="Times New Roman" w:hAnsi="Times New Roman" w:cs="Times New Roman"/>
        </w:rPr>
        <w:t xml:space="preserve"> factor in</w:t>
      </w:r>
      <w:r w:rsidR="00040A8C" w:rsidRPr="00FA1334">
        <w:rPr>
          <w:rFonts w:ascii="Times New Roman" w:hAnsi="Times New Roman" w:cs="Times New Roman"/>
          <w:sz w:val="23"/>
          <w:szCs w:val="23"/>
        </w:rPr>
        <w:t xml:space="preserve"> that </w:t>
      </w:r>
      <w:r w:rsidR="00040A8C" w:rsidRPr="00FA1334">
        <w:rPr>
          <w:rFonts w:ascii="Times New Roman" w:hAnsi="Times New Roman" w:cs="Times New Roman"/>
        </w:rPr>
        <w:t>production concentration may change over time. This is particular</w:t>
      </w:r>
      <w:r w:rsidR="00212115">
        <w:rPr>
          <w:rFonts w:ascii="Times New Roman" w:hAnsi="Times New Roman" w:cs="Times New Roman"/>
        </w:rPr>
        <w:t>ly</w:t>
      </w:r>
      <w:r w:rsidR="00040A8C" w:rsidRPr="00FA1334">
        <w:rPr>
          <w:rFonts w:ascii="Times New Roman" w:hAnsi="Times New Roman" w:cs="Times New Roman"/>
        </w:rPr>
        <w:t xml:space="preserve"> significant, if the distribution of reserves of a metal differs from its production distribution</w:t>
      </w:r>
      <w:r w:rsidR="00212115">
        <w:rPr>
          <w:rFonts w:ascii="Times New Roman" w:hAnsi="Times New Roman" w:cs="Times New Roman"/>
        </w:rPr>
        <w:t>,</w:t>
      </w:r>
      <w:r w:rsidR="00040A8C" w:rsidRPr="00FA1334">
        <w:rPr>
          <w:rFonts w:ascii="Times New Roman" w:hAnsi="Times New Roman" w:cs="Times New Roman"/>
        </w:rPr>
        <w:t xml:space="preserve"> as is the case of materials for low-carbon ene</w:t>
      </w:r>
      <w:r w:rsidR="00212115">
        <w:rPr>
          <w:rFonts w:ascii="Times New Roman" w:hAnsi="Times New Roman" w:cs="Times New Roman"/>
        </w:rPr>
        <w:t xml:space="preserve">rgy technologies. For instance: </w:t>
      </w:r>
      <w:r w:rsidR="00040A8C" w:rsidRPr="00FA1334">
        <w:rPr>
          <w:rFonts w:ascii="Times New Roman" w:hAnsi="Times New Roman" w:cs="Times New Roman"/>
        </w:rPr>
        <w:t xml:space="preserve">Lithium and REEs are examples of metals with reserves more widely distributed than their production </w:t>
      </w:r>
      <w:r w:rsidR="00241446" w:rsidRPr="00FA1334">
        <w:rPr>
          <w:rFonts w:ascii="Times New Roman" w:hAnsi="Times New Roman" w:cs="Times New Roman"/>
          <w:noProof/>
        </w:rPr>
        <w:t>(Gruber et al. 2011; Parthemore 2011; Kara et al. 2010)</w:t>
      </w:r>
      <w:r w:rsidR="00040A8C" w:rsidRPr="00FA1334">
        <w:rPr>
          <w:rFonts w:ascii="Times New Roman" w:hAnsi="Times New Roman" w:cs="Times New Roman"/>
        </w:rPr>
        <w:t>. Therefore, it can be assumed with some certainty that the supply concentration of these metals will change in the future. Thus critically assessment involving</w:t>
      </w:r>
      <w:r w:rsidR="00381525">
        <w:rPr>
          <w:rFonts w:ascii="Times New Roman" w:hAnsi="Times New Roman" w:cs="Times New Roman"/>
        </w:rPr>
        <w:t xml:space="preserve"> such metals should be correctly</w:t>
      </w:r>
      <w:r w:rsidR="00040A8C" w:rsidRPr="00FA1334">
        <w:rPr>
          <w:rFonts w:ascii="Times New Roman" w:hAnsi="Times New Roman" w:cs="Times New Roman"/>
        </w:rPr>
        <w:t xml:space="preserve"> adjusted for any foreseeable future changes. </w:t>
      </w:r>
      <w:r w:rsidR="00241446" w:rsidRPr="00FA1334">
        <w:rPr>
          <w:rFonts w:ascii="Times New Roman" w:hAnsi="Times New Roman" w:cs="Times New Roman"/>
        </w:rPr>
        <w:t>This done to</w:t>
      </w:r>
      <w:r w:rsidR="00040A8C" w:rsidRPr="00FA1334">
        <w:rPr>
          <w:rFonts w:ascii="Times New Roman" w:hAnsi="Times New Roman" w:cs="Times New Roman"/>
        </w:rPr>
        <w:t xml:space="preserve"> vary</w:t>
      </w:r>
      <w:r w:rsidR="00241446" w:rsidRPr="00FA1334">
        <w:rPr>
          <w:rFonts w:ascii="Times New Roman" w:hAnsi="Times New Roman" w:cs="Times New Roman"/>
        </w:rPr>
        <w:t xml:space="preserve">ing </w:t>
      </w:r>
      <w:r w:rsidR="00FA1334">
        <w:rPr>
          <w:rFonts w:ascii="Times New Roman" w:hAnsi="Times New Roman" w:cs="Times New Roman"/>
        </w:rPr>
        <w:t xml:space="preserve">depths in the following studies: </w:t>
      </w:r>
      <w:r w:rsidR="002841A7" w:rsidRPr="00FA1334">
        <w:rPr>
          <w:rFonts w:ascii="Times New Roman" w:hAnsi="Times New Roman" w:cs="Times New Roman"/>
          <w:noProof/>
        </w:rPr>
        <w:t>(E</w:t>
      </w:r>
      <w:r w:rsidR="00BF7E31" w:rsidRPr="00FA1334">
        <w:rPr>
          <w:rFonts w:ascii="Times New Roman" w:hAnsi="Times New Roman" w:cs="Times New Roman"/>
          <w:noProof/>
        </w:rPr>
        <w:t xml:space="preserve">uropean Commission 2014; </w:t>
      </w:r>
      <w:r w:rsidR="00BF7E31" w:rsidRPr="00FA1334">
        <w:rPr>
          <w:rFonts w:ascii="Times New Roman" w:eastAsia="Calibri" w:hAnsi="Times New Roman" w:cs="Times New Roman"/>
          <w:noProof/>
        </w:rPr>
        <w:t>Bauer et al</w:t>
      </w:r>
      <w:r w:rsidR="00BF7E31" w:rsidRPr="00FA1334">
        <w:rPr>
          <w:rFonts w:ascii="Times New Roman" w:hAnsi="Times New Roman" w:cs="Times New Roman"/>
          <w:noProof/>
        </w:rPr>
        <w:t xml:space="preserve"> </w:t>
      </w:r>
      <w:r w:rsidR="002841A7" w:rsidRPr="00FA1334">
        <w:rPr>
          <w:rFonts w:ascii="Times New Roman" w:hAnsi="Times New Roman" w:cs="Times New Roman"/>
          <w:noProof/>
        </w:rPr>
        <w:t>2011; Buchert 2009)</w:t>
      </w:r>
      <w:r w:rsidR="00040A8C" w:rsidRPr="00FA1334">
        <w:rPr>
          <w:rFonts w:ascii="Times New Roman" w:hAnsi="Times New Roman" w:cs="Times New Roman"/>
        </w:rPr>
        <w:t xml:space="preserve"> but it is omitted in others e.g. </w:t>
      </w:r>
      <w:r w:rsidR="00040A8C" w:rsidRPr="00FA1334">
        <w:rPr>
          <w:rFonts w:ascii="Times New Roman" w:hAnsi="Times New Roman" w:cs="Times New Roman"/>
          <w:noProof/>
        </w:rPr>
        <w:t>(Graedel et al. 2012)</w:t>
      </w:r>
      <w:r w:rsidR="00040A8C" w:rsidRPr="00FA1334">
        <w:rPr>
          <w:rFonts w:ascii="Times New Roman" w:hAnsi="Times New Roman" w:cs="Times New Roman"/>
        </w:rPr>
        <w:t xml:space="preserve">, resulting in </w:t>
      </w:r>
      <w:proofErr w:type="gramStart"/>
      <w:r w:rsidR="00040A8C" w:rsidRPr="00FA1334">
        <w:rPr>
          <w:rFonts w:ascii="Times New Roman" w:hAnsi="Times New Roman" w:cs="Times New Roman"/>
        </w:rPr>
        <w:t>an</w:t>
      </w:r>
      <w:proofErr w:type="gramEnd"/>
      <w:r w:rsidR="00040A8C" w:rsidRPr="00FA1334">
        <w:rPr>
          <w:rFonts w:ascii="Times New Roman" w:hAnsi="Times New Roman" w:cs="Times New Roman"/>
        </w:rPr>
        <w:t xml:space="preserve"> questionably negative bias on geopolitical factors.</w:t>
      </w:r>
    </w:p>
    <w:p w:rsidR="00FA1334" w:rsidRDefault="00FA1334" w:rsidP="00FA1334">
      <w:pPr>
        <w:spacing w:after="0" w:line="360" w:lineRule="auto"/>
        <w:contextualSpacing/>
        <w:jc w:val="both"/>
        <w:rPr>
          <w:rFonts w:ascii="Times New Roman" w:hAnsi="Times New Roman" w:cs="Times New Roman"/>
        </w:rPr>
      </w:pPr>
    </w:p>
    <w:p w:rsidR="00FA1334" w:rsidRDefault="00FA1334" w:rsidP="00241446">
      <w:pPr>
        <w:spacing w:after="0" w:line="360" w:lineRule="auto"/>
        <w:ind w:firstLine="720"/>
        <w:contextualSpacing/>
        <w:jc w:val="both"/>
        <w:rPr>
          <w:rFonts w:ascii="Times New Roman" w:hAnsi="Times New Roman" w:cs="Times New Roman"/>
        </w:rPr>
        <w:sectPr w:rsidR="00FA1334" w:rsidSect="00C24042">
          <w:pgSz w:w="11906" w:h="16838"/>
          <w:pgMar w:top="1440" w:right="1440" w:bottom="1440" w:left="1440" w:header="708" w:footer="708" w:gutter="0"/>
          <w:cols w:space="708"/>
          <w:docGrid w:linePitch="360"/>
        </w:sectPr>
      </w:pPr>
    </w:p>
    <w:p w:rsidR="00040A8C" w:rsidRPr="00516259" w:rsidRDefault="001716DC" w:rsidP="00241446">
      <w:pPr>
        <w:pStyle w:val="Heading3"/>
      </w:pPr>
      <w:r w:rsidRPr="00516259">
        <w:lastRenderedPageBreak/>
        <w:t>3</w:t>
      </w:r>
      <w:r w:rsidR="00241446" w:rsidRPr="00516259">
        <w:t>.1.3 Demand Factors</w:t>
      </w:r>
      <w:r w:rsidR="00DE6BEE">
        <w:t xml:space="preserve"> </w:t>
      </w:r>
    </w:p>
    <w:p w:rsidR="00C22432" w:rsidRPr="00FA1334" w:rsidRDefault="00213728" w:rsidP="00C22432">
      <w:pPr>
        <w:spacing w:line="360" w:lineRule="auto"/>
        <w:ind w:firstLine="720"/>
        <w:contextualSpacing/>
        <w:jc w:val="both"/>
        <w:rPr>
          <w:rFonts w:ascii="Times New Roman" w:hAnsi="Times New Roman" w:cs="Times New Roman"/>
        </w:rPr>
      </w:pPr>
      <w:r w:rsidRPr="00FA1334">
        <w:rPr>
          <w:rFonts w:ascii="Times New Roman" w:hAnsi="Times New Roman" w:cs="Times New Roman"/>
        </w:rPr>
        <w:t>D</w:t>
      </w:r>
      <w:r w:rsidR="00C22432" w:rsidRPr="00FA1334">
        <w:rPr>
          <w:rFonts w:ascii="Times New Roman" w:hAnsi="Times New Roman" w:cs="Times New Roman"/>
        </w:rPr>
        <w:t>emand</w:t>
      </w:r>
      <w:r w:rsidRPr="00FA1334">
        <w:rPr>
          <w:rFonts w:ascii="Times New Roman" w:hAnsi="Times New Roman" w:cs="Times New Roman"/>
        </w:rPr>
        <w:t xml:space="preserve"> factors are important </w:t>
      </w:r>
      <w:r w:rsidR="00C22432" w:rsidRPr="00FA1334">
        <w:rPr>
          <w:rFonts w:ascii="Times New Roman" w:hAnsi="Times New Roman" w:cs="Times New Roman"/>
        </w:rPr>
        <w:t>in</w:t>
      </w:r>
      <w:r w:rsidR="00DC0500" w:rsidRPr="00FA1334">
        <w:rPr>
          <w:rFonts w:ascii="Times New Roman" w:hAnsi="Times New Roman" w:cs="Times New Roman"/>
        </w:rPr>
        <w:t xml:space="preserve"> the</w:t>
      </w:r>
      <w:r w:rsidR="00C22432" w:rsidRPr="00FA1334">
        <w:rPr>
          <w:rFonts w:ascii="Times New Roman" w:hAnsi="Times New Roman" w:cs="Times New Roman"/>
        </w:rPr>
        <w:t xml:space="preserve"> sha</w:t>
      </w:r>
      <w:r w:rsidRPr="00FA1334">
        <w:rPr>
          <w:rFonts w:ascii="Times New Roman" w:hAnsi="Times New Roman" w:cs="Times New Roman"/>
        </w:rPr>
        <w:t xml:space="preserve">ping of </w:t>
      </w:r>
      <w:r w:rsidR="00DC0500" w:rsidRPr="00FA1334">
        <w:rPr>
          <w:rFonts w:ascii="Times New Roman" w:hAnsi="Times New Roman" w:cs="Times New Roman"/>
        </w:rPr>
        <w:t xml:space="preserve">future availability </w:t>
      </w:r>
      <w:r w:rsidR="00DE6BEE" w:rsidRPr="00FA1334">
        <w:rPr>
          <w:rFonts w:ascii="Times New Roman" w:hAnsi="Times New Roman" w:cs="Times New Roman"/>
        </w:rPr>
        <w:t>and are commonly captured by</w:t>
      </w:r>
      <w:r w:rsidRPr="00FA1334">
        <w:rPr>
          <w:rFonts w:ascii="Times New Roman" w:hAnsi="Times New Roman" w:cs="Times New Roman"/>
        </w:rPr>
        <w:t xml:space="preserve"> 2 factors</w:t>
      </w:r>
      <w:r w:rsidR="00C22432" w:rsidRPr="00FA1334">
        <w:rPr>
          <w:rFonts w:ascii="Times New Roman" w:hAnsi="Times New Roman" w:cs="Times New Roman"/>
        </w:rPr>
        <w:t>:</w:t>
      </w:r>
    </w:p>
    <w:p w:rsidR="00C22432" w:rsidRPr="00FA1334" w:rsidRDefault="00D06B3E" w:rsidP="00EE7761">
      <w:pPr>
        <w:pStyle w:val="ListParagraph"/>
        <w:numPr>
          <w:ilvl w:val="0"/>
          <w:numId w:val="16"/>
        </w:numPr>
        <w:spacing w:line="360" w:lineRule="auto"/>
        <w:jc w:val="both"/>
        <w:rPr>
          <w:rFonts w:ascii="Times New Roman" w:hAnsi="Times New Roman" w:cs="Times New Roman"/>
        </w:rPr>
      </w:pPr>
      <w:r w:rsidRPr="00FA1334">
        <w:rPr>
          <w:rFonts w:ascii="Times New Roman" w:hAnsi="Times New Roman" w:cs="Times New Roman"/>
        </w:rPr>
        <w:t xml:space="preserve">Future demand projections - </w:t>
      </w:r>
      <w:r w:rsidR="00DE6BEE" w:rsidRPr="00FA1334">
        <w:rPr>
          <w:rFonts w:ascii="Times New Roman" w:hAnsi="Times New Roman" w:cs="Times New Roman"/>
        </w:rPr>
        <w:t>which is</w:t>
      </w:r>
      <w:r w:rsidR="00C22432" w:rsidRPr="00FA1334">
        <w:rPr>
          <w:rFonts w:ascii="Times New Roman" w:hAnsi="Times New Roman" w:cs="Times New Roman"/>
        </w:rPr>
        <w:t xml:space="preserve"> an approximation of the likely growth of demand in the future.</w:t>
      </w:r>
    </w:p>
    <w:p w:rsidR="00C22432" w:rsidRPr="00FA1334" w:rsidRDefault="00D06B3E" w:rsidP="00EE7761">
      <w:pPr>
        <w:pStyle w:val="ListParagraph"/>
        <w:numPr>
          <w:ilvl w:val="0"/>
          <w:numId w:val="16"/>
        </w:numPr>
        <w:spacing w:line="360" w:lineRule="auto"/>
        <w:jc w:val="both"/>
        <w:rPr>
          <w:rFonts w:ascii="Times New Roman" w:hAnsi="Times New Roman" w:cs="Times New Roman"/>
        </w:rPr>
      </w:pPr>
      <w:r w:rsidRPr="00FA1334">
        <w:rPr>
          <w:rFonts w:ascii="Times New Roman" w:hAnsi="Times New Roman" w:cs="Times New Roman"/>
        </w:rPr>
        <w:t xml:space="preserve">Substitutability - </w:t>
      </w:r>
      <w:r w:rsidR="00C22432" w:rsidRPr="00FA1334">
        <w:rPr>
          <w:rFonts w:ascii="Times New Roman" w:hAnsi="Times New Roman" w:cs="Times New Roman"/>
        </w:rPr>
        <w:t>which is a measure of how easily and adequately a material can be replaced through substitution for other metals or technologies, in order to reduce future demand.</w:t>
      </w:r>
    </w:p>
    <w:p w:rsidR="00C22432" w:rsidRPr="00FA1334" w:rsidRDefault="00C22432" w:rsidP="00D3631A">
      <w:pPr>
        <w:spacing w:line="360" w:lineRule="auto"/>
        <w:ind w:firstLine="720"/>
        <w:contextualSpacing/>
        <w:jc w:val="both"/>
        <w:rPr>
          <w:rFonts w:ascii="Times New Roman" w:hAnsi="Times New Roman" w:cs="Times New Roman"/>
        </w:rPr>
      </w:pPr>
      <w:r w:rsidRPr="00FA1334">
        <w:rPr>
          <w:rFonts w:ascii="Times New Roman" w:hAnsi="Times New Roman" w:cs="Times New Roman"/>
        </w:rPr>
        <w:t>Existing global demand</w:t>
      </w:r>
      <w:r w:rsidR="00500D33" w:rsidRPr="00FA1334">
        <w:rPr>
          <w:rFonts w:ascii="Times New Roman" w:hAnsi="Times New Roman" w:cs="Times New Roman"/>
        </w:rPr>
        <w:t xml:space="preserve"> for many material</w:t>
      </w:r>
      <w:r w:rsidR="00DE6BEE" w:rsidRPr="00FA1334">
        <w:rPr>
          <w:rFonts w:ascii="Times New Roman" w:hAnsi="Times New Roman" w:cs="Times New Roman"/>
        </w:rPr>
        <w:t>s can be located in the annual minerals y</w:t>
      </w:r>
      <w:r w:rsidR="00500D33" w:rsidRPr="00FA1334">
        <w:rPr>
          <w:rFonts w:ascii="Times New Roman" w:hAnsi="Times New Roman" w:cs="Times New Roman"/>
        </w:rPr>
        <w:t xml:space="preserve">earbook publicised by the USGS. </w:t>
      </w:r>
      <w:r w:rsidRPr="00FA1334">
        <w:rPr>
          <w:rFonts w:ascii="Times New Roman" w:hAnsi="Times New Roman" w:cs="Times New Roman"/>
        </w:rPr>
        <w:t xml:space="preserve">However alternative information can also be found from the BGS </w:t>
      </w:r>
      <w:r w:rsidR="00D3631A" w:rsidRPr="00FA1334">
        <w:rPr>
          <w:rFonts w:ascii="Times New Roman" w:hAnsi="Times New Roman" w:cs="Times New Roman"/>
          <w:noProof/>
        </w:rPr>
        <w:t>(BGS 2012)</w:t>
      </w:r>
      <w:r w:rsidRPr="00FA1334">
        <w:rPr>
          <w:rFonts w:ascii="Times New Roman" w:hAnsi="Times New Roman" w:cs="Times New Roman"/>
        </w:rPr>
        <w:t xml:space="preserve"> or</w:t>
      </w:r>
      <w:r w:rsidR="00500D33" w:rsidRPr="00FA1334">
        <w:rPr>
          <w:rFonts w:ascii="Times New Roman" w:hAnsi="Times New Roman" w:cs="Times New Roman"/>
        </w:rPr>
        <w:t xml:space="preserve"> individual</w:t>
      </w:r>
      <w:r w:rsidRPr="00FA1334">
        <w:rPr>
          <w:rFonts w:ascii="Times New Roman" w:hAnsi="Times New Roman" w:cs="Times New Roman"/>
        </w:rPr>
        <w:t xml:space="preserve"> consultancy reports</w:t>
      </w:r>
      <w:r w:rsidR="00500D33" w:rsidRPr="00FA1334">
        <w:rPr>
          <w:rFonts w:ascii="Times New Roman" w:hAnsi="Times New Roman" w:cs="Times New Roman"/>
        </w:rPr>
        <w:t>, for example</w:t>
      </w:r>
      <w:r w:rsidRPr="00FA1334">
        <w:rPr>
          <w:rFonts w:ascii="Times New Roman" w:hAnsi="Times New Roman" w:cs="Times New Roman"/>
        </w:rPr>
        <w:t xml:space="preserve"> </w:t>
      </w:r>
      <w:r w:rsidRPr="00FA1334">
        <w:rPr>
          <w:rFonts w:ascii="Times New Roman" w:hAnsi="Times New Roman" w:cs="Times New Roman"/>
          <w:noProof/>
        </w:rPr>
        <w:t>(Chegwidden 2011)</w:t>
      </w:r>
      <w:r w:rsidR="00500D33" w:rsidRPr="00FA1334">
        <w:rPr>
          <w:rFonts w:ascii="Times New Roman" w:hAnsi="Times New Roman" w:cs="Times New Roman"/>
        </w:rPr>
        <w:t xml:space="preserve">. </w:t>
      </w:r>
      <w:r w:rsidRPr="00FA1334">
        <w:rPr>
          <w:rFonts w:ascii="Times New Roman" w:hAnsi="Times New Roman" w:cs="Times New Roman"/>
        </w:rPr>
        <w:t>In part</w:t>
      </w:r>
      <w:r w:rsidR="00830CA2" w:rsidRPr="00FA1334">
        <w:rPr>
          <w:rFonts w:ascii="Times New Roman" w:hAnsi="Times New Roman" w:cs="Times New Roman"/>
        </w:rPr>
        <w:t>icular the BGS report identified</w:t>
      </w:r>
      <w:r w:rsidRPr="00FA1334">
        <w:rPr>
          <w:rFonts w:ascii="Times New Roman" w:hAnsi="Times New Roman" w:cs="Times New Roman"/>
        </w:rPr>
        <w:t xml:space="preserve"> a number of factors namely environmental change, economic development and population growth as the main factors influencing the future of the metals and minerals sector.</w:t>
      </w:r>
      <w:r w:rsidR="00D3631A" w:rsidRPr="00FA1334">
        <w:rPr>
          <w:rFonts w:ascii="Times New Roman" w:hAnsi="Times New Roman" w:cs="Times New Roman"/>
        </w:rPr>
        <w:t xml:space="preserve"> </w:t>
      </w:r>
      <w:r w:rsidRPr="00FA1334">
        <w:rPr>
          <w:rFonts w:ascii="Times New Roman" w:hAnsi="Times New Roman" w:cs="Times New Roman"/>
        </w:rPr>
        <w:t>In the 10 studies investigated here</w:t>
      </w:r>
      <w:r w:rsidR="00830CA2" w:rsidRPr="00FA1334">
        <w:rPr>
          <w:rFonts w:ascii="Times New Roman" w:hAnsi="Times New Roman" w:cs="Times New Roman"/>
        </w:rPr>
        <w:t>,</w:t>
      </w:r>
      <w:r w:rsidRPr="00FA1334">
        <w:rPr>
          <w:rFonts w:ascii="Times New Roman" w:hAnsi="Times New Roman" w:cs="Times New Roman"/>
        </w:rPr>
        <w:t xml:space="preserve"> future </w:t>
      </w:r>
      <w:r w:rsidR="00830CA2" w:rsidRPr="00FA1334">
        <w:rPr>
          <w:rFonts w:ascii="Times New Roman" w:hAnsi="Times New Roman" w:cs="Times New Roman"/>
        </w:rPr>
        <w:t>demand was</w:t>
      </w:r>
      <w:r w:rsidRPr="00FA1334">
        <w:rPr>
          <w:rFonts w:ascii="Times New Roman" w:hAnsi="Times New Roman" w:cs="Times New Roman"/>
        </w:rPr>
        <w:t xml:space="preserve"> projected in a number of ways.</w:t>
      </w:r>
    </w:p>
    <w:p w:rsidR="00830CA2" w:rsidRPr="00FA1334" w:rsidRDefault="00C22432" w:rsidP="00830CA2">
      <w:pPr>
        <w:spacing w:line="360" w:lineRule="auto"/>
        <w:ind w:firstLine="720"/>
        <w:contextualSpacing/>
        <w:jc w:val="both"/>
        <w:rPr>
          <w:rFonts w:ascii="Times New Roman" w:hAnsi="Times New Roman" w:cs="Times New Roman"/>
        </w:rPr>
      </w:pPr>
      <w:r w:rsidRPr="00FA1334">
        <w:rPr>
          <w:rFonts w:ascii="Times New Roman" w:hAnsi="Times New Roman" w:cs="Times New Roman"/>
        </w:rPr>
        <w:t xml:space="preserve">Reports from </w:t>
      </w:r>
      <w:r w:rsidR="00D3631A" w:rsidRPr="00FA1334">
        <w:rPr>
          <w:rFonts w:ascii="Times New Roman" w:hAnsi="Times New Roman" w:cs="Times New Roman"/>
          <w:noProof/>
        </w:rPr>
        <w:t>(British Geological Survey 2012; Achzet et al. 2011; NRC 2008)</w:t>
      </w:r>
      <w:r w:rsidR="00DE6BEE" w:rsidRPr="00FA1334">
        <w:rPr>
          <w:rFonts w:ascii="Times New Roman" w:hAnsi="Times New Roman" w:cs="Times New Roman"/>
        </w:rPr>
        <w:t>, did</w:t>
      </w:r>
      <w:r w:rsidRPr="00FA1334">
        <w:rPr>
          <w:rFonts w:ascii="Times New Roman" w:hAnsi="Times New Roman" w:cs="Times New Roman"/>
        </w:rPr>
        <w:t xml:space="preserve"> not include future demand projection as a factor in their criticalit</w:t>
      </w:r>
      <w:r w:rsidR="00DE6BEE" w:rsidRPr="00FA1334">
        <w:rPr>
          <w:rFonts w:ascii="Times New Roman" w:hAnsi="Times New Roman" w:cs="Times New Roman"/>
        </w:rPr>
        <w:t xml:space="preserve">y assessments. In studies that did </w:t>
      </w:r>
      <w:r w:rsidR="00830CA2" w:rsidRPr="00FA1334">
        <w:rPr>
          <w:rFonts w:ascii="Times New Roman" w:hAnsi="Times New Roman" w:cs="Times New Roman"/>
        </w:rPr>
        <w:t>determine</w:t>
      </w:r>
      <w:r w:rsidR="00DE6BEE" w:rsidRPr="00FA1334">
        <w:rPr>
          <w:rFonts w:ascii="Times New Roman" w:hAnsi="Times New Roman" w:cs="Times New Roman"/>
        </w:rPr>
        <w:t xml:space="preserve"> future demand, a nu</w:t>
      </w:r>
      <w:r w:rsidR="00830CA2" w:rsidRPr="00FA1334">
        <w:rPr>
          <w:rFonts w:ascii="Times New Roman" w:hAnsi="Times New Roman" w:cs="Times New Roman"/>
        </w:rPr>
        <w:t>mber of methods were used</w:t>
      </w:r>
      <w:r w:rsidR="00DE6BEE" w:rsidRPr="00FA1334">
        <w:rPr>
          <w:rFonts w:ascii="Times New Roman" w:hAnsi="Times New Roman" w:cs="Times New Roman"/>
        </w:rPr>
        <w:t xml:space="preserve">. </w:t>
      </w:r>
    </w:p>
    <w:p w:rsidR="00DE6BEE" w:rsidRPr="00FA1334" w:rsidRDefault="00DE6BEE" w:rsidP="00830CA2">
      <w:pPr>
        <w:spacing w:line="360" w:lineRule="auto"/>
        <w:ind w:firstLine="720"/>
        <w:contextualSpacing/>
        <w:jc w:val="both"/>
        <w:rPr>
          <w:rFonts w:ascii="Times New Roman" w:hAnsi="Times New Roman" w:cs="Times New Roman"/>
        </w:rPr>
      </w:pPr>
      <w:r w:rsidRPr="00FA1334">
        <w:rPr>
          <w:rFonts w:ascii="Times New Roman" w:hAnsi="Times New Roman" w:cs="Times New Roman"/>
        </w:rPr>
        <w:t>The study by</w:t>
      </w:r>
      <w:r w:rsidR="00C22432" w:rsidRPr="00FA1334">
        <w:rPr>
          <w:rFonts w:ascii="Times New Roman" w:hAnsi="Times New Roman" w:cs="Times New Roman"/>
        </w:rPr>
        <w:t xml:space="preserve"> </w:t>
      </w:r>
      <w:r w:rsidR="00C22432" w:rsidRPr="00FA1334">
        <w:rPr>
          <w:rFonts w:ascii="Times New Roman" w:hAnsi="Times New Roman" w:cs="Times New Roman"/>
          <w:noProof/>
        </w:rPr>
        <w:t>(Morley &amp; Eatherley 2008)</w:t>
      </w:r>
      <w:r w:rsidRPr="00FA1334">
        <w:rPr>
          <w:rFonts w:ascii="Times New Roman" w:hAnsi="Times New Roman" w:cs="Times New Roman"/>
        </w:rPr>
        <w:t xml:space="preserve"> made</w:t>
      </w:r>
      <w:r w:rsidR="00C22432" w:rsidRPr="00FA1334">
        <w:rPr>
          <w:rFonts w:ascii="Times New Roman" w:hAnsi="Times New Roman" w:cs="Times New Roman"/>
        </w:rPr>
        <w:t xml:space="preserve"> use of exogenous assumptions for future demand. These assumptions, obtained from citing market analyst forecasts and market reports e.g. </w:t>
      </w:r>
      <w:r w:rsidR="00C22432" w:rsidRPr="00FA1334">
        <w:rPr>
          <w:rFonts w:ascii="Times New Roman" w:hAnsi="Times New Roman" w:cs="Times New Roman"/>
          <w:noProof/>
        </w:rPr>
        <w:t>(Chegwidden 2011)</w:t>
      </w:r>
      <w:r w:rsidR="00C22432" w:rsidRPr="00FA1334">
        <w:rPr>
          <w:rFonts w:ascii="Times New Roman" w:hAnsi="Times New Roman" w:cs="Times New Roman"/>
        </w:rPr>
        <w:t xml:space="preserve"> affect a model without being affected by it, and whose main aims are to set arbitrary external conditions.</w:t>
      </w:r>
      <w:r w:rsidR="00D3631A" w:rsidRPr="00FA1334">
        <w:rPr>
          <w:rFonts w:ascii="Times New Roman" w:hAnsi="Times New Roman" w:cs="Times New Roman"/>
        </w:rPr>
        <w:t xml:space="preserve"> </w:t>
      </w:r>
    </w:p>
    <w:p w:rsidR="00DE6BEE" w:rsidRPr="00FA1334" w:rsidRDefault="00DE6BEE" w:rsidP="00D02666">
      <w:pPr>
        <w:spacing w:line="360" w:lineRule="auto"/>
        <w:ind w:firstLine="720"/>
        <w:contextualSpacing/>
        <w:jc w:val="both"/>
        <w:rPr>
          <w:rFonts w:ascii="Times New Roman" w:hAnsi="Times New Roman" w:cs="Times New Roman"/>
        </w:rPr>
      </w:pPr>
      <w:r w:rsidRPr="00FA1334">
        <w:rPr>
          <w:rFonts w:ascii="Times New Roman" w:hAnsi="Times New Roman" w:cs="Times New Roman"/>
        </w:rPr>
        <w:t>On the other hand, t</w:t>
      </w:r>
      <w:r w:rsidR="00D3631A" w:rsidRPr="00FA1334">
        <w:rPr>
          <w:rFonts w:ascii="Times New Roman" w:hAnsi="Times New Roman" w:cs="Times New Roman"/>
        </w:rPr>
        <w:t>h</w:t>
      </w:r>
      <w:r w:rsidR="000D6190">
        <w:rPr>
          <w:rFonts w:ascii="Times New Roman" w:hAnsi="Times New Roman" w:cs="Times New Roman"/>
        </w:rPr>
        <w:t xml:space="preserve">e report by </w:t>
      </w:r>
      <w:r w:rsidR="00C22432" w:rsidRPr="00FA1334">
        <w:rPr>
          <w:rFonts w:ascii="Times New Roman" w:hAnsi="Times New Roman" w:cs="Times New Roman"/>
          <w:noProof/>
        </w:rPr>
        <w:t>(Buchert 2009)</w:t>
      </w:r>
      <w:r w:rsidR="00D3631A" w:rsidRPr="00FA1334">
        <w:rPr>
          <w:rFonts w:ascii="Times New Roman" w:hAnsi="Times New Roman" w:cs="Times New Roman"/>
        </w:rPr>
        <w:t xml:space="preserve"> </w:t>
      </w:r>
      <w:r w:rsidR="00C22432" w:rsidRPr="00FA1334">
        <w:rPr>
          <w:rFonts w:ascii="Times New Roman" w:hAnsi="Times New Roman" w:cs="Times New Roman"/>
        </w:rPr>
        <w:t>decided to analyse critical metals by focusing on the magnitude of demand growth rates and splitting this into two distinct stages, rapid demand growth (&gt; 50% increase of total demand since 2007 until 2020) or an estimated moderate demand growth (&gt; 20% increase demand growth until 2020).</w:t>
      </w:r>
      <w:r w:rsidR="00D02666" w:rsidRPr="00FA1334">
        <w:rPr>
          <w:rFonts w:ascii="Times New Roman" w:hAnsi="Times New Roman" w:cs="Times New Roman"/>
        </w:rPr>
        <w:t xml:space="preserve"> </w:t>
      </w:r>
      <w:r w:rsidR="00C22432" w:rsidRPr="00FA1334">
        <w:rPr>
          <w:rFonts w:ascii="Times New Roman" w:hAnsi="Times New Roman" w:cs="Times New Roman"/>
        </w:rPr>
        <w:t>Alternative studies incorporate</w:t>
      </w:r>
      <w:r w:rsidRPr="00FA1334">
        <w:rPr>
          <w:rFonts w:ascii="Times New Roman" w:hAnsi="Times New Roman" w:cs="Times New Roman"/>
        </w:rPr>
        <w:t>d</w:t>
      </w:r>
      <w:r w:rsidR="00C22432" w:rsidRPr="00FA1334">
        <w:rPr>
          <w:rFonts w:ascii="Times New Roman" w:hAnsi="Times New Roman" w:cs="Times New Roman"/>
        </w:rPr>
        <w:t xml:space="preserve"> future demand either by</w:t>
      </w:r>
      <w:r w:rsidR="0048632D" w:rsidRPr="00FA1334">
        <w:rPr>
          <w:rFonts w:ascii="Times New Roman" w:hAnsi="Times New Roman" w:cs="Times New Roman"/>
        </w:rPr>
        <w:t xml:space="preserve"> use of</w:t>
      </w:r>
      <w:r w:rsidR="00C22432" w:rsidRPr="00FA1334">
        <w:rPr>
          <w:rFonts w:ascii="Times New Roman" w:hAnsi="Times New Roman" w:cs="Times New Roman"/>
        </w:rPr>
        <w:t xml:space="preserve"> material intensity (the amount of metal demanded per unit of final product)</w:t>
      </w:r>
      <w:r w:rsidR="00D02666" w:rsidRPr="00FA1334">
        <w:rPr>
          <w:rFonts w:ascii="Times New Roman" w:hAnsi="Times New Roman" w:cs="Times New Roman"/>
        </w:rPr>
        <w:t xml:space="preserve"> </w:t>
      </w:r>
      <w:r w:rsidR="00BF7E31" w:rsidRPr="00FA1334">
        <w:rPr>
          <w:rFonts w:ascii="Times New Roman" w:hAnsi="Times New Roman" w:cs="Times New Roman"/>
          <w:noProof/>
        </w:rPr>
        <w:t xml:space="preserve">(Moss et al. 2011; </w:t>
      </w:r>
      <w:r w:rsidR="00BF7E31" w:rsidRPr="00FA1334">
        <w:rPr>
          <w:rFonts w:ascii="Times New Roman" w:eastAsia="Calibri" w:hAnsi="Times New Roman" w:cs="Times New Roman"/>
          <w:noProof/>
        </w:rPr>
        <w:t>Bauer et al</w:t>
      </w:r>
      <w:r w:rsidR="00BF7E31" w:rsidRPr="00FA1334">
        <w:rPr>
          <w:rFonts w:ascii="Times New Roman" w:hAnsi="Times New Roman" w:cs="Times New Roman"/>
          <w:noProof/>
        </w:rPr>
        <w:t xml:space="preserve">, </w:t>
      </w:r>
      <w:r w:rsidR="00D02666" w:rsidRPr="00FA1334">
        <w:rPr>
          <w:rFonts w:ascii="Times New Roman" w:hAnsi="Times New Roman" w:cs="Times New Roman"/>
          <w:noProof/>
        </w:rPr>
        <w:t>2011)</w:t>
      </w:r>
      <w:r w:rsidR="00C22432" w:rsidRPr="00FA1334">
        <w:rPr>
          <w:rFonts w:ascii="Times New Roman" w:hAnsi="Times New Roman" w:cs="Times New Roman"/>
        </w:rPr>
        <w:t xml:space="preserve"> or using specialist opinion, based on expected annual growth rates connected to economic growth </w:t>
      </w:r>
      <w:r w:rsidR="002841A7" w:rsidRPr="00FA1334">
        <w:rPr>
          <w:rFonts w:ascii="Times New Roman" w:hAnsi="Times New Roman" w:cs="Times New Roman"/>
          <w:noProof/>
        </w:rPr>
        <w:t>(European Commission 2014)</w:t>
      </w:r>
      <w:r w:rsidR="00C22432" w:rsidRPr="00FA1334">
        <w:rPr>
          <w:rFonts w:ascii="Times New Roman" w:hAnsi="Times New Roman" w:cs="Times New Roman"/>
        </w:rPr>
        <w:t xml:space="preserve">. </w:t>
      </w:r>
    </w:p>
    <w:p w:rsidR="00C22432" w:rsidRPr="00FA1334" w:rsidRDefault="00C22432" w:rsidP="0048632D">
      <w:pPr>
        <w:spacing w:line="360" w:lineRule="auto"/>
        <w:ind w:firstLine="720"/>
        <w:contextualSpacing/>
        <w:jc w:val="both"/>
        <w:rPr>
          <w:rFonts w:ascii="Times New Roman" w:hAnsi="Times New Roman" w:cs="Times New Roman"/>
        </w:rPr>
      </w:pPr>
      <w:r w:rsidRPr="00FA1334">
        <w:rPr>
          <w:rFonts w:ascii="Times New Roman" w:hAnsi="Times New Roman" w:cs="Times New Roman"/>
        </w:rPr>
        <w:t xml:space="preserve">A more complicated and in-depth treatment of material intensity </w:t>
      </w:r>
      <w:r w:rsidR="0048632D" w:rsidRPr="00FA1334">
        <w:rPr>
          <w:rFonts w:ascii="Times New Roman" w:hAnsi="Times New Roman" w:cs="Times New Roman"/>
        </w:rPr>
        <w:t>was also</w:t>
      </w:r>
      <w:r w:rsidRPr="00FA1334">
        <w:rPr>
          <w:rFonts w:ascii="Times New Roman" w:hAnsi="Times New Roman" w:cs="Times New Roman"/>
        </w:rPr>
        <w:t xml:space="preserve"> found in alternative studies that focus</w:t>
      </w:r>
      <w:r w:rsidR="0048632D" w:rsidRPr="00FA1334">
        <w:rPr>
          <w:rFonts w:ascii="Times New Roman" w:hAnsi="Times New Roman" w:cs="Times New Roman"/>
        </w:rPr>
        <w:t>ed</w:t>
      </w:r>
      <w:r w:rsidRPr="00FA1334">
        <w:rPr>
          <w:rFonts w:ascii="Times New Roman" w:hAnsi="Times New Roman" w:cs="Times New Roman"/>
        </w:rPr>
        <w:t xml:space="preserve"> on a single metal or technologies</w:t>
      </w:r>
      <w:r w:rsidR="0048632D" w:rsidRPr="00FA1334">
        <w:rPr>
          <w:rFonts w:ascii="Times New Roman" w:hAnsi="Times New Roman" w:cs="Times New Roman"/>
        </w:rPr>
        <w:t>. These studies:</w:t>
      </w:r>
      <w:r w:rsidR="00D02666" w:rsidRPr="00FA1334">
        <w:rPr>
          <w:rFonts w:ascii="Times New Roman" w:hAnsi="Times New Roman" w:cs="Times New Roman"/>
        </w:rPr>
        <w:t xml:space="preserve"> </w:t>
      </w:r>
      <w:r w:rsidR="00D02666" w:rsidRPr="00FA1334">
        <w:rPr>
          <w:rFonts w:ascii="Times New Roman" w:hAnsi="Times New Roman" w:cs="Times New Roman"/>
          <w:noProof/>
        </w:rPr>
        <w:t>(Graedel et al. 2012; Wadia et al. 2011; Kara et al. 2010; Fthenakis 2009)</w:t>
      </w:r>
      <w:r w:rsidR="0048632D" w:rsidRPr="00FA1334">
        <w:rPr>
          <w:rFonts w:ascii="Times New Roman" w:hAnsi="Times New Roman" w:cs="Times New Roman"/>
        </w:rPr>
        <w:t xml:space="preserve">, </w:t>
      </w:r>
      <w:r w:rsidRPr="00FA1334">
        <w:rPr>
          <w:rFonts w:ascii="Times New Roman" w:hAnsi="Times New Roman" w:cs="Times New Roman"/>
        </w:rPr>
        <w:t>allow</w:t>
      </w:r>
      <w:r w:rsidR="0048632D" w:rsidRPr="00FA1334">
        <w:rPr>
          <w:rFonts w:ascii="Times New Roman" w:hAnsi="Times New Roman" w:cs="Times New Roman"/>
        </w:rPr>
        <w:t xml:space="preserve">ed </w:t>
      </w:r>
      <w:r w:rsidRPr="00FA1334">
        <w:rPr>
          <w:rFonts w:ascii="Times New Roman" w:hAnsi="Times New Roman" w:cs="Times New Roman"/>
        </w:rPr>
        <w:t xml:space="preserve">demand projections in their methodology, </w:t>
      </w:r>
      <w:r w:rsidR="00FA1334" w:rsidRPr="00FA1334">
        <w:rPr>
          <w:rFonts w:ascii="Times New Roman" w:hAnsi="Times New Roman" w:cs="Times New Roman"/>
        </w:rPr>
        <w:t>yet demonstrated</w:t>
      </w:r>
      <w:r w:rsidR="0048632D" w:rsidRPr="00FA1334">
        <w:rPr>
          <w:rFonts w:ascii="Times New Roman" w:hAnsi="Times New Roman" w:cs="Times New Roman"/>
        </w:rPr>
        <w:t xml:space="preserve"> a lack in practical applications. </w:t>
      </w:r>
      <w:r w:rsidRPr="00FA1334">
        <w:rPr>
          <w:rFonts w:ascii="Times New Roman" w:hAnsi="Times New Roman" w:cs="Times New Roman"/>
        </w:rPr>
        <w:t xml:space="preserve">Apart from </w:t>
      </w:r>
      <w:r w:rsidRPr="00FA1334">
        <w:rPr>
          <w:rFonts w:ascii="Times New Roman" w:hAnsi="Times New Roman" w:cs="Times New Roman"/>
          <w:noProof/>
        </w:rPr>
        <w:t>(Angerer 2009)</w:t>
      </w:r>
      <w:r w:rsidRPr="00FA1334">
        <w:rPr>
          <w:rFonts w:ascii="Times New Roman" w:hAnsi="Times New Roman" w:cs="Times New Roman"/>
        </w:rPr>
        <w:t xml:space="preserve"> amendments for future reductions in material intensity, which may take place through enhanced manufacturing techniques or partial substitution, are not usually included in criticality assessments.</w:t>
      </w:r>
    </w:p>
    <w:p w:rsidR="00EE2BCB" w:rsidRPr="00FA1334" w:rsidRDefault="00C22432" w:rsidP="00EE2BCB">
      <w:pPr>
        <w:spacing w:line="360" w:lineRule="auto"/>
        <w:ind w:firstLine="720"/>
        <w:contextualSpacing/>
        <w:jc w:val="both"/>
        <w:rPr>
          <w:rFonts w:ascii="Times New Roman" w:hAnsi="Times New Roman" w:cs="Times New Roman"/>
        </w:rPr>
      </w:pPr>
      <w:r w:rsidRPr="00FA1334">
        <w:rPr>
          <w:rFonts w:ascii="Times New Roman" w:hAnsi="Times New Roman" w:cs="Times New Roman"/>
        </w:rPr>
        <w:t>As a result of the various methods, projections of future demand in criticality assessment studies often remain subjective.</w:t>
      </w:r>
      <w:r w:rsidR="00EE2BCB" w:rsidRPr="00FA1334">
        <w:rPr>
          <w:rFonts w:ascii="Times New Roman" w:hAnsi="Times New Roman" w:cs="Times New Roman"/>
        </w:rPr>
        <w:t xml:space="preserve"> </w:t>
      </w:r>
    </w:p>
    <w:p w:rsidR="00DE479F" w:rsidRPr="00FA1334" w:rsidRDefault="00C22432" w:rsidP="00EE2BCB">
      <w:pPr>
        <w:spacing w:line="360" w:lineRule="auto"/>
        <w:ind w:firstLine="720"/>
        <w:contextualSpacing/>
        <w:jc w:val="both"/>
        <w:rPr>
          <w:rFonts w:ascii="Times New Roman" w:hAnsi="Times New Roman" w:cs="Times New Roman"/>
        </w:rPr>
      </w:pPr>
      <w:r w:rsidRPr="00FA1334">
        <w:rPr>
          <w:rFonts w:ascii="Times New Roman" w:hAnsi="Times New Roman" w:cs="Times New Roman"/>
        </w:rPr>
        <w:lastRenderedPageBreak/>
        <w:t>Studies that investigate</w:t>
      </w:r>
      <w:r w:rsidR="00EE2BCB" w:rsidRPr="00FA1334">
        <w:rPr>
          <w:rFonts w:ascii="Times New Roman" w:hAnsi="Times New Roman" w:cs="Times New Roman"/>
        </w:rPr>
        <w:t>d substitutability had</w:t>
      </w:r>
      <w:r w:rsidRPr="00FA1334">
        <w:rPr>
          <w:rFonts w:ascii="Times New Roman" w:hAnsi="Times New Roman" w:cs="Times New Roman"/>
        </w:rPr>
        <w:t xml:space="preserve"> to deal with qualitative and/or semi</w:t>
      </w:r>
      <w:r w:rsidR="00EE2BCB" w:rsidRPr="00FA1334">
        <w:rPr>
          <w:rFonts w:ascii="Times New Roman" w:hAnsi="Times New Roman" w:cs="Times New Roman"/>
        </w:rPr>
        <w:t>-quantitative data, as there was</w:t>
      </w:r>
      <w:r w:rsidRPr="00FA1334">
        <w:rPr>
          <w:rFonts w:ascii="Times New Roman" w:hAnsi="Times New Roman" w:cs="Times New Roman"/>
        </w:rPr>
        <w:t xml:space="preserve"> no consistent or inclusive quantitative data on the substitutabili</w:t>
      </w:r>
      <w:r w:rsidR="00EE2BCB" w:rsidRPr="00FA1334">
        <w:rPr>
          <w:rFonts w:ascii="Times New Roman" w:hAnsi="Times New Roman" w:cs="Times New Roman"/>
        </w:rPr>
        <w:t>ty of raw materials. Thus, making this factor difficult to measure and assess.</w:t>
      </w:r>
      <w:r w:rsidR="005F62CE" w:rsidRPr="00FA1334">
        <w:rPr>
          <w:rFonts w:ascii="Times New Roman" w:hAnsi="Times New Roman" w:cs="Times New Roman"/>
        </w:rPr>
        <w:t xml:space="preserve"> From the 1</w:t>
      </w:r>
      <w:r w:rsidR="0039625A" w:rsidRPr="00FA1334">
        <w:rPr>
          <w:rFonts w:ascii="Times New Roman" w:hAnsi="Times New Roman" w:cs="Times New Roman"/>
        </w:rPr>
        <w:t xml:space="preserve">0 </w:t>
      </w:r>
      <w:r w:rsidRPr="00FA1334">
        <w:rPr>
          <w:rFonts w:ascii="Times New Roman" w:hAnsi="Times New Roman" w:cs="Times New Roman"/>
        </w:rPr>
        <w:t xml:space="preserve">studies investigated here, excluding </w:t>
      </w:r>
      <w:r w:rsidRPr="00FA1334">
        <w:rPr>
          <w:rFonts w:ascii="Times New Roman" w:hAnsi="Times New Roman" w:cs="Times New Roman"/>
          <w:noProof/>
        </w:rPr>
        <w:t>(Buchert 2009)</w:t>
      </w:r>
      <w:r w:rsidRPr="00FA1334">
        <w:rPr>
          <w:rFonts w:ascii="Times New Roman" w:hAnsi="Times New Roman" w:cs="Times New Roman"/>
        </w:rPr>
        <w:t xml:space="preserve">, substitutability </w:t>
      </w:r>
      <w:r w:rsidR="00EE2BCB" w:rsidRPr="00FA1334">
        <w:rPr>
          <w:rFonts w:ascii="Times New Roman" w:hAnsi="Times New Roman" w:cs="Times New Roman"/>
        </w:rPr>
        <w:t>was assessed using a variety of different tools</w:t>
      </w:r>
      <w:r w:rsidR="005F62CE" w:rsidRPr="00FA1334">
        <w:rPr>
          <w:rFonts w:ascii="Times New Roman" w:hAnsi="Times New Roman" w:cs="Times New Roman"/>
        </w:rPr>
        <w:t xml:space="preserve"> including by: </w:t>
      </w:r>
      <w:r w:rsidR="0039625A" w:rsidRPr="00FA1334">
        <w:rPr>
          <w:rFonts w:ascii="Times New Roman" w:hAnsi="Times New Roman" w:cs="Times New Roman"/>
        </w:rPr>
        <w:t xml:space="preserve">supply </w:t>
      </w:r>
      <w:r w:rsidR="0039625A" w:rsidRPr="00FA1334">
        <w:rPr>
          <w:rFonts w:ascii="Times New Roman" w:hAnsi="Times New Roman" w:cs="Times New Roman"/>
          <w:noProof/>
        </w:rPr>
        <w:t>(European Commission 2014; BGS 2012; Graedel et al. 2012; Achzet et al. 2011; Morley &amp; Eatherley 2008)</w:t>
      </w:r>
      <w:r w:rsidRPr="00FA1334">
        <w:rPr>
          <w:rFonts w:ascii="Times New Roman" w:hAnsi="Times New Roman" w:cs="Times New Roman"/>
        </w:rPr>
        <w:t>, material</w:t>
      </w:r>
      <w:r w:rsidR="0039625A" w:rsidRPr="00FA1334">
        <w:rPr>
          <w:rFonts w:ascii="Times New Roman" w:hAnsi="Times New Roman" w:cs="Times New Roman"/>
        </w:rPr>
        <w:t xml:space="preserve"> </w:t>
      </w:r>
      <w:r w:rsidR="0039625A" w:rsidRPr="00FA1334">
        <w:rPr>
          <w:rFonts w:ascii="Times New Roman" w:hAnsi="Times New Roman" w:cs="Times New Roman"/>
          <w:noProof/>
        </w:rPr>
        <w:t>(Duclos et al. 2010)</w:t>
      </w:r>
      <w:r w:rsidRPr="00FA1334">
        <w:rPr>
          <w:rFonts w:ascii="Times New Roman" w:hAnsi="Times New Roman" w:cs="Times New Roman"/>
        </w:rPr>
        <w:t>, product</w:t>
      </w:r>
      <w:r w:rsidR="0039625A" w:rsidRPr="00FA1334">
        <w:rPr>
          <w:rFonts w:ascii="Times New Roman" w:hAnsi="Times New Roman" w:cs="Times New Roman"/>
        </w:rPr>
        <w:t xml:space="preserve"> </w:t>
      </w:r>
      <w:r w:rsidR="0039625A" w:rsidRPr="00FA1334">
        <w:rPr>
          <w:rFonts w:ascii="Times New Roman" w:hAnsi="Times New Roman" w:cs="Times New Roman"/>
          <w:noProof/>
        </w:rPr>
        <w:t>(NRC 2008)</w:t>
      </w:r>
      <w:r w:rsidRPr="00FA1334">
        <w:rPr>
          <w:rFonts w:ascii="Times New Roman" w:hAnsi="Times New Roman" w:cs="Times New Roman"/>
        </w:rPr>
        <w:t xml:space="preserve"> and technology</w:t>
      </w:r>
      <w:r w:rsidR="0039625A" w:rsidRPr="00FA1334">
        <w:rPr>
          <w:rFonts w:ascii="Times New Roman" w:hAnsi="Times New Roman" w:cs="Times New Roman"/>
        </w:rPr>
        <w:t xml:space="preserve"> </w:t>
      </w:r>
      <w:r w:rsidR="00BF7E31" w:rsidRPr="00FA1334">
        <w:rPr>
          <w:rFonts w:ascii="Times New Roman" w:hAnsi="Times New Roman" w:cs="Times New Roman"/>
          <w:noProof/>
        </w:rPr>
        <w:t xml:space="preserve">(Moss et al. 2011; </w:t>
      </w:r>
      <w:r w:rsidR="00BF7E31" w:rsidRPr="00FA1334">
        <w:rPr>
          <w:rFonts w:ascii="Times New Roman" w:eastAsia="Calibri" w:hAnsi="Times New Roman" w:cs="Times New Roman"/>
          <w:noProof/>
        </w:rPr>
        <w:t>Bauer et al,</w:t>
      </w:r>
      <w:r w:rsidR="0039625A" w:rsidRPr="00FA1334">
        <w:rPr>
          <w:rFonts w:ascii="Times New Roman" w:hAnsi="Times New Roman" w:cs="Times New Roman"/>
          <w:noProof/>
        </w:rPr>
        <w:t xml:space="preserve"> 2011)</w:t>
      </w:r>
      <w:r w:rsidRPr="00FA1334">
        <w:rPr>
          <w:rFonts w:ascii="Times New Roman" w:hAnsi="Times New Roman" w:cs="Times New Roman"/>
        </w:rPr>
        <w:t xml:space="preserve">. The </w:t>
      </w:r>
      <w:r w:rsidR="005F62CE" w:rsidRPr="00FA1334">
        <w:rPr>
          <w:rFonts w:ascii="Times New Roman" w:hAnsi="Times New Roman" w:cs="Times New Roman"/>
        </w:rPr>
        <w:t xml:space="preserve">study by </w:t>
      </w:r>
      <w:r w:rsidRPr="00FA1334">
        <w:rPr>
          <w:rFonts w:ascii="Times New Roman" w:hAnsi="Times New Roman" w:cs="Times New Roman"/>
          <w:noProof/>
        </w:rPr>
        <w:t>(Morley &amp; Eatherley 2008)</w:t>
      </w:r>
      <w:r w:rsidR="00EE2BCB" w:rsidRPr="00FA1334">
        <w:rPr>
          <w:rFonts w:ascii="Times New Roman" w:hAnsi="Times New Roman" w:cs="Times New Roman"/>
        </w:rPr>
        <w:t xml:space="preserve"> made</w:t>
      </w:r>
      <w:r w:rsidRPr="00FA1334">
        <w:rPr>
          <w:rFonts w:ascii="Times New Roman" w:hAnsi="Times New Roman" w:cs="Times New Roman"/>
        </w:rPr>
        <w:t xml:space="preserve"> use of expert opinion</w:t>
      </w:r>
      <w:r w:rsidR="00DE479F" w:rsidRPr="00FA1334">
        <w:rPr>
          <w:rFonts w:ascii="Times New Roman" w:hAnsi="Times New Roman" w:cs="Times New Roman"/>
        </w:rPr>
        <w:t xml:space="preserve"> </w:t>
      </w:r>
      <w:r w:rsidR="00EE2BCB" w:rsidRPr="00FA1334">
        <w:rPr>
          <w:rFonts w:ascii="Times New Roman" w:hAnsi="Times New Roman" w:cs="Times New Roman"/>
        </w:rPr>
        <w:t>to decide which technologies were</w:t>
      </w:r>
      <w:r w:rsidRPr="00FA1334">
        <w:rPr>
          <w:rFonts w:ascii="Times New Roman" w:hAnsi="Times New Roman" w:cs="Times New Roman"/>
        </w:rPr>
        <w:t xml:space="preserve"> more inherently su</w:t>
      </w:r>
      <w:r w:rsidR="00EE2BCB" w:rsidRPr="00FA1334">
        <w:rPr>
          <w:rFonts w:ascii="Times New Roman" w:hAnsi="Times New Roman" w:cs="Times New Roman"/>
        </w:rPr>
        <w:t>bstitutable than others. This was</w:t>
      </w:r>
      <w:r w:rsidRPr="00FA1334">
        <w:rPr>
          <w:rFonts w:ascii="Times New Roman" w:hAnsi="Times New Roman" w:cs="Times New Roman"/>
        </w:rPr>
        <w:t xml:space="preserve"> also done in other studies </w:t>
      </w:r>
      <w:r w:rsidR="005F62CE" w:rsidRPr="00FA1334">
        <w:rPr>
          <w:rFonts w:ascii="Times New Roman" w:hAnsi="Times New Roman" w:cs="Times New Roman"/>
          <w:noProof/>
        </w:rPr>
        <w:t>(SEPA 2011; AEA 2010)</w:t>
      </w:r>
      <w:r w:rsidRPr="00FA1334">
        <w:rPr>
          <w:rFonts w:ascii="Times New Roman" w:hAnsi="Times New Roman" w:cs="Times New Roman"/>
        </w:rPr>
        <w:t>. However in all these cases,</w:t>
      </w:r>
      <w:r w:rsidR="00EE2BCB" w:rsidRPr="00FA1334">
        <w:rPr>
          <w:rFonts w:ascii="Times New Roman" w:hAnsi="Times New Roman" w:cs="Times New Roman"/>
        </w:rPr>
        <w:t xml:space="preserve"> the source of expert opinion was</w:t>
      </w:r>
      <w:r w:rsidRPr="00FA1334">
        <w:rPr>
          <w:rFonts w:ascii="Times New Roman" w:hAnsi="Times New Roman" w:cs="Times New Roman"/>
        </w:rPr>
        <w:t xml:space="preserve"> </w:t>
      </w:r>
      <w:r w:rsidR="00EE2BCB" w:rsidRPr="00FA1334">
        <w:rPr>
          <w:rFonts w:ascii="Times New Roman" w:hAnsi="Times New Roman" w:cs="Times New Roman"/>
        </w:rPr>
        <w:t>un</w:t>
      </w:r>
      <w:r w:rsidRPr="00FA1334">
        <w:rPr>
          <w:rFonts w:ascii="Times New Roman" w:hAnsi="Times New Roman" w:cs="Times New Roman"/>
        </w:rPr>
        <w:t>clear.</w:t>
      </w:r>
    </w:p>
    <w:p w:rsidR="000D6190" w:rsidRDefault="00C22432" w:rsidP="00DE479F">
      <w:pPr>
        <w:spacing w:line="360" w:lineRule="auto"/>
        <w:ind w:firstLine="720"/>
        <w:contextualSpacing/>
        <w:jc w:val="both"/>
        <w:rPr>
          <w:rFonts w:ascii="Times New Roman" w:hAnsi="Times New Roman" w:cs="Times New Roman"/>
        </w:rPr>
      </w:pPr>
      <w:r w:rsidRPr="00FA1334">
        <w:rPr>
          <w:rFonts w:ascii="Times New Roman" w:hAnsi="Times New Roman" w:cs="Times New Roman"/>
        </w:rPr>
        <w:t>However, availability of experts or development of substitutes may be of limited use, as substitutes can still appear unexpectedly.</w:t>
      </w:r>
    </w:p>
    <w:p w:rsidR="000D6190" w:rsidRDefault="00C22432" w:rsidP="000D6190">
      <w:pPr>
        <w:spacing w:line="360" w:lineRule="auto"/>
        <w:contextualSpacing/>
        <w:jc w:val="both"/>
        <w:rPr>
          <w:rFonts w:ascii="Times New Roman" w:hAnsi="Times New Roman" w:cs="Times New Roman"/>
        </w:rPr>
        <w:sectPr w:rsidR="000D6190" w:rsidSect="00C24042">
          <w:pgSz w:w="11906" w:h="16838"/>
          <w:pgMar w:top="1440" w:right="1440" w:bottom="1440" w:left="1440" w:header="708" w:footer="708" w:gutter="0"/>
          <w:cols w:space="708"/>
          <w:docGrid w:linePitch="360"/>
        </w:sectPr>
      </w:pPr>
      <w:r w:rsidRPr="00FA1334">
        <w:rPr>
          <w:rFonts w:ascii="Times New Roman" w:hAnsi="Times New Roman" w:cs="Times New Roman"/>
        </w:rPr>
        <w:t xml:space="preserve"> </w:t>
      </w:r>
    </w:p>
    <w:p w:rsidR="00241446" w:rsidRPr="00516259" w:rsidRDefault="001716DC" w:rsidP="00DE479F">
      <w:pPr>
        <w:pStyle w:val="Heading3"/>
      </w:pPr>
      <w:r w:rsidRPr="00516259">
        <w:lastRenderedPageBreak/>
        <w:t>3</w:t>
      </w:r>
      <w:r w:rsidR="00DE479F" w:rsidRPr="00516259">
        <w:t>.1.4 Other Factors</w:t>
      </w:r>
      <w:r w:rsidR="00D06B3E">
        <w:t xml:space="preserve"> </w:t>
      </w:r>
    </w:p>
    <w:p w:rsidR="00002678" w:rsidRPr="000D6190" w:rsidRDefault="00002678" w:rsidP="00002678">
      <w:pPr>
        <w:spacing w:line="360" w:lineRule="auto"/>
        <w:ind w:firstLine="720"/>
        <w:jc w:val="both"/>
        <w:rPr>
          <w:rFonts w:ascii="Times New Roman" w:hAnsi="Times New Roman" w:cs="Times New Roman"/>
        </w:rPr>
      </w:pPr>
      <w:r w:rsidRPr="000D6190">
        <w:rPr>
          <w:rFonts w:ascii="Times New Roman" w:hAnsi="Times New Roman" w:cs="Times New Roman"/>
        </w:rPr>
        <w:t xml:space="preserve">A number of </w:t>
      </w:r>
      <w:r w:rsidR="00BB1D35" w:rsidRPr="000D6190">
        <w:rPr>
          <w:rFonts w:ascii="Times New Roman" w:hAnsi="Times New Roman" w:cs="Times New Roman"/>
        </w:rPr>
        <w:t>additional</w:t>
      </w:r>
      <w:r w:rsidRPr="000D6190">
        <w:rPr>
          <w:rFonts w:ascii="Times New Roman" w:hAnsi="Times New Roman" w:cs="Times New Roman"/>
        </w:rPr>
        <w:t xml:space="preserve"> factors </w:t>
      </w:r>
      <w:r w:rsidR="00BB1D35" w:rsidRPr="000D6190">
        <w:rPr>
          <w:rFonts w:ascii="Times New Roman" w:hAnsi="Times New Roman" w:cs="Times New Roman"/>
        </w:rPr>
        <w:t>were</w:t>
      </w:r>
      <w:r w:rsidRPr="000D6190">
        <w:rPr>
          <w:rFonts w:ascii="Times New Roman" w:hAnsi="Times New Roman" w:cs="Times New Roman"/>
        </w:rPr>
        <w:t xml:space="preserve"> considered</w:t>
      </w:r>
      <w:r w:rsidR="009B5789" w:rsidRPr="000D6190">
        <w:rPr>
          <w:rFonts w:ascii="Times New Roman" w:hAnsi="Times New Roman" w:cs="Times New Roman"/>
        </w:rPr>
        <w:t>, although their use is</w:t>
      </w:r>
      <w:r w:rsidRPr="000D6190">
        <w:rPr>
          <w:rFonts w:ascii="Times New Roman" w:hAnsi="Times New Roman" w:cs="Times New Roman"/>
        </w:rPr>
        <w:t xml:space="preserve"> less common than the primary fact</w:t>
      </w:r>
      <w:r w:rsidR="00B664C7" w:rsidRPr="000D6190">
        <w:rPr>
          <w:rFonts w:ascii="Times New Roman" w:hAnsi="Times New Roman" w:cs="Times New Roman"/>
        </w:rPr>
        <w:t>or</w:t>
      </w:r>
      <w:r w:rsidR="00D06B3E" w:rsidRPr="000D6190">
        <w:rPr>
          <w:rFonts w:ascii="Times New Roman" w:hAnsi="Times New Roman" w:cs="Times New Roman"/>
        </w:rPr>
        <w:t>s considered previously, they can still influence the final criticality score. The main three factors considered were</w:t>
      </w:r>
      <w:r w:rsidRPr="000D6190">
        <w:rPr>
          <w:rFonts w:ascii="Times New Roman" w:hAnsi="Times New Roman" w:cs="Times New Roman"/>
        </w:rPr>
        <w:t>:</w:t>
      </w:r>
    </w:p>
    <w:p w:rsidR="00002678" w:rsidRPr="000D6190" w:rsidRDefault="00D06B3E" w:rsidP="00EE7761">
      <w:pPr>
        <w:pStyle w:val="ListParagraph"/>
        <w:numPr>
          <w:ilvl w:val="0"/>
          <w:numId w:val="17"/>
        </w:numPr>
        <w:spacing w:line="360" w:lineRule="auto"/>
        <w:jc w:val="both"/>
        <w:rPr>
          <w:rFonts w:ascii="Times New Roman" w:hAnsi="Times New Roman" w:cs="Times New Roman"/>
        </w:rPr>
      </w:pPr>
      <w:r w:rsidRPr="000D6190">
        <w:rPr>
          <w:rFonts w:ascii="Times New Roman" w:hAnsi="Times New Roman" w:cs="Times New Roman"/>
        </w:rPr>
        <w:t>C</w:t>
      </w:r>
      <w:r w:rsidR="00212115">
        <w:rPr>
          <w:rFonts w:ascii="Times New Roman" w:hAnsi="Times New Roman" w:cs="Times New Roman"/>
        </w:rPr>
        <w:t>ost reduction effects - which are</w:t>
      </w:r>
      <w:r w:rsidRPr="000D6190">
        <w:rPr>
          <w:rFonts w:ascii="Times New Roman" w:hAnsi="Times New Roman" w:cs="Times New Roman"/>
        </w:rPr>
        <w:t xml:space="preserve"> defined as the</w:t>
      </w:r>
      <w:r w:rsidR="00002678" w:rsidRPr="000D6190">
        <w:rPr>
          <w:rFonts w:ascii="Times New Roman" w:hAnsi="Times New Roman" w:cs="Times New Roman"/>
        </w:rPr>
        <w:t xml:space="preserve"> reduction of technology costs associated either with knowledge or innovation</w:t>
      </w:r>
      <w:r w:rsidRPr="000D6190">
        <w:rPr>
          <w:rFonts w:ascii="Times New Roman" w:hAnsi="Times New Roman" w:cs="Times New Roman"/>
        </w:rPr>
        <w:t>,</w:t>
      </w:r>
      <w:r w:rsidR="00002678" w:rsidRPr="000D6190">
        <w:rPr>
          <w:rFonts w:ascii="Times New Roman" w:hAnsi="Times New Roman" w:cs="Times New Roman"/>
        </w:rPr>
        <w:t xml:space="preserve"> whose impact is on supply or demand.</w:t>
      </w:r>
    </w:p>
    <w:p w:rsidR="00002678" w:rsidRPr="000D6190" w:rsidRDefault="00D06B3E" w:rsidP="00EE7761">
      <w:pPr>
        <w:pStyle w:val="ListParagraph"/>
        <w:numPr>
          <w:ilvl w:val="0"/>
          <w:numId w:val="17"/>
        </w:numPr>
        <w:spacing w:line="360" w:lineRule="auto"/>
        <w:jc w:val="both"/>
        <w:rPr>
          <w:rFonts w:ascii="Times New Roman" w:hAnsi="Times New Roman" w:cs="Times New Roman"/>
        </w:rPr>
      </w:pPr>
      <w:r w:rsidRPr="000D6190">
        <w:rPr>
          <w:rFonts w:ascii="Times New Roman" w:hAnsi="Times New Roman" w:cs="Times New Roman"/>
        </w:rPr>
        <w:t>Ec</w:t>
      </w:r>
      <w:r w:rsidR="00FC7551" w:rsidRPr="000D6190">
        <w:rPr>
          <w:rFonts w:ascii="Times New Roman" w:hAnsi="Times New Roman" w:cs="Times New Roman"/>
        </w:rPr>
        <w:t xml:space="preserve">onomic importance </w:t>
      </w:r>
      <w:r w:rsidRPr="000D6190">
        <w:rPr>
          <w:rFonts w:ascii="Times New Roman" w:hAnsi="Times New Roman" w:cs="Times New Roman"/>
        </w:rPr>
        <w:t xml:space="preserve">- </w:t>
      </w:r>
      <w:r w:rsidR="00002678" w:rsidRPr="000D6190">
        <w:rPr>
          <w:rFonts w:ascii="Times New Roman" w:hAnsi="Times New Roman" w:cs="Times New Roman"/>
        </w:rPr>
        <w:t>which measures how critical a material is based on a particular economy.</w:t>
      </w:r>
    </w:p>
    <w:p w:rsidR="00002678" w:rsidRPr="000D6190" w:rsidRDefault="00D06B3E" w:rsidP="00EE7761">
      <w:pPr>
        <w:pStyle w:val="ListParagraph"/>
        <w:numPr>
          <w:ilvl w:val="0"/>
          <w:numId w:val="17"/>
        </w:numPr>
        <w:spacing w:line="360" w:lineRule="auto"/>
        <w:jc w:val="both"/>
        <w:rPr>
          <w:rFonts w:ascii="Times New Roman" w:hAnsi="Times New Roman" w:cs="Times New Roman"/>
        </w:rPr>
      </w:pPr>
      <w:r w:rsidRPr="000D6190">
        <w:rPr>
          <w:rFonts w:ascii="Times New Roman" w:hAnsi="Times New Roman" w:cs="Times New Roman"/>
        </w:rPr>
        <w:t xml:space="preserve">Environmental issues - </w:t>
      </w:r>
      <w:r w:rsidR="00002678" w:rsidRPr="000D6190">
        <w:rPr>
          <w:rFonts w:ascii="Times New Roman" w:hAnsi="Times New Roman" w:cs="Times New Roman"/>
        </w:rPr>
        <w:t>which is a measure of the potential for environmental impacts of material production to become an influence on future production through regulation.</w:t>
      </w:r>
    </w:p>
    <w:p w:rsidR="00EC18C4" w:rsidRPr="000D6190" w:rsidRDefault="009E4D7A" w:rsidP="009B5789">
      <w:pPr>
        <w:spacing w:line="360" w:lineRule="auto"/>
        <w:ind w:firstLine="720"/>
        <w:contextualSpacing/>
        <w:jc w:val="both"/>
        <w:rPr>
          <w:rFonts w:ascii="Times New Roman" w:hAnsi="Times New Roman" w:cs="Times New Roman"/>
        </w:rPr>
      </w:pPr>
      <w:r w:rsidRPr="000D6190">
        <w:rPr>
          <w:rFonts w:ascii="Times New Roman" w:hAnsi="Times New Roman" w:cs="Times New Roman"/>
        </w:rPr>
        <w:t>C</w:t>
      </w:r>
      <w:r w:rsidR="00002678" w:rsidRPr="000D6190">
        <w:rPr>
          <w:rFonts w:ascii="Times New Roman" w:hAnsi="Times New Roman" w:cs="Times New Roman"/>
        </w:rPr>
        <w:t>ost reduction</w:t>
      </w:r>
      <w:r w:rsidRPr="000D6190">
        <w:rPr>
          <w:rFonts w:ascii="Times New Roman" w:hAnsi="Times New Roman" w:cs="Times New Roman"/>
        </w:rPr>
        <w:t xml:space="preserve"> effects</w:t>
      </w:r>
      <w:r w:rsidR="009B7E26" w:rsidRPr="000D6190">
        <w:rPr>
          <w:rFonts w:ascii="Times New Roman" w:hAnsi="Times New Roman" w:cs="Times New Roman"/>
        </w:rPr>
        <w:t xml:space="preserve"> can be both demand and supply </w:t>
      </w:r>
      <w:r w:rsidR="00002678" w:rsidRPr="000D6190">
        <w:rPr>
          <w:rFonts w:ascii="Times New Roman" w:hAnsi="Times New Roman" w:cs="Times New Roman"/>
        </w:rPr>
        <w:t xml:space="preserve">related. </w:t>
      </w:r>
      <w:r w:rsidRPr="000D6190">
        <w:rPr>
          <w:rFonts w:ascii="Times New Roman" w:hAnsi="Times New Roman" w:cs="Times New Roman"/>
        </w:rPr>
        <w:t xml:space="preserve">On the demand side, reduction in costs are mostly due to material intensity or novelty and learning effects. </w:t>
      </w:r>
      <w:r w:rsidR="00002678" w:rsidRPr="000D6190">
        <w:rPr>
          <w:rFonts w:ascii="Times New Roman" w:hAnsi="Times New Roman" w:cs="Times New Roman"/>
        </w:rPr>
        <w:t>The supply side includes reductions in the cost of metal extraction, production, refining and recycling</w:t>
      </w:r>
      <w:r w:rsidR="009B7E26" w:rsidRPr="000D6190">
        <w:rPr>
          <w:rFonts w:ascii="Times New Roman" w:hAnsi="Times New Roman" w:cs="Times New Roman"/>
        </w:rPr>
        <w:t xml:space="preserve"> processes</w:t>
      </w:r>
      <w:r w:rsidR="00002678" w:rsidRPr="000D6190">
        <w:rPr>
          <w:rFonts w:ascii="Times New Roman" w:hAnsi="Times New Roman" w:cs="Times New Roman"/>
        </w:rPr>
        <w:t xml:space="preserve">. </w:t>
      </w:r>
      <w:r w:rsidR="00EC18C4" w:rsidRPr="000D6190">
        <w:rPr>
          <w:rFonts w:ascii="Times New Roman" w:hAnsi="Times New Roman" w:cs="Times New Roman"/>
        </w:rPr>
        <w:t>Use of c</w:t>
      </w:r>
      <w:r w:rsidR="00002678" w:rsidRPr="000D6190">
        <w:rPr>
          <w:rFonts w:ascii="Times New Roman" w:hAnsi="Times New Roman" w:cs="Times New Roman"/>
        </w:rPr>
        <w:t>ost reduction effects are</w:t>
      </w:r>
      <w:r w:rsidR="00EC18C4" w:rsidRPr="000D6190">
        <w:rPr>
          <w:rFonts w:ascii="Times New Roman" w:hAnsi="Times New Roman" w:cs="Times New Roman"/>
        </w:rPr>
        <w:t xml:space="preserve"> only</w:t>
      </w:r>
      <w:r w:rsidR="00002678" w:rsidRPr="000D6190">
        <w:rPr>
          <w:rFonts w:ascii="Times New Roman" w:hAnsi="Times New Roman" w:cs="Times New Roman"/>
        </w:rPr>
        <w:t xml:space="preserve"> considered in a </w:t>
      </w:r>
      <w:r w:rsidR="00EC18C4" w:rsidRPr="000D6190">
        <w:rPr>
          <w:rFonts w:ascii="Times New Roman" w:hAnsi="Times New Roman" w:cs="Times New Roman"/>
        </w:rPr>
        <w:t>select few</w:t>
      </w:r>
      <w:r w:rsidR="00002678" w:rsidRPr="000D6190">
        <w:rPr>
          <w:rFonts w:ascii="Times New Roman" w:hAnsi="Times New Roman" w:cs="Times New Roman"/>
        </w:rPr>
        <w:t xml:space="preserve"> studies</w:t>
      </w:r>
      <w:r w:rsidR="00FC7551" w:rsidRPr="000D6190">
        <w:rPr>
          <w:rFonts w:ascii="Times New Roman" w:hAnsi="Times New Roman" w:cs="Times New Roman"/>
        </w:rPr>
        <w:t xml:space="preserve"> </w:t>
      </w:r>
      <w:r w:rsidR="00BF7E31" w:rsidRPr="000D6190">
        <w:rPr>
          <w:rStyle w:val="ReferenceChar"/>
          <w:noProof/>
          <w:color w:val="auto"/>
        </w:rPr>
        <w:t xml:space="preserve">(Graedel et al. 2012; </w:t>
      </w:r>
      <w:r w:rsidR="00BF7E31" w:rsidRPr="000D6190">
        <w:rPr>
          <w:rFonts w:ascii="Times New Roman" w:eastAsia="Calibri" w:hAnsi="Times New Roman" w:cs="Times New Roman"/>
          <w:noProof/>
        </w:rPr>
        <w:t>Bauer et al,</w:t>
      </w:r>
      <w:r w:rsidR="00FC7551" w:rsidRPr="000D6190">
        <w:rPr>
          <w:rStyle w:val="ReferenceChar"/>
          <w:noProof/>
          <w:color w:val="auto"/>
        </w:rPr>
        <w:t xml:space="preserve"> 2011)</w:t>
      </w:r>
      <w:r w:rsidR="00FC7551" w:rsidRPr="000D6190">
        <w:rPr>
          <w:rFonts w:ascii="Times New Roman" w:hAnsi="Times New Roman" w:cs="Times New Roman"/>
        </w:rPr>
        <w:t xml:space="preserve"> </w:t>
      </w:r>
      <w:r w:rsidR="00002678" w:rsidRPr="000D6190">
        <w:rPr>
          <w:rFonts w:ascii="Times New Roman" w:hAnsi="Times New Roman" w:cs="Times New Roman"/>
        </w:rPr>
        <w:t xml:space="preserve">and mainly include the assumptions that production costs will decrease or remain constant </w:t>
      </w:r>
      <w:r w:rsidR="00002678" w:rsidRPr="000D6190">
        <w:rPr>
          <w:rFonts w:ascii="Times New Roman" w:hAnsi="Times New Roman" w:cs="Times New Roman"/>
          <w:noProof/>
        </w:rPr>
        <w:t>(Rosenau-Tornow et al. 2009)</w:t>
      </w:r>
      <w:r w:rsidR="00002678" w:rsidRPr="000D6190">
        <w:rPr>
          <w:rFonts w:ascii="Times New Roman" w:hAnsi="Times New Roman" w:cs="Times New Roman"/>
        </w:rPr>
        <w:t>.</w:t>
      </w:r>
      <w:r w:rsidR="009B5789" w:rsidRPr="000D6190">
        <w:rPr>
          <w:rFonts w:ascii="Times New Roman" w:hAnsi="Times New Roman" w:cs="Times New Roman"/>
        </w:rPr>
        <w:t xml:space="preserve"> </w:t>
      </w:r>
      <w:r w:rsidR="00212115">
        <w:rPr>
          <w:rFonts w:ascii="Times New Roman" w:hAnsi="Times New Roman" w:cs="Times New Roman"/>
        </w:rPr>
        <w:t>The study by</w:t>
      </w:r>
      <w:r w:rsidR="00EC18C4" w:rsidRPr="000D6190">
        <w:rPr>
          <w:rFonts w:ascii="Times New Roman" w:hAnsi="Times New Roman" w:cs="Times New Roman"/>
        </w:rPr>
        <w:t xml:space="preserve"> </w:t>
      </w:r>
      <w:r w:rsidR="00EC18C4" w:rsidRPr="000D6190">
        <w:rPr>
          <w:rFonts w:ascii="Times New Roman" w:hAnsi="Times New Roman" w:cs="Times New Roman"/>
          <w:noProof/>
        </w:rPr>
        <w:t>(Achzet 2011)</w:t>
      </w:r>
      <w:r w:rsidR="00EC18C4" w:rsidRPr="000D6190">
        <w:rPr>
          <w:rFonts w:ascii="Times New Roman" w:hAnsi="Times New Roman" w:cs="Times New Roman"/>
        </w:rPr>
        <w:t xml:space="preserve"> was the noteworthy exception, since it did not consider cost reduction via technology inno</w:t>
      </w:r>
      <w:r w:rsidR="00DC0500" w:rsidRPr="000D6190">
        <w:rPr>
          <w:rFonts w:ascii="Times New Roman" w:hAnsi="Times New Roman" w:cs="Times New Roman"/>
        </w:rPr>
        <w:t>vation. Instead this study focu</w:t>
      </w:r>
      <w:r w:rsidR="00EC18C4" w:rsidRPr="000D6190">
        <w:rPr>
          <w:rFonts w:ascii="Times New Roman" w:hAnsi="Times New Roman" w:cs="Times New Roman"/>
        </w:rPr>
        <w:t xml:space="preserve">sed more on the complex extraction and processing techniques on supply and price. </w:t>
      </w:r>
    </w:p>
    <w:p w:rsidR="00430CBC" w:rsidRPr="000D6190" w:rsidRDefault="00EC18C4" w:rsidP="00430CBC">
      <w:pPr>
        <w:spacing w:line="360" w:lineRule="auto"/>
        <w:ind w:firstLine="720"/>
        <w:contextualSpacing/>
        <w:jc w:val="both"/>
        <w:rPr>
          <w:rFonts w:ascii="Times New Roman" w:hAnsi="Times New Roman" w:cs="Times New Roman"/>
        </w:rPr>
      </w:pPr>
      <w:r w:rsidRPr="000D6190">
        <w:rPr>
          <w:rFonts w:ascii="Times New Roman" w:hAnsi="Times New Roman" w:cs="Times New Roman"/>
        </w:rPr>
        <w:t>From all 10 studies, no single study</w:t>
      </w:r>
      <w:r w:rsidR="009921B5" w:rsidRPr="000D6190">
        <w:rPr>
          <w:rFonts w:ascii="Times New Roman" w:hAnsi="Times New Roman" w:cs="Times New Roman"/>
        </w:rPr>
        <w:t xml:space="preserve"> investigated</w:t>
      </w:r>
      <w:r w:rsidR="00002678" w:rsidRPr="000D6190">
        <w:rPr>
          <w:rFonts w:ascii="Times New Roman" w:hAnsi="Times New Roman" w:cs="Times New Roman"/>
        </w:rPr>
        <w:t xml:space="preserve"> the concept of dynamic modelling, in which certain resources (e.g. recycled metals) become gradually profitable and accessible.</w:t>
      </w:r>
      <w:r w:rsidR="00E05BB9" w:rsidRPr="000D6190">
        <w:rPr>
          <w:rFonts w:ascii="Times New Roman" w:hAnsi="Times New Roman" w:cs="Times New Roman"/>
        </w:rPr>
        <w:t xml:space="preserve"> But, </w:t>
      </w:r>
      <w:r w:rsidR="00002678" w:rsidRPr="000D6190">
        <w:rPr>
          <w:rFonts w:ascii="Times New Roman" w:hAnsi="Times New Roman" w:cs="Times New Roman"/>
          <w:noProof/>
        </w:rPr>
        <w:t>(Graedel et al. 2012)</w:t>
      </w:r>
      <w:r w:rsidR="005053E8" w:rsidRPr="000D6190">
        <w:rPr>
          <w:rFonts w:ascii="Times New Roman" w:hAnsi="Times New Roman" w:cs="Times New Roman"/>
        </w:rPr>
        <w:t xml:space="preserve"> was</w:t>
      </w:r>
      <w:r w:rsidR="00002678" w:rsidRPr="000D6190">
        <w:rPr>
          <w:rFonts w:ascii="Times New Roman" w:hAnsi="Times New Roman" w:cs="Times New Roman"/>
        </w:rPr>
        <w:t xml:space="preserve"> the only study </w:t>
      </w:r>
      <w:r w:rsidR="00430CBC" w:rsidRPr="000D6190">
        <w:rPr>
          <w:rFonts w:ascii="Times New Roman" w:hAnsi="Times New Roman" w:cs="Times New Roman"/>
        </w:rPr>
        <w:t xml:space="preserve">to consider innovation directly, through the use of the </w:t>
      </w:r>
      <w:r w:rsidR="00430CBC" w:rsidRPr="000D6190">
        <w:rPr>
          <w:rFonts w:ascii="Times New Roman" w:hAnsi="Times New Roman" w:cs="Times New Roman"/>
          <w:sz w:val="23"/>
          <w:szCs w:val="23"/>
        </w:rPr>
        <w:t>Global Innovation Index (GII), developed by business school, INSEAD.</w:t>
      </w:r>
    </w:p>
    <w:p w:rsidR="002841A7" w:rsidRPr="000D6190" w:rsidRDefault="00002678" w:rsidP="00430CBC">
      <w:pPr>
        <w:spacing w:line="360" w:lineRule="auto"/>
        <w:ind w:firstLine="720"/>
        <w:contextualSpacing/>
        <w:jc w:val="both"/>
        <w:rPr>
          <w:rFonts w:ascii="Times New Roman" w:eastAsia="Calibri" w:hAnsi="Times New Roman"/>
        </w:rPr>
      </w:pPr>
      <w:bookmarkStart w:id="23" w:name="_Toc475570502"/>
      <w:r w:rsidRPr="000D6190">
        <w:rPr>
          <w:rFonts w:ascii="Times New Roman" w:hAnsi="Times New Roman" w:cs="Times New Roman"/>
          <w:sz w:val="23"/>
          <w:szCs w:val="23"/>
        </w:rPr>
        <w:t>The GII provides a score from 1 (least innovative) to 7 (mos</w:t>
      </w:r>
      <w:r w:rsidR="00430CBC" w:rsidRPr="000D6190">
        <w:rPr>
          <w:rFonts w:ascii="Times New Roman" w:hAnsi="Times New Roman" w:cs="Times New Roman"/>
          <w:sz w:val="23"/>
          <w:szCs w:val="23"/>
        </w:rPr>
        <w:t>t innovative) for 125 nations. R</w:t>
      </w:r>
      <w:r w:rsidR="002841A7" w:rsidRPr="000D6190">
        <w:rPr>
          <w:rFonts w:ascii="Times New Roman" w:hAnsi="Times New Roman" w:cs="Times New Roman"/>
          <w:sz w:val="23"/>
          <w:szCs w:val="23"/>
        </w:rPr>
        <w:t xml:space="preserve">epresented by </w:t>
      </w:r>
      <w:r w:rsidR="00F3311E" w:rsidRPr="000D6190">
        <w:rPr>
          <w:rStyle w:val="EquationChar"/>
          <w:color w:val="auto"/>
        </w:rPr>
        <w:t xml:space="preserve">Equation </w:t>
      </w:r>
      <w:r w:rsidR="009A0ED7" w:rsidRPr="000D6190">
        <w:rPr>
          <w:rStyle w:val="EquationChar"/>
          <w:color w:val="auto"/>
        </w:rPr>
        <w:fldChar w:fldCharType="begin"/>
      </w:r>
      <w:r w:rsidR="00F3311E" w:rsidRPr="000D6190">
        <w:rPr>
          <w:rStyle w:val="EquationChar"/>
          <w:color w:val="auto"/>
        </w:rPr>
        <w:instrText xml:space="preserve"> SEQ Equation \* ARABIC </w:instrText>
      </w:r>
      <w:r w:rsidR="009A0ED7" w:rsidRPr="000D6190">
        <w:rPr>
          <w:rStyle w:val="EquationChar"/>
          <w:color w:val="auto"/>
        </w:rPr>
        <w:fldChar w:fldCharType="separate"/>
      </w:r>
      <w:r w:rsidR="009F5483">
        <w:rPr>
          <w:rStyle w:val="EquationChar"/>
          <w:noProof/>
          <w:color w:val="auto"/>
        </w:rPr>
        <w:t>2</w:t>
      </w:r>
      <w:r w:rsidR="009A0ED7" w:rsidRPr="000D6190">
        <w:rPr>
          <w:rStyle w:val="EquationChar"/>
          <w:color w:val="auto"/>
        </w:rPr>
        <w:fldChar w:fldCharType="end"/>
      </w:r>
      <w:r w:rsidR="00430CBC" w:rsidRPr="000D6190">
        <w:rPr>
          <w:rStyle w:val="EquationChar"/>
          <w:color w:val="auto"/>
        </w:rPr>
        <w:t xml:space="preserve">, </w:t>
      </w:r>
      <w:r w:rsidR="00430CBC" w:rsidRPr="000D6190">
        <w:rPr>
          <w:rFonts w:ascii="Times New Roman" w:hAnsi="Times New Roman" w:cs="Times New Roman"/>
        </w:rPr>
        <w:t>the index is composed of a total of 60 variables that are based on seven categories namely</w:t>
      </w:r>
      <w:r w:rsidR="009921B5" w:rsidRPr="000D6190">
        <w:rPr>
          <w:rFonts w:ascii="Times New Roman" w:hAnsi="Times New Roman" w:cs="Times New Roman"/>
        </w:rPr>
        <w:t>: B</w:t>
      </w:r>
      <w:r w:rsidR="00430CBC" w:rsidRPr="000D6190">
        <w:rPr>
          <w:rFonts w:ascii="Times New Roman" w:hAnsi="Times New Roman" w:cs="Times New Roman"/>
        </w:rPr>
        <w:t>usiness sophistication, Creative outputs, Human capital and research, Infrastructure, Institutions, Market sophistication and scientific outputs.</w:t>
      </w:r>
      <w:bookmarkEnd w:id="23"/>
      <w:r w:rsidR="00430CBC" w:rsidRPr="000D6190">
        <w:rPr>
          <w:rFonts w:ascii="Times New Roman" w:hAnsi="Times New Roman" w:cs="Times New Roman"/>
        </w:rPr>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0"/>
        <w:gridCol w:w="7194"/>
        <w:gridCol w:w="1172"/>
      </w:tblGrid>
      <w:tr w:rsidR="00002678" w:rsidRPr="000D6190" w:rsidTr="00D06B3E">
        <w:trPr>
          <w:trHeight w:val="603"/>
          <w:jc w:val="center"/>
        </w:trPr>
        <w:tc>
          <w:tcPr>
            <w:tcW w:w="366" w:type="pct"/>
            <w:vAlign w:val="center"/>
          </w:tcPr>
          <w:p w:rsidR="00002678" w:rsidRPr="000D6190" w:rsidRDefault="00002678" w:rsidP="00F3311E">
            <w:pPr>
              <w:spacing w:line="360" w:lineRule="auto"/>
              <w:contextualSpacing/>
              <w:jc w:val="center"/>
              <w:rPr>
                <w:rFonts w:ascii="Times New Roman" w:hAnsi="Times New Roman" w:cs="Times New Roman"/>
                <w:sz w:val="23"/>
                <w:szCs w:val="23"/>
              </w:rPr>
            </w:pPr>
          </w:p>
        </w:tc>
        <w:tc>
          <w:tcPr>
            <w:tcW w:w="3985" w:type="pct"/>
            <w:vAlign w:val="center"/>
          </w:tcPr>
          <w:p w:rsidR="00002678" w:rsidRPr="000D6190" w:rsidRDefault="00002678" w:rsidP="00F3311E">
            <w:pPr>
              <w:spacing w:line="360" w:lineRule="auto"/>
              <w:contextualSpacing/>
              <w:jc w:val="center"/>
              <w:rPr>
                <w:sz w:val="23"/>
                <w:szCs w:val="23"/>
              </w:rPr>
            </w:pPr>
            <m:oMathPara>
              <m:oMath>
                <m:r>
                  <w:rPr>
                    <w:rFonts w:ascii="Cambria Math" w:hAnsi="Cambria Math"/>
                    <w:sz w:val="24"/>
                    <w:szCs w:val="23"/>
                  </w:rPr>
                  <m:t xml:space="preserve">GII Transformed= </m:t>
                </m:r>
                <m:f>
                  <m:fPr>
                    <m:ctrlPr>
                      <w:rPr>
                        <w:rFonts w:ascii="Cambria Math" w:hAnsi="Cambria Math"/>
                        <w:i/>
                        <w:sz w:val="24"/>
                        <w:szCs w:val="23"/>
                      </w:rPr>
                    </m:ctrlPr>
                  </m:fPr>
                  <m:num>
                    <m:r>
                      <w:rPr>
                        <w:rFonts w:ascii="Cambria Math" w:hAnsi="Cambria Math"/>
                        <w:sz w:val="24"/>
                        <w:szCs w:val="23"/>
                      </w:rPr>
                      <m:t>350</m:t>
                    </m:r>
                  </m:num>
                  <m:den>
                    <m:r>
                      <w:rPr>
                        <w:rFonts w:ascii="Cambria Math" w:hAnsi="Cambria Math"/>
                        <w:sz w:val="24"/>
                        <w:szCs w:val="23"/>
                      </w:rPr>
                      <m:t>3</m:t>
                    </m:r>
                  </m:den>
                </m:f>
                <m:r>
                  <w:rPr>
                    <w:rFonts w:ascii="Cambria Math" w:hAnsi="Cambria Math"/>
                    <w:sz w:val="24"/>
                    <w:szCs w:val="23"/>
                  </w:rPr>
                  <m:t>-</m:t>
                </m:r>
                <m:f>
                  <m:fPr>
                    <m:ctrlPr>
                      <w:rPr>
                        <w:rFonts w:ascii="Cambria Math" w:hAnsi="Cambria Math"/>
                        <w:i/>
                        <w:sz w:val="24"/>
                        <w:szCs w:val="23"/>
                      </w:rPr>
                    </m:ctrlPr>
                  </m:fPr>
                  <m:num>
                    <m:r>
                      <w:rPr>
                        <w:rFonts w:ascii="Cambria Math" w:hAnsi="Cambria Math"/>
                        <w:sz w:val="24"/>
                        <w:szCs w:val="23"/>
                      </w:rPr>
                      <m:t>50</m:t>
                    </m:r>
                  </m:num>
                  <m:den>
                    <m:r>
                      <w:rPr>
                        <w:rFonts w:ascii="Cambria Math" w:hAnsi="Cambria Math"/>
                        <w:sz w:val="24"/>
                        <w:szCs w:val="23"/>
                      </w:rPr>
                      <m:t>3</m:t>
                    </m:r>
                  </m:den>
                </m:f>
                <m:r>
                  <w:rPr>
                    <w:rFonts w:ascii="Cambria Math" w:hAnsi="Cambria Math"/>
                    <w:sz w:val="24"/>
                    <w:szCs w:val="23"/>
                  </w:rPr>
                  <m:t>×GII</m:t>
                </m:r>
              </m:oMath>
            </m:oMathPara>
          </w:p>
          <w:p w:rsidR="00002678" w:rsidRPr="000D6190" w:rsidRDefault="00002678" w:rsidP="00F3311E">
            <w:pPr>
              <w:spacing w:line="360" w:lineRule="auto"/>
              <w:contextualSpacing/>
              <w:jc w:val="center"/>
              <w:rPr>
                <w:rFonts w:ascii="Times New Roman" w:hAnsi="Times New Roman" w:cs="Times New Roman"/>
                <w:sz w:val="23"/>
                <w:szCs w:val="23"/>
              </w:rPr>
            </w:pPr>
          </w:p>
        </w:tc>
        <w:tc>
          <w:tcPr>
            <w:tcW w:w="649" w:type="pct"/>
          </w:tcPr>
          <w:p w:rsidR="00002678" w:rsidRPr="000D6190" w:rsidRDefault="00002678" w:rsidP="00D06B3E">
            <w:pPr>
              <w:pStyle w:val="Equation"/>
              <w:jc w:val="center"/>
              <w:rPr>
                <w:color w:val="auto"/>
              </w:rPr>
            </w:pPr>
            <w:r w:rsidRPr="006624F7">
              <w:rPr>
                <w:color w:val="FF0000"/>
              </w:rPr>
              <w:t>(</w:t>
            </w:r>
            <w:r w:rsidR="005053E8" w:rsidRPr="006624F7">
              <w:rPr>
                <w:color w:val="FF0000"/>
              </w:rPr>
              <w:t>2</w:t>
            </w:r>
            <w:r w:rsidRPr="006624F7">
              <w:rPr>
                <w:color w:val="FF0000"/>
              </w:rPr>
              <w:t>)</w:t>
            </w:r>
          </w:p>
        </w:tc>
      </w:tr>
    </w:tbl>
    <w:p w:rsidR="00B96C31" w:rsidRPr="000D6190" w:rsidRDefault="00002678" w:rsidP="00347890">
      <w:pPr>
        <w:spacing w:line="360" w:lineRule="auto"/>
        <w:ind w:firstLine="720"/>
        <w:contextualSpacing/>
        <w:jc w:val="both"/>
        <w:rPr>
          <w:rFonts w:ascii="Times New Roman" w:hAnsi="Times New Roman" w:cs="Times New Roman"/>
        </w:rPr>
      </w:pPr>
      <w:r w:rsidRPr="000D6190">
        <w:rPr>
          <w:rFonts w:ascii="Times New Roman" w:hAnsi="Times New Roman" w:cs="Times New Roman"/>
        </w:rPr>
        <w:t>In</w:t>
      </w:r>
      <w:r w:rsidR="009921B5" w:rsidRPr="000D6190">
        <w:rPr>
          <w:rFonts w:ascii="Times New Roman" w:hAnsi="Times New Roman" w:cs="Times New Roman"/>
        </w:rPr>
        <w:t xml:space="preserve"> the present</w:t>
      </w:r>
      <w:r w:rsidRPr="000D6190">
        <w:rPr>
          <w:rFonts w:ascii="Times New Roman" w:hAnsi="Times New Roman" w:cs="Times New Roman"/>
        </w:rPr>
        <w:t xml:space="preserve"> literature alternative innovation scales exist e.g. </w:t>
      </w:r>
      <w:r w:rsidRPr="000D6190">
        <w:rPr>
          <w:rFonts w:ascii="Times New Roman" w:hAnsi="Times New Roman" w:cs="Times New Roman"/>
          <w:noProof/>
        </w:rPr>
        <w:t>(</w:t>
      </w:r>
      <w:r w:rsidR="00814A83" w:rsidRPr="000D6190">
        <w:rPr>
          <w:rFonts w:ascii="Times New Roman" w:hAnsi="Times New Roman" w:cs="Times New Roman"/>
          <w:noProof/>
        </w:rPr>
        <w:t>Schwab et al</w:t>
      </w:r>
      <w:r w:rsidR="00D02D5B" w:rsidRPr="000D6190">
        <w:rPr>
          <w:rFonts w:ascii="Times New Roman" w:hAnsi="Times New Roman" w:cs="Times New Roman"/>
          <w:noProof/>
        </w:rPr>
        <w:t>.,</w:t>
      </w:r>
      <w:r w:rsidRPr="000D6190">
        <w:rPr>
          <w:rFonts w:ascii="Times New Roman" w:hAnsi="Times New Roman" w:cs="Times New Roman"/>
          <w:noProof/>
        </w:rPr>
        <w:t xml:space="preserve"> 2002)</w:t>
      </w:r>
      <w:r w:rsidRPr="000D6190">
        <w:rPr>
          <w:rFonts w:ascii="Times New Roman" w:hAnsi="Times New Roman" w:cs="Times New Roman"/>
        </w:rPr>
        <w:t xml:space="preserve"> but are not utilised in any other studies.</w:t>
      </w:r>
    </w:p>
    <w:p w:rsidR="00407902" w:rsidRPr="000D6190" w:rsidRDefault="002841A7" w:rsidP="00846688">
      <w:pPr>
        <w:spacing w:line="360" w:lineRule="auto"/>
        <w:ind w:firstLine="720"/>
        <w:contextualSpacing/>
        <w:jc w:val="both"/>
        <w:rPr>
          <w:rFonts w:ascii="Times New Roman" w:hAnsi="Times New Roman" w:cs="Times New Roman"/>
        </w:rPr>
      </w:pPr>
      <w:r w:rsidRPr="000D6190">
        <w:rPr>
          <w:rFonts w:ascii="Times New Roman" w:hAnsi="Times New Roman" w:cs="Times New Roman"/>
        </w:rPr>
        <w:t>In terms of e</w:t>
      </w:r>
      <w:r w:rsidR="00002678" w:rsidRPr="000D6190">
        <w:rPr>
          <w:rFonts w:ascii="Times New Roman" w:hAnsi="Times New Roman" w:cs="Times New Roman"/>
        </w:rPr>
        <w:t>conomic importance</w:t>
      </w:r>
      <w:r w:rsidR="009921B5" w:rsidRPr="000D6190">
        <w:rPr>
          <w:rFonts w:ascii="Times New Roman" w:hAnsi="Times New Roman" w:cs="Times New Roman"/>
        </w:rPr>
        <w:t>, this factor</w:t>
      </w:r>
      <w:r w:rsidR="00B96C31" w:rsidRPr="000D6190">
        <w:rPr>
          <w:rFonts w:ascii="Times New Roman" w:hAnsi="Times New Roman" w:cs="Times New Roman"/>
        </w:rPr>
        <w:t xml:space="preserve"> is</w:t>
      </w:r>
      <w:r w:rsidRPr="000D6190">
        <w:rPr>
          <w:rFonts w:ascii="Times New Roman" w:hAnsi="Times New Roman" w:cs="Times New Roman"/>
        </w:rPr>
        <w:t xml:space="preserve"> </w:t>
      </w:r>
      <w:r w:rsidR="009921B5" w:rsidRPr="000D6190">
        <w:rPr>
          <w:rFonts w:ascii="Times New Roman" w:hAnsi="Times New Roman" w:cs="Times New Roman"/>
        </w:rPr>
        <w:t>not considered in</w:t>
      </w:r>
      <w:r w:rsidR="00002678" w:rsidRPr="000D6190">
        <w:rPr>
          <w:rFonts w:ascii="Times New Roman" w:hAnsi="Times New Roman" w:cs="Times New Roman"/>
        </w:rPr>
        <w:t xml:space="preserve"> many general critical</w:t>
      </w:r>
      <w:r w:rsidRPr="000D6190">
        <w:rPr>
          <w:rFonts w:ascii="Times New Roman" w:hAnsi="Times New Roman" w:cs="Times New Roman"/>
        </w:rPr>
        <w:t>ity studies, but are inherent for</w:t>
      </w:r>
      <w:r w:rsidR="00002678" w:rsidRPr="000D6190">
        <w:rPr>
          <w:rFonts w:ascii="Times New Roman" w:hAnsi="Times New Roman" w:cs="Times New Roman"/>
        </w:rPr>
        <w:t xml:space="preserve"> studies with</w:t>
      </w:r>
      <w:r w:rsidR="00846688" w:rsidRPr="000D6190">
        <w:rPr>
          <w:rFonts w:ascii="Times New Roman" w:hAnsi="Times New Roman" w:cs="Times New Roman"/>
        </w:rPr>
        <w:t xml:space="preserve"> a corporate or national scope. </w:t>
      </w:r>
      <w:r w:rsidR="00407902" w:rsidRPr="000D6190">
        <w:rPr>
          <w:rFonts w:ascii="Times New Roman" w:hAnsi="Times New Roman" w:cs="Times New Roman"/>
        </w:rPr>
        <w:t>In the studies that it was considered in, economic importance was</w:t>
      </w:r>
      <w:r w:rsidR="00002678" w:rsidRPr="000D6190">
        <w:rPr>
          <w:rFonts w:ascii="Times New Roman" w:hAnsi="Times New Roman" w:cs="Times New Roman"/>
        </w:rPr>
        <w:t xml:space="preserve"> quantified in various ways</w:t>
      </w:r>
      <w:r w:rsidR="00407902" w:rsidRPr="000D6190">
        <w:rPr>
          <w:rFonts w:ascii="Times New Roman" w:hAnsi="Times New Roman" w:cs="Times New Roman"/>
        </w:rPr>
        <w:t>.</w:t>
      </w:r>
    </w:p>
    <w:p w:rsidR="00002678" w:rsidRPr="000D6190" w:rsidRDefault="002841A7" w:rsidP="00846688">
      <w:pPr>
        <w:spacing w:line="360" w:lineRule="auto"/>
        <w:ind w:firstLine="720"/>
        <w:contextualSpacing/>
        <w:jc w:val="both"/>
        <w:rPr>
          <w:rFonts w:ascii="Times New Roman" w:hAnsi="Times New Roman" w:cs="Times New Roman"/>
        </w:rPr>
      </w:pPr>
      <w:r w:rsidRPr="000D6190">
        <w:rPr>
          <w:rFonts w:ascii="Times New Roman" w:hAnsi="Times New Roman" w:cs="Times New Roman"/>
        </w:rPr>
        <w:t>The</w:t>
      </w:r>
      <w:r w:rsidR="00002678" w:rsidRPr="000D6190">
        <w:rPr>
          <w:rFonts w:ascii="Times New Roman" w:hAnsi="Times New Roman" w:cs="Times New Roman"/>
        </w:rPr>
        <w:t xml:space="preserve"> study</w:t>
      </w:r>
      <w:r w:rsidRPr="000D6190">
        <w:rPr>
          <w:rFonts w:ascii="Times New Roman" w:hAnsi="Times New Roman" w:cs="Times New Roman"/>
        </w:rPr>
        <w:t xml:space="preserve"> by</w:t>
      </w:r>
      <w:r w:rsidR="00407902" w:rsidRPr="000D6190">
        <w:rPr>
          <w:rFonts w:ascii="Times New Roman" w:hAnsi="Times New Roman" w:cs="Times New Roman"/>
        </w:rPr>
        <w:t xml:space="preserve"> </w:t>
      </w:r>
      <w:r w:rsidRPr="000D6190">
        <w:rPr>
          <w:rFonts w:ascii="Times New Roman" w:hAnsi="Times New Roman" w:cs="Times New Roman"/>
          <w:noProof/>
        </w:rPr>
        <w:t>(European Commission 2014)</w:t>
      </w:r>
      <w:r w:rsidR="00846688" w:rsidRPr="000D6190">
        <w:rPr>
          <w:rFonts w:ascii="Times New Roman" w:hAnsi="Times New Roman" w:cs="Times New Roman"/>
        </w:rPr>
        <w:t xml:space="preserve"> assessed the economic impact of </w:t>
      </w:r>
      <w:r w:rsidR="00002678" w:rsidRPr="000D6190">
        <w:rPr>
          <w:rFonts w:ascii="Times New Roman" w:hAnsi="Times New Roman" w:cs="Times New Roman"/>
        </w:rPr>
        <w:t xml:space="preserve">material scarcity, using the methodology displayed in </w:t>
      </w:r>
      <w:r w:rsidR="00A6415F" w:rsidRPr="000D6190">
        <w:fldChar w:fldCharType="begin"/>
      </w:r>
      <w:r w:rsidR="00A6415F" w:rsidRPr="000D6190">
        <w:instrText xml:space="preserve"> REF _Ref443738197 \h  \* MERGEFORMAT </w:instrText>
      </w:r>
      <w:r w:rsidR="00A6415F" w:rsidRPr="000D6190">
        <w:fldChar w:fldCharType="separate"/>
      </w:r>
      <w:r w:rsidR="009F5483" w:rsidRPr="000D6190">
        <w:rPr>
          <w:rFonts w:ascii="Times New Roman" w:hAnsi="Times New Roman" w:cs="Times New Roman"/>
          <w:szCs w:val="20"/>
        </w:rPr>
        <w:t xml:space="preserve">Figure </w:t>
      </w:r>
      <w:r w:rsidR="009F5483">
        <w:rPr>
          <w:rFonts w:ascii="Times New Roman" w:hAnsi="Times New Roman" w:cs="Times New Roman"/>
          <w:szCs w:val="20"/>
        </w:rPr>
        <w:t>8</w:t>
      </w:r>
      <w:r w:rsidR="00A6415F" w:rsidRPr="000D6190">
        <w:fldChar w:fldCharType="end"/>
      </w:r>
      <w:r w:rsidR="00002678" w:rsidRPr="000D6190">
        <w:rPr>
          <w:rFonts w:ascii="Times New Roman" w:hAnsi="Times New Roman" w:cs="Times New Roman"/>
        </w:rPr>
        <w:t xml:space="preserve">. </w:t>
      </w:r>
      <w:r w:rsidR="002B016B" w:rsidRPr="000D6190">
        <w:rPr>
          <w:rFonts w:ascii="Times New Roman" w:hAnsi="Times New Roman" w:cs="Times New Roman"/>
        </w:rPr>
        <w:t xml:space="preserve"> Explaining the method, </w:t>
      </w:r>
      <w:r w:rsidR="00002678" w:rsidRPr="000D6190">
        <w:rPr>
          <w:rFonts w:ascii="Times New Roman" w:hAnsi="Times New Roman" w:cs="Times New Roman"/>
        </w:rPr>
        <w:t>each appli</w:t>
      </w:r>
      <w:r w:rsidR="00846688" w:rsidRPr="000D6190">
        <w:rPr>
          <w:rFonts w:ascii="Times New Roman" w:hAnsi="Times New Roman" w:cs="Times New Roman"/>
        </w:rPr>
        <w:t xml:space="preserve">cation of the chosen </w:t>
      </w:r>
      <w:r w:rsidR="00846688" w:rsidRPr="000D6190">
        <w:rPr>
          <w:rFonts w:ascii="Times New Roman" w:hAnsi="Times New Roman" w:cs="Times New Roman"/>
        </w:rPr>
        <w:lastRenderedPageBreak/>
        <w:t>material was</w:t>
      </w:r>
      <w:r w:rsidR="00002678" w:rsidRPr="000D6190">
        <w:rPr>
          <w:rFonts w:ascii="Times New Roman" w:hAnsi="Times New Roman" w:cs="Times New Roman"/>
        </w:rPr>
        <w:t xml:space="preserve"> listed and then assigned to a ‘Mega-sector’, o</w:t>
      </w:r>
      <w:r w:rsidR="00846688" w:rsidRPr="000D6190">
        <w:rPr>
          <w:rFonts w:ascii="Times New Roman" w:hAnsi="Times New Roman" w:cs="Times New Roman"/>
        </w:rPr>
        <w:t>r an industrial sector that used</w:t>
      </w:r>
      <w:r w:rsidR="00002678" w:rsidRPr="000D6190">
        <w:rPr>
          <w:rFonts w:ascii="Times New Roman" w:hAnsi="Times New Roman" w:cs="Times New Roman"/>
        </w:rPr>
        <w:t xml:space="preserve"> the specific material. The Gross Value Ad</w:t>
      </w:r>
      <w:r w:rsidR="00846688" w:rsidRPr="000D6190">
        <w:rPr>
          <w:rFonts w:ascii="Times New Roman" w:hAnsi="Times New Roman" w:cs="Times New Roman"/>
        </w:rPr>
        <w:t>ded (GVA) by each Mega-sector, was</w:t>
      </w:r>
      <w:r w:rsidR="00002678" w:rsidRPr="000D6190">
        <w:rPr>
          <w:rFonts w:ascii="Times New Roman" w:hAnsi="Times New Roman" w:cs="Times New Roman"/>
        </w:rPr>
        <w:t xml:space="preserve"> then multiplied by the p</w:t>
      </w:r>
      <w:r w:rsidR="00846688" w:rsidRPr="000D6190">
        <w:rPr>
          <w:rFonts w:ascii="Times New Roman" w:hAnsi="Times New Roman" w:cs="Times New Roman"/>
        </w:rPr>
        <w:t>ercentage of material that was fed</w:t>
      </w:r>
      <w:r w:rsidR="00002678" w:rsidRPr="000D6190">
        <w:rPr>
          <w:rFonts w:ascii="Times New Roman" w:hAnsi="Times New Roman" w:cs="Times New Roman"/>
        </w:rPr>
        <w:t xml:space="preserve"> into the Mega-sector</w:t>
      </w:r>
      <w:r w:rsidR="00846688" w:rsidRPr="000D6190">
        <w:rPr>
          <w:rFonts w:ascii="Times New Roman" w:hAnsi="Times New Roman" w:cs="Times New Roman"/>
        </w:rPr>
        <w:t>,</w:t>
      </w:r>
      <w:r w:rsidR="00002678" w:rsidRPr="000D6190">
        <w:rPr>
          <w:rFonts w:ascii="Times New Roman" w:hAnsi="Times New Roman" w:cs="Times New Roman"/>
        </w:rPr>
        <w:t xml:space="preserve"> to build a weighted sum representing the economic importance of the material.</w:t>
      </w:r>
    </w:p>
    <w:p w:rsidR="00002678" w:rsidRPr="000D6190" w:rsidRDefault="00002678" w:rsidP="00002678">
      <w:pPr>
        <w:keepNext/>
        <w:spacing w:line="360" w:lineRule="atLeast"/>
        <w:contextualSpacing/>
        <w:jc w:val="both"/>
      </w:pPr>
      <w:r w:rsidRPr="000D6190">
        <w:rPr>
          <w:noProof/>
        </w:rPr>
        <w:drawing>
          <wp:inline distT="0" distB="0" distL="0" distR="0">
            <wp:extent cx="5891644" cy="2218837"/>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12-01 at 14.17.24.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94713" cy="2219993"/>
                    </a:xfrm>
                    <a:prstGeom prst="rect">
                      <a:avLst/>
                    </a:prstGeom>
                  </pic:spPr>
                </pic:pic>
              </a:graphicData>
            </a:graphic>
          </wp:inline>
        </w:drawing>
      </w:r>
    </w:p>
    <w:p w:rsidR="00002678" w:rsidRPr="000D6190" w:rsidRDefault="00002678" w:rsidP="00002678">
      <w:pPr>
        <w:spacing w:line="360" w:lineRule="auto"/>
        <w:contextualSpacing/>
        <w:jc w:val="both"/>
        <w:rPr>
          <w:rFonts w:ascii="Times New Roman" w:hAnsi="Times New Roman" w:cs="Times New Roman"/>
          <w:sz w:val="24"/>
        </w:rPr>
      </w:pPr>
      <w:bookmarkStart w:id="24" w:name="_Ref443738197"/>
      <w:bookmarkStart w:id="25" w:name="_Toc457222096"/>
      <w:bookmarkStart w:id="26" w:name="_Toc495848341"/>
      <w:bookmarkStart w:id="27" w:name="_Toc280363000"/>
      <w:bookmarkStart w:id="28" w:name="_Toc293837188"/>
      <w:r w:rsidRPr="000D6190">
        <w:rPr>
          <w:rFonts w:ascii="Times New Roman" w:hAnsi="Times New Roman" w:cs="Times New Roman"/>
          <w:szCs w:val="20"/>
        </w:rPr>
        <w:t xml:space="preserve">Figure </w:t>
      </w:r>
      <w:r w:rsidR="009A0ED7" w:rsidRPr="000D6190">
        <w:rPr>
          <w:rFonts w:ascii="Times New Roman" w:hAnsi="Times New Roman" w:cs="Times New Roman"/>
          <w:szCs w:val="20"/>
        </w:rPr>
        <w:fldChar w:fldCharType="begin"/>
      </w:r>
      <w:r w:rsidRPr="000D6190">
        <w:rPr>
          <w:rFonts w:ascii="Times New Roman" w:hAnsi="Times New Roman" w:cs="Times New Roman"/>
          <w:szCs w:val="20"/>
        </w:rPr>
        <w:instrText xml:space="preserve"> SEQ Figure \* ARABIC </w:instrText>
      </w:r>
      <w:r w:rsidR="009A0ED7" w:rsidRPr="000D6190">
        <w:rPr>
          <w:rFonts w:ascii="Times New Roman" w:hAnsi="Times New Roman" w:cs="Times New Roman"/>
          <w:szCs w:val="20"/>
        </w:rPr>
        <w:fldChar w:fldCharType="separate"/>
      </w:r>
      <w:r w:rsidR="009F5483">
        <w:rPr>
          <w:rFonts w:ascii="Times New Roman" w:hAnsi="Times New Roman" w:cs="Times New Roman"/>
          <w:noProof/>
          <w:szCs w:val="20"/>
        </w:rPr>
        <w:t>8</w:t>
      </w:r>
      <w:r w:rsidR="009A0ED7" w:rsidRPr="000D6190">
        <w:rPr>
          <w:rFonts w:ascii="Times New Roman" w:hAnsi="Times New Roman" w:cs="Times New Roman"/>
          <w:szCs w:val="20"/>
        </w:rPr>
        <w:fldChar w:fldCharType="end"/>
      </w:r>
      <w:bookmarkEnd w:id="24"/>
      <w:r w:rsidRPr="000D6190">
        <w:rPr>
          <w:rFonts w:ascii="Times New Roman" w:hAnsi="Times New Roman" w:cs="Times New Roman"/>
          <w:szCs w:val="20"/>
        </w:rPr>
        <w:t>.</w:t>
      </w:r>
      <w:r w:rsidR="00871275" w:rsidRPr="000D6190">
        <w:rPr>
          <w:rFonts w:ascii="Times New Roman" w:hAnsi="Times New Roman" w:cs="Times New Roman"/>
          <w:szCs w:val="20"/>
        </w:rPr>
        <w:t xml:space="preserve"> </w:t>
      </w:r>
      <w:r w:rsidRPr="000D6190">
        <w:rPr>
          <w:rFonts w:ascii="Times New Roman" w:hAnsi="Times New Roman" w:cs="Times New Roman"/>
          <w:szCs w:val="20"/>
        </w:rPr>
        <w:t>Flowchart fr</w:t>
      </w:r>
      <w:r w:rsidR="00407902" w:rsidRPr="000D6190">
        <w:rPr>
          <w:rFonts w:ascii="Times New Roman" w:hAnsi="Times New Roman" w:cs="Times New Roman"/>
          <w:szCs w:val="20"/>
        </w:rPr>
        <w:t>om EU critical materials r</w:t>
      </w:r>
      <w:r w:rsidR="00871275" w:rsidRPr="000D6190">
        <w:rPr>
          <w:rFonts w:ascii="Times New Roman" w:hAnsi="Times New Roman" w:cs="Times New Roman"/>
          <w:szCs w:val="20"/>
        </w:rPr>
        <w:t xml:space="preserve">eport </w:t>
      </w:r>
      <w:r w:rsidRPr="000D6190">
        <w:rPr>
          <w:rFonts w:ascii="Times New Roman" w:hAnsi="Times New Roman" w:cs="Times New Roman"/>
          <w:szCs w:val="20"/>
        </w:rPr>
        <w:t>displaying the assessment criteria used to det</w:t>
      </w:r>
      <w:r w:rsidR="00E003ED" w:rsidRPr="000D6190">
        <w:rPr>
          <w:rFonts w:ascii="Times New Roman" w:hAnsi="Times New Roman" w:cs="Times New Roman"/>
          <w:szCs w:val="20"/>
        </w:rPr>
        <w:t xml:space="preserve">ermine the economic impact of </w:t>
      </w:r>
      <w:r w:rsidRPr="000D6190">
        <w:rPr>
          <w:rFonts w:ascii="Times New Roman" w:hAnsi="Times New Roman" w:cs="Times New Roman"/>
          <w:szCs w:val="20"/>
        </w:rPr>
        <w:t>material scarcity, as determined by the EU expert panel</w:t>
      </w:r>
      <w:bookmarkEnd w:id="25"/>
      <w:r w:rsidR="00871275" w:rsidRPr="000D6190">
        <w:rPr>
          <w:rFonts w:ascii="Times New Roman" w:hAnsi="Times New Roman" w:cs="Times New Roman"/>
          <w:szCs w:val="20"/>
        </w:rPr>
        <w:t xml:space="preserve"> </w:t>
      </w:r>
      <w:r w:rsidR="00871275" w:rsidRPr="000D6190">
        <w:rPr>
          <w:rFonts w:ascii="Times New Roman" w:hAnsi="Times New Roman" w:cs="Times New Roman"/>
          <w:noProof/>
          <w:szCs w:val="20"/>
        </w:rPr>
        <w:t>(European Commission 2014)</w:t>
      </w:r>
      <w:r w:rsidR="00871275" w:rsidRPr="000D6190">
        <w:rPr>
          <w:rFonts w:ascii="Times New Roman" w:hAnsi="Times New Roman" w:cs="Times New Roman"/>
          <w:szCs w:val="20"/>
        </w:rPr>
        <w:t>.</w:t>
      </w:r>
      <w:bookmarkEnd w:id="26"/>
      <w:r w:rsidRPr="000D6190">
        <w:rPr>
          <w:rFonts w:ascii="Times New Roman" w:hAnsi="Times New Roman" w:cs="Times New Roman"/>
          <w:szCs w:val="20"/>
        </w:rPr>
        <w:t xml:space="preserve"> </w:t>
      </w:r>
      <w:bookmarkEnd w:id="27"/>
      <w:bookmarkEnd w:id="28"/>
    </w:p>
    <w:p w:rsidR="00002678" w:rsidRPr="000D6190" w:rsidRDefault="00002678" w:rsidP="00E003ED">
      <w:pPr>
        <w:spacing w:line="360" w:lineRule="auto"/>
        <w:ind w:firstLine="720"/>
        <w:contextualSpacing/>
        <w:jc w:val="both"/>
        <w:rPr>
          <w:rFonts w:ascii="Times New Roman" w:hAnsi="Times New Roman" w:cs="Times New Roman"/>
        </w:rPr>
      </w:pPr>
      <w:r w:rsidRPr="000D6190">
        <w:rPr>
          <w:rFonts w:ascii="Times New Roman" w:hAnsi="Times New Roman" w:cs="Times New Roman"/>
        </w:rPr>
        <w:t>On the other</w:t>
      </w:r>
      <w:r w:rsidR="00871275" w:rsidRPr="000D6190">
        <w:rPr>
          <w:rFonts w:ascii="Times New Roman" w:hAnsi="Times New Roman" w:cs="Times New Roman"/>
        </w:rPr>
        <w:t xml:space="preserve"> hand, </w:t>
      </w:r>
      <w:r w:rsidRPr="000D6190">
        <w:rPr>
          <w:rFonts w:ascii="Times New Roman" w:hAnsi="Times New Roman" w:cs="Times New Roman"/>
          <w:noProof/>
        </w:rPr>
        <w:t>(Graedel et al. 2012)</w:t>
      </w:r>
      <w:r w:rsidR="00871275" w:rsidRPr="000D6190">
        <w:rPr>
          <w:rFonts w:ascii="Times New Roman" w:hAnsi="Times New Roman" w:cs="Times New Roman"/>
        </w:rPr>
        <w:t xml:space="preserve"> assessed</w:t>
      </w:r>
      <w:r w:rsidRPr="000D6190">
        <w:rPr>
          <w:rFonts w:ascii="Times New Roman" w:hAnsi="Times New Roman" w:cs="Times New Roman"/>
        </w:rPr>
        <w:t xml:space="preserve"> econo</w:t>
      </w:r>
      <w:r w:rsidR="00846688" w:rsidRPr="000D6190">
        <w:rPr>
          <w:rFonts w:ascii="Times New Roman" w:hAnsi="Times New Roman" w:cs="Times New Roman"/>
        </w:rPr>
        <w:t>mic importance quantitatively and</w:t>
      </w:r>
      <w:r w:rsidRPr="000D6190">
        <w:rPr>
          <w:rFonts w:ascii="Times New Roman" w:hAnsi="Times New Roman" w:cs="Times New Roman"/>
        </w:rPr>
        <w:t xml:space="preserve"> qualitatively.  </w:t>
      </w:r>
      <w:r w:rsidR="00846688" w:rsidRPr="000D6190">
        <w:rPr>
          <w:rFonts w:ascii="Times New Roman" w:hAnsi="Times New Roman" w:cs="Times New Roman"/>
        </w:rPr>
        <w:t>In terms of q</w:t>
      </w:r>
      <w:r w:rsidRPr="000D6190">
        <w:rPr>
          <w:rFonts w:ascii="Times New Roman" w:hAnsi="Times New Roman" w:cs="Times New Roman"/>
        </w:rPr>
        <w:t>uantitat</w:t>
      </w:r>
      <w:r w:rsidR="004F5F9F" w:rsidRPr="000D6190">
        <w:rPr>
          <w:rFonts w:ascii="Times New Roman" w:hAnsi="Times New Roman" w:cs="Times New Roman"/>
        </w:rPr>
        <w:t>ively, where possible a score was</w:t>
      </w:r>
      <w:r w:rsidRPr="000D6190">
        <w:rPr>
          <w:rFonts w:ascii="Times New Roman" w:hAnsi="Times New Roman" w:cs="Times New Roman"/>
        </w:rPr>
        <w:t xml:space="preserve"> </w:t>
      </w:r>
      <w:r w:rsidR="004F5F9F" w:rsidRPr="000D6190">
        <w:rPr>
          <w:rFonts w:ascii="Times New Roman" w:hAnsi="Times New Roman" w:cs="Times New Roman"/>
        </w:rPr>
        <w:t>given on a scale of 0-100. With regards to</w:t>
      </w:r>
      <w:r w:rsidRPr="000D6190">
        <w:rPr>
          <w:rFonts w:ascii="Times New Roman" w:hAnsi="Times New Roman" w:cs="Times New Roman"/>
        </w:rPr>
        <w:t xml:space="preserve"> qualitative assessment</w:t>
      </w:r>
      <w:r w:rsidR="004F5F9F" w:rsidRPr="000D6190">
        <w:rPr>
          <w:rFonts w:ascii="Times New Roman" w:hAnsi="Times New Roman" w:cs="Times New Roman"/>
        </w:rPr>
        <w:t>,</w:t>
      </w:r>
      <w:r w:rsidRPr="000D6190">
        <w:rPr>
          <w:rFonts w:ascii="Times New Roman" w:hAnsi="Times New Roman" w:cs="Times New Roman"/>
        </w:rPr>
        <w:t xml:space="preserve"> a very high (87.5), high (62.5), medium (37.5) </w:t>
      </w:r>
      <w:r w:rsidR="00E003ED" w:rsidRPr="000D6190">
        <w:rPr>
          <w:rFonts w:ascii="Times New Roman" w:hAnsi="Times New Roman" w:cs="Times New Roman"/>
        </w:rPr>
        <w:t>or low (12.5) labels were</w:t>
      </w:r>
      <w:r w:rsidRPr="000D6190">
        <w:rPr>
          <w:rFonts w:ascii="Times New Roman" w:hAnsi="Times New Roman" w:cs="Times New Roman"/>
        </w:rPr>
        <w:t xml:space="preserve"> ap</w:t>
      </w:r>
      <w:r w:rsidR="00E003ED" w:rsidRPr="000D6190">
        <w:rPr>
          <w:rFonts w:ascii="Times New Roman" w:hAnsi="Times New Roman" w:cs="Times New Roman"/>
        </w:rPr>
        <w:t>plied with the relevant scores as shown in</w:t>
      </w:r>
      <w:r w:rsidR="00F05402" w:rsidRPr="000D6190">
        <w:rPr>
          <w:rFonts w:ascii="Times New Roman" w:hAnsi="Times New Roman" w:cs="Times New Roman"/>
        </w:rPr>
        <w:t xml:space="preserve"> </w:t>
      </w:r>
      <w:r w:rsidR="00A6415F" w:rsidRPr="000D6190">
        <w:fldChar w:fldCharType="begin"/>
      </w:r>
      <w:r w:rsidR="00A6415F" w:rsidRPr="000D6190">
        <w:instrText xml:space="preserve"> REF _Ref474487071 \h  \* MERGEFORMAT </w:instrText>
      </w:r>
      <w:r w:rsidR="00A6415F" w:rsidRPr="000D6190">
        <w:fldChar w:fldCharType="separate"/>
      </w:r>
      <w:r w:rsidR="009F5483" w:rsidRPr="000D6190">
        <w:rPr>
          <w:rFonts w:ascii="Times New Roman" w:hAnsi="Times New Roman" w:cs="Times New Roman"/>
        </w:rPr>
        <w:t xml:space="preserve">Table </w:t>
      </w:r>
      <w:r w:rsidR="009F5483">
        <w:rPr>
          <w:rFonts w:ascii="Times New Roman" w:hAnsi="Times New Roman" w:cs="Times New Roman"/>
        </w:rPr>
        <w:t>1</w:t>
      </w:r>
      <w:r w:rsidR="00A6415F" w:rsidRPr="000D6190">
        <w:fldChar w:fldCharType="end"/>
      </w:r>
      <w:r w:rsidR="00E003ED" w:rsidRPr="000D6190">
        <w:rPr>
          <w:rFonts w:ascii="Times New Roman" w:hAnsi="Times New Roman" w:cs="Times New Roman"/>
        </w:rPr>
        <w:t>.</w:t>
      </w:r>
    </w:p>
    <w:p w:rsidR="00002678" w:rsidRPr="000D6190" w:rsidRDefault="00002678" w:rsidP="00002678">
      <w:pPr>
        <w:spacing w:line="360" w:lineRule="auto"/>
        <w:contextualSpacing/>
        <w:jc w:val="both"/>
        <w:rPr>
          <w:rFonts w:ascii="Times New Roman" w:hAnsi="Times New Roman" w:cs="Times New Roman"/>
        </w:rPr>
      </w:pPr>
      <w:bookmarkStart w:id="29" w:name="_Ref474487071"/>
      <w:bookmarkStart w:id="30" w:name="_Toc457222179"/>
      <w:bookmarkStart w:id="31" w:name="_Toc474486510"/>
      <w:bookmarkStart w:id="32" w:name="_Ref474487068"/>
      <w:bookmarkStart w:id="33" w:name="_Toc495852679"/>
      <w:r w:rsidRPr="000D6190">
        <w:rPr>
          <w:rFonts w:ascii="Times New Roman" w:hAnsi="Times New Roman" w:cs="Times New Roman"/>
        </w:rPr>
        <w:t xml:space="preserve">Table </w:t>
      </w:r>
      <w:r w:rsidR="009A0ED7" w:rsidRPr="000D6190">
        <w:rPr>
          <w:rFonts w:ascii="Times New Roman" w:hAnsi="Times New Roman" w:cs="Times New Roman"/>
        </w:rPr>
        <w:fldChar w:fldCharType="begin"/>
      </w:r>
      <w:r w:rsidR="00EA33B1" w:rsidRPr="000D6190">
        <w:rPr>
          <w:rFonts w:ascii="Times New Roman" w:hAnsi="Times New Roman" w:cs="Times New Roman"/>
        </w:rPr>
        <w:instrText xml:space="preserve"> SEQ Table \* ARABIC </w:instrText>
      </w:r>
      <w:r w:rsidR="009A0ED7" w:rsidRPr="000D6190">
        <w:rPr>
          <w:rFonts w:ascii="Times New Roman" w:hAnsi="Times New Roman" w:cs="Times New Roman"/>
        </w:rPr>
        <w:fldChar w:fldCharType="separate"/>
      </w:r>
      <w:r w:rsidR="009F5483">
        <w:rPr>
          <w:rFonts w:ascii="Times New Roman" w:hAnsi="Times New Roman" w:cs="Times New Roman"/>
          <w:noProof/>
        </w:rPr>
        <w:t>1</w:t>
      </w:r>
      <w:r w:rsidR="009A0ED7" w:rsidRPr="000D6190">
        <w:rPr>
          <w:rFonts w:ascii="Times New Roman" w:hAnsi="Times New Roman" w:cs="Times New Roman"/>
          <w:noProof/>
        </w:rPr>
        <w:fldChar w:fldCharType="end"/>
      </w:r>
      <w:bookmarkEnd w:id="29"/>
      <w:r w:rsidRPr="000D6190">
        <w:rPr>
          <w:rFonts w:ascii="Times New Roman" w:hAnsi="Times New Roman" w:cs="Times New Roman"/>
        </w:rPr>
        <w:t>.</w:t>
      </w:r>
      <w:r w:rsidR="00871275" w:rsidRPr="000D6190">
        <w:rPr>
          <w:rFonts w:ascii="Times New Roman" w:hAnsi="Times New Roman" w:cs="Times New Roman"/>
        </w:rPr>
        <w:t xml:space="preserve"> </w:t>
      </w:r>
      <w:r w:rsidRPr="000D6190">
        <w:rPr>
          <w:rFonts w:ascii="Times New Roman" w:hAnsi="Times New Roman" w:cs="Times New Roman"/>
        </w:rPr>
        <w:t xml:space="preserve">Evaluation of </w:t>
      </w:r>
      <w:r w:rsidR="00846688" w:rsidRPr="000D6190">
        <w:rPr>
          <w:rFonts w:ascii="Times New Roman" w:hAnsi="Times New Roman" w:cs="Times New Roman"/>
        </w:rPr>
        <w:t>importance to corporate s</w:t>
      </w:r>
      <w:r w:rsidRPr="000D6190">
        <w:rPr>
          <w:rFonts w:ascii="Times New Roman" w:hAnsi="Times New Roman" w:cs="Times New Roman"/>
        </w:rPr>
        <w:t>trategy</w:t>
      </w:r>
      <w:r w:rsidRPr="000D6190">
        <w:rPr>
          <w:rFonts w:ascii="Times New Roman" w:hAnsi="Times New Roman" w:cs="Times New Roman"/>
          <w:noProof/>
        </w:rPr>
        <w:t>.</w:t>
      </w:r>
      <w:bookmarkEnd w:id="30"/>
      <w:bookmarkEnd w:id="31"/>
      <w:bookmarkEnd w:id="32"/>
      <w:bookmarkEnd w:id="33"/>
    </w:p>
    <w:tbl>
      <w:tblPr>
        <w:tblStyle w:val="TableGrid"/>
        <w:tblW w:w="5000" w:type="pct"/>
        <w:tblLook w:val="04A0" w:firstRow="1" w:lastRow="0" w:firstColumn="1" w:lastColumn="0" w:noHBand="0" w:noVBand="1"/>
      </w:tblPr>
      <w:tblGrid>
        <w:gridCol w:w="2541"/>
        <w:gridCol w:w="2591"/>
        <w:gridCol w:w="3884"/>
      </w:tblGrid>
      <w:tr w:rsidR="00002678" w:rsidRPr="000D6190" w:rsidTr="002B016B">
        <w:tc>
          <w:tcPr>
            <w:tcW w:w="1409" w:type="pct"/>
          </w:tcPr>
          <w:p w:rsidR="00002678" w:rsidRPr="000D6190" w:rsidRDefault="00002678" w:rsidP="00BB1D35">
            <w:pPr>
              <w:autoSpaceDE w:val="0"/>
              <w:autoSpaceDN w:val="0"/>
              <w:adjustRightInd w:val="0"/>
              <w:contextualSpacing/>
              <w:jc w:val="center"/>
              <w:rPr>
                <w:rFonts w:ascii="Times New Roman" w:hAnsi="Times New Roman" w:cs="Times New Roman"/>
                <w:b/>
              </w:rPr>
            </w:pPr>
            <w:r w:rsidRPr="000D6190">
              <w:rPr>
                <w:rFonts w:ascii="Times New Roman" w:hAnsi="Times New Roman" w:cs="Times New Roman"/>
                <w:b/>
              </w:rPr>
              <w:t>Score Range</w:t>
            </w:r>
          </w:p>
        </w:tc>
        <w:tc>
          <w:tcPr>
            <w:tcW w:w="1437" w:type="pct"/>
          </w:tcPr>
          <w:p w:rsidR="00002678" w:rsidRPr="000D6190" w:rsidRDefault="00002678" w:rsidP="00BB1D35">
            <w:pPr>
              <w:autoSpaceDE w:val="0"/>
              <w:autoSpaceDN w:val="0"/>
              <w:adjustRightInd w:val="0"/>
              <w:contextualSpacing/>
              <w:jc w:val="center"/>
              <w:rPr>
                <w:rFonts w:ascii="Times New Roman" w:hAnsi="Times New Roman" w:cs="Times New Roman"/>
                <w:b/>
              </w:rPr>
            </w:pPr>
            <w:r w:rsidRPr="000D6190">
              <w:rPr>
                <w:rFonts w:ascii="Times New Roman" w:hAnsi="Times New Roman" w:cs="Times New Roman"/>
                <w:b/>
              </w:rPr>
              <w:t>Default Score</w:t>
            </w:r>
          </w:p>
        </w:tc>
        <w:tc>
          <w:tcPr>
            <w:tcW w:w="2155" w:type="pct"/>
          </w:tcPr>
          <w:p w:rsidR="00002678" w:rsidRPr="000D6190" w:rsidRDefault="00002678" w:rsidP="00BB1D35">
            <w:pPr>
              <w:autoSpaceDE w:val="0"/>
              <w:autoSpaceDN w:val="0"/>
              <w:adjustRightInd w:val="0"/>
              <w:contextualSpacing/>
              <w:jc w:val="center"/>
              <w:rPr>
                <w:rFonts w:ascii="Times New Roman" w:hAnsi="Times New Roman" w:cs="Times New Roman"/>
                <w:b/>
              </w:rPr>
            </w:pPr>
            <w:r w:rsidRPr="000D6190">
              <w:rPr>
                <w:rFonts w:ascii="Times New Roman" w:hAnsi="Times New Roman" w:cs="Times New Roman"/>
                <w:b/>
              </w:rPr>
              <w:t>Evaluation</w:t>
            </w:r>
          </w:p>
        </w:tc>
      </w:tr>
      <w:tr w:rsidR="00002678" w:rsidRPr="000D6190" w:rsidTr="002B016B">
        <w:tc>
          <w:tcPr>
            <w:tcW w:w="1409" w:type="pct"/>
          </w:tcPr>
          <w:p w:rsidR="00002678" w:rsidRPr="000D6190" w:rsidRDefault="00002678" w:rsidP="00BB1D35">
            <w:pPr>
              <w:autoSpaceDE w:val="0"/>
              <w:autoSpaceDN w:val="0"/>
              <w:adjustRightInd w:val="0"/>
              <w:contextualSpacing/>
              <w:jc w:val="center"/>
              <w:rPr>
                <w:rFonts w:ascii="Times New Roman" w:hAnsi="Times New Roman" w:cs="Times New Roman"/>
              </w:rPr>
            </w:pPr>
            <w:r w:rsidRPr="000D6190">
              <w:rPr>
                <w:rFonts w:ascii="Times New Roman" w:hAnsi="Times New Roman" w:cs="Times New Roman"/>
              </w:rPr>
              <w:t>75 – 100</w:t>
            </w:r>
          </w:p>
        </w:tc>
        <w:tc>
          <w:tcPr>
            <w:tcW w:w="1437" w:type="pct"/>
          </w:tcPr>
          <w:p w:rsidR="00002678" w:rsidRPr="000D6190" w:rsidRDefault="00002678" w:rsidP="00BB1D35">
            <w:pPr>
              <w:autoSpaceDE w:val="0"/>
              <w:autoSpaceDN w:val="0"/>
              <w:adjustRightInd w:val="0"/>
              <w:contextualSpacing/>
              <w:jc w:val="center"/>
              <w:rPr>
                <w:rFonts w:ascii="Times New Roman" w:hAnsi="Times New Roman" w:cs="Times New Roman"/>
              </w:rPr>
            </w:pPr>
            <w:r w:rsidRPr="000D6190">
              <w:rPr>
                <w:rFonts w:ascii="Times New Roman" w:hAnsi="Times New Roman" w:cs="Times New Roman"/>
              </w:rPr>
              <w:t>87.5</w:t>
            </w:r>
          </w:p>
        </w:tc>
        <w:tc>
          <w:tcPr>
            <w:tcW w:w="2155" w:type="pct"/>
          </w:tcPr>
          <w:p w:rsidR="00002678" w:rsidRPr="000D6190" w:rsidRDefault="00002678" w:rsidP="00BB1D35">
            <w:pPr>
              <w:autoSpaceDE w:val="0"/>
              <w:autoSpaceDN w:val="0"/>
              <w:adjustRightInd w:val="0"/>
              <w:contextualSpacing/>
              <w:jc w:val="center"/>
              <w:rPr>
                <w:rFonts w:ascii="Times New Roman" w:hAnsi="Times New Roman" w:cs="Times New Roman"/>
              </w:rPr>
            </w:pPr>
            <w:r w:rsidRPr="000D6190">
              <w:rPr>
                <w:rFonts w:ascii="Times New Roman" w:hAnsi="Times New Roman" w:cs="Times New Roman"/>
              </w:rPr>
              <w:t>Essential</w:t>
            </w:r>
          </w:p>
        </w:tc>
      </w:tr>
      <w:tr w:rsidR="00002678" w:rsidRPr="000D6190" w:rsidTr="002B016B">
        <w:tc>
          <w:tcPr>
            <w:tcW w:w="1409" w:type="pct"/>
          </w:tcPr>
          <w:p w:rsidR="00002678" w:rsidRPr="000D6190" w:rsidRDefault="00002678" w:rsidP="00BB1D35">
            <w:pPr>
              <w:autoSpaceDE w:val="0"/>
              <w:autoSpaceDN w:val="0"/>
              <w:adjustRightInd w:val="0"/>
              <w:contextualSpacing/>
              <w:jc w:val="center"/>
              <w:rPr>
                <w:rFonts w:ascii="Times New Roman" w:hAnsi="Times New Roman" w:cs="Times New Roman"/>
              </w:rPr>
            </w:pPr>
            <w:r w:rsidRPr="000D6190">
              <w:rPr>
                <w:rFonts w:ascii="Times New Roman" w:hAnsi="Times New Roman" w:cs="Times New Roman"/>
              </w:rPr>
              <w:t>50 – 75</w:t>
            </w:r>
          </w:p>
        </w:tc>
        <w:tc>
          <w:tcPr>
            <w:tcW w:w="1437" w:type="pct"/>
          </w:tcPr>
          <w:p w:rsidR="00002678" w:rsidRPr="000D6190" w:rsidRDefault="00002678" w:rsidP="00BB1D35">
            <w:pPr>
              <w:autoSpaceDE w:val="0"/>
              <w:autoSpaceDN w:val="0"/>
              <w:adjustRightInd w:val="0"/>
              <w:contextualSpacing/>
              <w:jc w:val="center"/>
              <w:rPr>
                <w:rFonts w:ascii="Times New Roman" w:hAnsi="Times New Roman" w:cs="Times New Roman"/>
              </w:rPr>
            </w:pPr>
            <w:r w:rsidRPr="000D6190">
              <w:rPr>
                <w:rFonts w:ascii="Times New Roman" w:hAnsi="Times New Roman" w:cs="Times New Roman"/>
              </w:rPr>
              <w:t>62.5</w:t>
            </w:r>
          </w:p>
        </w:tc>
        <w:tc>
          <w:tcPr>
            <w:tcW w:w="2155" w:type="pct"/>
          </w:tcPr>
          <w:p w:rsidR="00002678" w:rsidRPr="000D6190" w:rsidRDefault="00002678" w:rsidP="00BB1D35">
            <w:pPr>
              <w:autoSpaceDE w:val="0"/>
              <w:autoSpaceDN w:val="0"/>
              <w:adjustRightInd w:val="0"/>
              <w:contextualSpacing/>
              <w:jc w:val="center"/>
              <w:rPr>
                <w:rFonts w:ascii="Times New Roman" w:hAnsi="Times New Roman" w:cs="Times New Roman"/>
              </w:rPr>
            </w:pPr>
            <w:r w:rsidRPr="000D6190">
              <w:rPr>
                <w:rFonts w:ascii="Times New Roman" w:hAnsi="Times New Roman" w:cs="Times New Roman"/>
              </w:rPr>
              <w:t>Important</w:t>
            </w:r>
          </w:p>
        </w:tc>
      </w:tr>
      <w:tr w:rsidR="00002678" w:rsidRPr="000D6190" w:rsidTr="002B016B">
        <w:tc>
          <w:tcPr>
            <w:tcW w:w="1409" w:type="pct"/>
          </w:tcPr>
          <w:p w:rsidR="00002678" w:rsidRPr="000D6190" w:rsidRDefault="00002678" w:rsidP="00BB1D35">
            <w:pPr>
              <w:autoSpaceDE w:val="0"/>
              <w:autoSpaceDN w:val="0"/>
              <w:adjustRightInd w:val="0"/>
              <w:contextualSpacing/>
              <w:jc w:val="center"/>
              <w:rPr>
                <w:rFonts w:ascii="Times New Roman" w:hAnsi="Times New Roman" w:cs="Times New Roman"/>
              </w:rPr>
            </w:pPr>
            <w:r w:rsidRPr="000D6190">
              <w:rPr>
                <w:rFonts w:ascii="Times New Roman" w:hAnsi="Times New Roman" w:cs="Times New Roman"/>
              </w:rPr>
              <w:t>25 – 50</w:t>
            </w:r>
          </w:p>
        </w:tc>
        <w:tc>
          <w:tcPr>
            <w:tcW w:w="1437" w:type="pct"/>
          </w:tcPr>
          <w:p w:rsidR="00002678" w:rsidRPr="000D6190" w:rsidRDefault="00002678" w:rsidP="00BB1D35">
            <w:pPr>
              <w:autoSpaceDE w:val="0"/>
              <w:autoSpaceDN w:val="0"/>
              <w:adjustRightInd w:val="0"/>
              <w:contextualSpacing/>
              <w:jc w:val="center"/>
              <w:rPr>
                <w:rFonts w:ascii="Times New Roman" w:hAnsi="Times New Roman" w:cs="Times New Roman"/>
              </w:rPr>
            </w:pPr>
            <w:r w:rsidRPr="000D6190">
              <w:rPr>
                <w:rFonts w:ascii="Times New Roman" w:hAnsi="Times New Roman" w:cs="Times New Roman"/>
              </w:rPr>
              <w:t>37.5</w:t>
            </w:r>
          </w:p>
        </w:tc>
        <w:tc>
          <w:tcPr>
            <w:tcW w:w="2155" w:type="pct"/>
          </w:tcPr>
          <w:p w:rsidR="00002678" w:rsidRPr="000D6190" w:rsidRDefault="00002678" w:rsidP="00BB1D35">
            <w:pPr>
              <w:autoSpaceDE w:val="0"/>
              <w:autoSpaceDN w:val="0"/>
              <w:adjustRightInd w:val="0"/>
              <w:contextualSpacing/>
              <w:jc w:val="center"/>
              <w:rPr>
                <w:rFonts w:ascii="Times New Roman" w:hAnsi="Times New Roman" w:cs="Times New Roman"/>
              </w:rPr>
            </w:pPr>
            <w:r w:rsidRPr="000D6190">
              <w:rPr>
                <w:rFonts w:ascii="Times New Roman" w:hAnsi="Times New Roman" w:cs="Times New Roman"/>
              </w:rPr>
              <w:t>Moderately important</w:t>
            </w:r>
          </w:p>
        </w:tc>
      </w:tr>
      <w:tr w:rsidR="00002678" w:rsidRPr="000D6190" w:rsidTr="002B016B">
        <w:tc>
          <w:tcPr>
            <w:tcW w:w="1409" w:type="pct"/>
          </w:tcPr>
          <w:p w:rsidR="00002678" w:rsidRPr="000D6190" w:rsidRDefault="00002678" w:rsidP="00BB1D35">
            <w:pPr>
              <w:spacing w:line="360" w:lineRule="auto"/>
              <w:contextualSpacing/>
              <w:jc w:val="center"/>
              <w:rPr>
                <w:rFonts w:ascii="Times New Roman" w:hAnsi="Times New Roman" w:cs="Times New Roman"/>
              </w:rPr>
            </w:pPr>
            <w:r w:rsidRPr="000D6190">
              <w:rPr>
                <w:rFonts w:ascii="Times New Roman" w:hAnsi="Times New Roman" w:cs="Times New Roman"/>
              </w:rPr>
              <w:t>0 – 25</w:t>
            </w:r>
          </w:p>
        </w:tc>
        <w:tc>
          <w:tcPr>
            <w:tcW w:w="1437" w:type="pct"/>
          </w:tcPr>
          <w:p w:rsidR="00002678" w:rsidRPr="000D6190" w:rsidRDefault="00002678" w:rsidP="00BB1D35">
            <w:pPr>
              <w:spacing w:line="360" w:lineRule="auto"/>
              <w:contextualSpacing/>
              <w:jc w:val="center"/>
              <w:rPr>
                <w:rFonts w:ascii="Times New Roman" w:hAnsi="Times New Roman" w:cs="Times New Roman"/>
              </w:rPr>
            </w:pPr>
            <w:r w:rsidRPr="000D6190">
              <w:rPr>
                <w:rFonts w:ascii="Times New Roman" w:hAnsi="Times New Roman" w:cs="Times New Roman"/>
              </w:rPr>
              <w:t>12.5</w:t>
            </w:r>
          </w:p>
        </w:tc>
        <w:tc>
          <w:tcPr>
            <w:tcW w:w="2155" w:type="pct"/>
          </w:tcPr>
          <w:p w:rsidR="002B016B" w:rsidRPr="000D6190" w:rsidRDefault="002B016B" w:rsidP="002B016B">
            <w:pPr>
              <w:spacing w:line="360" w:lineRule="auto"/>
              <w:contextualSpacing/>
              <w:jc w:val="center"/>
              <w:rPr>
                <w:rFonts w:ascii="Times New Roman" w:hAnsi="Times New Roman" w:cs="Times New Roman"/>
              </w:rPr>
            </w:pPr>
            <w:r w:rsidRPr="000D6190">
              <w:rPr>
                <w:rFonts w:ascii="Times New Roman" w:hAnsi="Times New Roman" w:cs="Times New Roman"/>
              </w:rPr>
              <w:t>Less important</w:t>
            </w:r>
          </w:p>
        </w:tc>
      </w:tr>
    </w:tbl>
    <w:p w:rsidR="00D676B0" w:rsidRPr="000D6190" w:rsidRDefault="00D676B0" w:rsidP="00A93A90">
      <w:pPr>
        <w:spacing w:after="0" w:line="360" w:lineRule="auto"/>
        <w:contextualSpacing/>
        <w:jc w:val="both"/>
      </w:pPr>
    </w:p>
    <w:p w:rsidR="00002678" w:rsidRPr="000D6190" w:rsidRDefault="00A93A90" w:rsidP="00A93A90">
      <w:pPr>
        <w:spacing w:after="0" w:line="360" w:lineRule="auto"/>
        <w:ind w:firstLine="720"/>
        <w:contextualSpacing/>
        <w:jc w:val="both"/>
        <w:rPr>
          <w:rFonts w:ascii="Times New Roman" w:hAnsi="Times New Roman" w:cs="Times New Roman"/>
        </w:rPr>
      </w:pPr>
      <w:r w:rsidRPr="000D6190">
        <w:rPr>
          <w:rFonts w:ascii="Times New Roman" w:hAnsi="Times New Roman" w:cs="Times New Roman"/>
        </w:rPr>
        <w:t>Lastly, a</w:t>
      </w:r>
      <w:r w:rsidR="00002678" w:rsidRPr="000D6190">
        <w:rPr>
          <w:rFonts w:ascii="Times New Roman" w:hAnsi="Times New Roman" w:cs="Times New Roman"/>
        </w:rPr>
        <w:t>lthough environ</w:t>
      </w:r>
      <w:r w:rsidRPr="000D6190">
        <w:rPr>
          <w:rFonts w:ascii="Times New Roman" w:hAnsi="Times New Roman" w:cs="Times New Roman"/>
        </w:rPr>
        <w:t>mental issue is a factor that was</w:t>
      </w:r>
      <w:r w:rsidR="00002678" w:rsidRPr="000D6190">
        <w:rPr>
          <w:rFonts w:ascii="Times New Roman" w:hAnsi="Times New Roman" w:cs="Times New Roman"/>
        </w:rPr>
        <w:t xml:space="preserve"> used in several studies, the exact </w:t>
      </w:r>
      <w:r w:rsidR="003E4DD7" w:rsidRPr="000D6190">
        <w:rPr>
          <w:rFonts w:ascii="Times New Roman" w:hAnsi="Times New Roman" w:cs="Times New Roman"/>
        </w:rPr>
        <w:t xml:space="preserve">aims and </w:t>
      </w:r>
      <w:r w:rsidR="00002678" w:rsidRPr="000D6190">
        <w:rPr>
          <w:rFonts w:ascii="Times New Roman" w:hAnsi="Times New Roman" w:cs="Times New Roman"/>
        </w:rPr>
        <w:t>method</w:t>
      </w:r>
      <w:r w:rsidRPr="000D6190">
        <w:rPr>
          <w:rFonts w:ascii="Times New Roman" w:hAnsi="Times New Roman" w:cs="Times New Roman"/>
        </w:rPr>
        <w:t>s varied</w:t>
      </w:r>
      <w:r w:rsidR="003E4DD7" w:rsidRPr="000D6190">
        <w:rPr>
          <w:rFonts w:ascii="Times New Roman" w:hAnsi="Times New Roman" w:cs="Times New Roman"/>
        </w:rPr>
        <w:t xml:space="preserve"> considerably between </w:t>
      </w:r>
      <w:r w:rsidR="00002678" w:rsidRPr="000D6190">
        <w:rPr>
          <w:rFonts w:ascii="Times New Roman" w:hAnsi="Times New Roman" w:cs="Times New Roman"/>
        </w:rPr>
        <w:t>studies.</w:t>
      </w:r>
      <w:r w:rsidR="003E4DD7" w:rsidRPr="000D6190">
        <w:rPr>
          <w:rFonts w:ascii="Times New Roman" w:hAnsi="Times New Roman" w:cs="Times New Roman"/>
        </w:rPr>
        <w:t xml:space="preserve"> For instance</w:t>
      </w:r>
      <w:r w:rsidRPr="000D6190">
        <w:rPr>
          <w:rFonts w:ascii="Times New Roman" w:hAnsi="Times New Roman" w:cs="Times New Roman"/>
        </w:rPr>
        <w:t xml:space="preserve"> studies by</w:t>
      </w:r>
      <w:r w:rsidR="003E4DD7" w:rsidRPr="000D6190">
        <w:rPr>
          <w:rFonts w:ascii="Times New Roman" w:hAnsi="Times New Roman" w:cs="Times New Roman"/>
        </w:rPr>
        <w:t xml:space="preserve"> </w:t>
      </w:r>
      <w:r w:rsidR="00BF7E31" w:rsidRPr="000D6190">
        <w:rPr>
          <w:rFonts w:ascii="Times New Roman" w:hAnsi="Times New Roman" w:cs="Times New Roman"/>
          <w:noProof/>
        </w:rPr>
        <w:t>(</w:t>
      </w:r>
      <w:r w:rsidR="00BF7E31" w:rsidRPr="000D6190">
        <w:rPr>
          <w:rFonts w:ascii="Times New Roman" w:eastAsia="Calibri" w:hAnsi="Times New Roman" w:cs="Times New Roman"/>
          <w:noProof/>
        </w:rPr>
        <w:t>Bauer et al,</w:t>
      </w:r>
      <w:r w:rsidR="003E4DD7" w:rsidRPr="000D6190">
        <w:rPr>
          <w:rFonts w:ascii="Times New Roman" w:hAnsi="Times New Roman" w:cs="Times New Roman"/>
          <w:noProof/>
        </w:rPr>
        <w:t xml:space="preserve"> 2011; National Research Council 2008)</w:t>
      </w:r>
      <w:r w:rsidR="003E4DD7" w:rsidRPr="000D6190">
        <w:rPr>
          <w:rFonts w:ascii="Times New Roman" w:hAnsi="Times New Roman" w:cs="Times New Roman"/>
        </w:rPr>
        <w:t xml:space="preserve"> consider</w:t>
      </w:r>
      <w:r w:rsidRPr="000D6190">
        <w:rPr>
          <w:rFonts w:ascii="Times New Roman" w:hAnsi="Times New Roman" w:cs="Times New Roman"/>
        </w:rPr>
        <w:t>ed</w:t>
      </w:r>
      <w:r w:rsidR="003E4DD7" w:rsidRPr="000D6190">
        <w:rPr>
          <w:rFonts w:ascii="Times New Roman" w:hAnsi="Times New Roman" w:cs="Times New Roman"/>
        </w:rPr>
        <w:t xml:space="preserve"> this factor qualitatively, including it as a regulatory restriction to expanding supply.</w:t>
      </w:r>
      <w:r w:rsidR="00773808" w:rsidRPr="000D6190">
        <w:rPr>
          <w:rFonts w:ascii="Times New Roman" w:hAnsi="Times New Roman" w:cs="Times New Roman"/>
        </w:rPr>
        <w:t xml:space="preserve"> </w:t>
      </w:r>
      <w:r w:rsidRPr="000D6190">
        <w:rPr>
          <w:rFonts w:ascii="Times New Roman" w:hAnsi="Times New Roman" w:cs="Times New Roman"/>
        </w:rPr>
        <w:t xml:space="preserve"> On the other hand</w:t>
      </w:r>
      <w:r w:rsidR="003E4DD7" w:rsidRPr="000D6190">
        <w:rPr>
          <w:rFonts w:ascii="Times New Roman" w:hAnsi="Times New Roman" w:cs="Times New Roman"/>
        </w:rPr>
        <w:t xml:space="preserve">, </w:t>
      </w:r>
      <w:r w:rsidR="00002678" w:rsidRPr="000D6190">
        <w:rPr>
          <w:rFonts w:ascii="Times New Roman" w:hAnsi="Times New Roman" w:cs="Times New Roman"/>
          <w:noProof/>
        </w:rPr>
        <w:t>(Morley &amp; Eatherley 2008)</w:t>
      </w:r>
      <w:r w:rsidR="003E4DD7" w:rsidRPr="000D6190">
        <w:rPr>
          <w:rFonts w:ascii="Times New Roman" w:hAnsi="Times New Roman" w:cs="Times New Roman"/>
        </w:rPr>
        <w:t xml:space="preserve"> include</w:t>
      </w:r>
      <w:r w:rsidRPr="000D6190">
        <w:rPr>
          <w:rFonts w:ascii="Times New Roman" w:hAnsi="Times New Roman" w:cs="Times New Roman"/>
        </w:rPr>
        <w:t>d</w:t>
      </w:r>
      <w:r w:rsidR="00002678" w:rsidRPr="000D6190">
        <w:rPr>
          <w:rFonts w:ascii="Times New Roman" w:hAnsi="Times New Roman" w:cs="Times New Roman"/>
        </w:rPr>
        <w:t xml:space="preserve"> a score for three environmental factors, two under material </w:t>
      </w:r>
      <w:r w:rsidR="00773808" w:rsidRPr="000D6190">
        <w:rPr>
          <w:rFonts w:ascii="Times New Roman" w:hAnsi="Times New Roman" w:cs="Times New Roman"/>
        </w:rPr>
        <w:t>risk (Global Warming Potential and Total Material Requirement) and one under supply risk in the form of the</w:t>
      </w:r>
      <w:r w:rsidR="00002678" w:rsidRPr="000D6190">
        <w:rPr>
          <w:rFonts w:ascii="Times New Roman" w:hAnsi="Times New Roman" w:cs="Times New Roman"/>
        </w:rPr>
        <w:t xml:space="preserve"> vulnerability of key supp</w:t>
      </w:r>
      <w:r w:rsidR="00773808" w:rsidRPr="000D6190">
        <w:rPr>
          <w:rFonts w:ascii="Times New Roman" w:hAnsi="Times New Roman" w:cs="Times New Roman"/>
        </w:rPr>
        <w:t>lying regions to climate change</w:t>
      </w:r>
      <w:r w:rsidR="00002678" w:rsidRPr="000D6190">
        <w:rPr>
          <w:rFonts w:ascii="Times New Roman" w:hAnsi="Times New Roman" w:cs="Times New Roman"/>
        </w:rPr>
        <w:t>.</w:t>
      </w:r>
    </w:p>
    <w:p w:rsidR="00C61CE4" w:rsidRPr="000D6190" w:rsidRDefault="00A93A90" w:rsidP="004E4EE0">
      <w:pPr>
        <w:spacing w:after="0" w:line="360" w:lineRule="auto"/>
        <w:ind w:firstLine="720"/>
        <w:contextualSpacing/>
        <w:jc w:val="both"/>
        <w:rPr>
          <w:rFonts w:ascii="Times New Roman" w:hAnsi="Times New Roman" w:cs="Times New Roman"/>
        </w:rPr>
      </w:pPr>
      <w:r w:rsidRPr="000D6190">
        <w:rPr>
          <w:rFonts w:ascii="Times New Roman" w:hAnsi="Times New Roman" w:cs="Times New Roman"/>
        </w:rPr>
        <w:t>Concerning the study by</w:t>
      </w:r>
      <w:r w:rsidR="00437D2D" w:rsidRPr="000D6190">
        <w:rPr>
          <w:rFonts w:ascii="Times New Roman" w:hAnsi="Times New Roman" w:cs="Times New Roman"/>
        </w:rPr>
        <w:t xml:space="preserve"> </w:t>
      </w:r>
      <w:r w:rsidR="00437D2D" w:rsidRPr="000D6190">
        <w:rPr>
          <w:rFonts w:ascii="Times New Roman" w:hAnsi="Times New Roman" w:cs="Times New Roman"/>
          <w:noProof/>
        </w:rPr>
        <w:t>(Graedel et al. 2012)</w:t>
      </w:r>
      <w:r w:rsidR="00437D2D" w:rsidRPr="000D6190">
        <w:rPr>
          <w:rFonts w:ascii="Times New Roman" w:hAnsi="Times New Roman" w:cs="Times New Roman"/>
        </w:rPr>
        <w:t xml:space="preserve"> an Environmental Implications (EI) metric</w:t>
      </w:r>
      <w:r w:rsidR="00706A27" w:rsidRPr="000D6190">
        <w:rPr>
          <w:rFonts w:ascii="Times New Roman" w:hAnsi="Times New Roman" w:cs="Times New Roman"/>
        </w:rPr>
        <w:t>,</w:t>
      </w:r>
      <w:r w:rsidR="00437D2D" w:rsidRPr="000D6190">
        <w:rPr>
          <w:rFonts w:ascii="Times New Roman" w:hAnsi="Times New Roman" w:cs="Times New Roman"/>
        </w:rPr>
        <w:t xml:space="preserve"> as an indicator to the potential environmental implications of utilizing a particular metal</w:t>
      </w:r>
      <w:r w:rsidRPr="000D6190">
        <w:rPr>
          <w:rFonts w:ascii="Times New Roman" w:hAnsi="Times New Roman" w:cs="Times New Roman"/>
        </w:rPr>
        <w:t xml:space="preserve"> was introduced</w:t>
      </w:r>
      <w:r w:rsidR="00437D2D" w:rsidRPr="000D6190">
        <w:rPr>
          <w:rFonts w:ascii="Times New Roman" w:hAnsi="Times New Roman" w:cs="Times New Roman"/>
        </w:rPr>
        <w:t xml:space="preserve">. To quantify this change, the </w:t>
      </w:r>
      <w:r w:rsidR="00706A27" w:rsidRPr="000D6190">
        <w:rPr>
          <w:rFonts w:ascii="Times New Roman" w:hAnsi="Times New Roman" w:cs="Times New Roman"/>
        </w:rPr>
        <w:t>EI metric</w:t>
      </w:r>
      <w:r w:rsidR="00437D2D" w:rsidRPr="000D6190">
        <w:rPr>
          <w:rFonts w:ascii="Times New Roman" w:hAnsi="Times New Roman" w:cs="Times New Roman"/>
        </w:rPr>
        <w:t xml:space="preserve"> was</w:t>
      </w:r>
      <w:r w:rsidR="006E51A3" w:rsidRPr="000D6190">
        <w:rPr>
          <w:rFonts w:ascii="Times New Roman" w:hAnsi="Times New Roman" w:cs="Times New Roman"/>
        </w:rPr>
        <w:t xml:space="preserve"> firstly</w:t>
      </w:r>
      <w:r w:rsidR="00437D2D" w:rsidRPr="000D6190">
        <w:rPr>
          <w:rFonts w:ascii="Times New Roman" w:hAnsi="Times New Roman" w:cs="Times New Roman"/>
        </w:rPr>
        <w:t xml:space="preserve"> calculated and then used in the Environmental Impact </w:t>
      </w:r>
      <w:r w:rsidR="00437D2D" w:rsidRPr="000D6190">
        <w:rPr>
          <w:rFonts w:ascii="Times New Roman" w:hAnsi="Times New Roman" w:cs="Times New Roman"/>
        </w:rPr>
        <w:lastRenderedPageBreak/>
        <w:t>Ratio (EIR).</w:t>
      </w:r>
      <w:r w:rsidR="004E4EE0" w:rsidRPr="000D6190">
        <w:rPr>
          <w:rFonts w:ascii="Times New Roman" w:hAnsi="Times New Roman" w:cs="Times New Roman"/>
        </w:rPr>
        <w:t xml:space="preserve"> </w:t>
      </w:r>
      <w:r w:rsidR="00002678" w:rsidRPr="000D6190">
        <w:rPr>
          <w:rFonts w:ascii="Times New Roman" w:hAnsi="Times New Roman" w:cs="Times New Roman"/>
        </w:rPr>
        <w:t xml:space="preserve">For EI evaluation, inventory data from the Eco-invent life cycle analysis (LCA) tool </w:t>
      </w:r>
      <w:r w:rsidR="0081627C" w:rsidRPr="000D6190">
        <w:rPr>
          <w:rFonts w:ascii="Times New Roman" w:hAnsi="Times New Roman" w:cs="Times New Roman"/>
          <w:noProof/>
        </w:rPr>
        <w:t>(Frischknecht et al., 2007</w:t>
      </w:r>
      <w:r w:rsidR="00002678" w:rsidRPr="000D6190">
        <w:rPr>
          <w:rFonts w:ascii="Times New Roman" w:hAnsi="Times New Roman" w:cs="Times New Roman"/>
          <w:noProof/>
        </w:rPr>
        <w:t>)</w:t>
      </w:r>
      <w:r w:rsidR="00437D2D" w:rsidRPr="000D6190">
        <w:rPr>
          <w:rFonts w:ascii="Times New Roman" w:hAnsi="Times New Roman" w:cs="Times New Roman"/>
        </w:rPr>
        <w:t xml:space="preserve"> was</w:t>
      </w:r>
      <w:r w:rsidR="00002678" w:rsidRPr="000D6190">
        <w:rPr>
          <w:rFonts w:ascii="Times New Roman" w:hAnsi="Times New Roman" w:cs="Times New Roman"/>
        </w:rPr>
        <w:t xml:space="preserve"> used. </w:t>
      </w:r>
    </w:p>
    <w:p w:rsidR="00002678" w:rsidRPr="000D6190" w:rsidRDefault="00002678" w:rsidP="00002678">
      <w:pPr>
        <w:spacing w:line="360" w:lineRule="auto"/>
        <w:ind w:firstLine="720"/>
        <w:contextualSpacing/>
        <w:jc w:val="both"/>
        <w:rPr>
          <w:rFonts w:ascii="Times New Roman" w:hAnsi="Times New Roman" w:cs="Times New Roman"/>
        </w:rPr>
      </w:pPr>
      <w:r w:rsidRPr="000D6190">
        <w:rPr>
          <w:rFonts w:ascii="Times New Roman" w:hAnsi="Times New Roman" w:cs="Times New Roman"/>
        </w:rPr>
        <w:t xml:space="preserve">In contrast, the </w:t>
      </w:r>
      <w:r w:rsidR="00A93A90" w:rsidRPr="000D6190">
        <w:rPr>
          <w:rFonts w:ascii="Times New Roman" w:hAnsi="Times New Roman" w:cs="Times New Roman"/>
        </w:rPr>
        <w:t xml:space="preserve">report by </w:t>
      </w:r>
      <w:r w:rsidR="002841A7" w:rsidRPr="000D6190">
        <w:rPr>
          <w:rFonts w:ascii="Times New Roman" w:hAnsi="Times New Roman" w:cs="Times New Roman"/>
          <w:noProof/>
        </w:rPr>
        <w:t>(European Commission 2014)</w:t>
      </w:r>
      <w:r w:rsidR="00A93A90" w:rsidRPr="000D6190">
        <w:rPr>
          <w:rFonts w:ascii="Times New Roman" w:hAnsi="Times New Roman" w:cs="Times New Roman"/>
        </w:rPr>
        <w:t xml:space="preserve"> made</w:t>
      </w:r>
      <w:r w:rsidRPr="000D6190">
        <w:rPr>
          <w:rFonts w:ascii="Times New Roman" w:hAnsi="Times New Roman" w:cs="Times New Roman"/>
        </w:rPr>
        <w:t xml:space="preserve"> use of the Environmental Performance Index </w:t>
      </w:r>
      <w:r w:rsidR="00A93A90" w:rsidRPr="000D6190">
        <w:rPr>
          <w:rFonts w:ascii="Times New Roman" w:hAnsi="Times New Roman" w:cs="Times New Roman"/>
        </w:rPr>
        <w:t>(EPI) which assesses</w:t>
      </w:r>
      <w:r w:rsidRPr="000D6190">
        <w:rPr>
          <w:rFonts w:ascii="Times New Roman" w:hAnsi="Times New Roman" w:cs="Times New Roman"/>
        </w:rPr>
        <w:t xml:space="preserve"> the risk through which significant supplying countries may limit the supply of raw materials to the EU, in order to protect their own domest</w:t>
      </w:r>
      <w:r w:rsidR="00A93A90" w:rsidRPr="000D6190">
        <w:rPr>
          <w:rFonts w:ascii="Times New Roman" w:hAnsi="Times New Roman" w:cs="Times New Roman"/>
        </w:rPr>
        <w:t>ic environments. This measure was</w:t>
      </w:r>
      <w:r w:rsidRPr="000D6190">
        <w:rPr>
          <w:rFonts w:ascii="Times New Roman" w:hAnsi="Times New Roman" w:cs="Times New Roman"/>
        </w:rPr>
        <w:t xml:space="preserve"> also investigated equivocally by </w:t>
      </w:r>
      <w:r w:rsidRPr="000D6190">
        <w:rPr>
          <w:rFonts w:ascii="Times New Roman" w:hAnsi="Times New Roman" w:cs="Times New Roman"/>
          <w:noProof/>
        </w:rPr>
        <w:t>(Graedel et al. 2012)</w:t>
      </w:r>
      <w:r w:rsidRPr="000D6190">
        <w:rPr>
          <w:rFonts w:ascii="Times New Roman" w:hAnsi="Times New Roman" w:cs="Times New Roman"/>
        </w:rPr>
        <w:t xml:space="preserve"> in the social and regulatory component of their methodology. Although it is possible but not certain, a number of other studies may also indirectly assess this risk in their social, political and regulatory risk factors.</w:t>
      </w:r>
    </w:p>
    <w:p w:rsidR="00002678" w:rsidRDefault="00002678" w:rsidP="00002678">
      <w:pPr>
        <w:spacing w:line="360" w:lineRule="auto"/>
        <w:ind w:firstLine="720"/>
        <w:contextualSpacing/>
        <w:jc w:val="both"/>
        <w:rPr>
          <w:rFonts w:ascii="Times New Roman" w:hAnsi="Times New Roman" w:cs="Times New Roman"/>
        </w:rPr>
      </w:pPr>
      <w:r w:rsidRPr="000D6190">
        <w:rPr>
          <w:rFonts w:ascii="Times New Roman" w:hAnsi="Times New Roman" w:cs="Times New Roman"/>
        </w:rPr>
        <w:t>Summarising, environmental issues are only clearly includ</w:t>
      </w:r>
      <w:r w:rsidR="004E4EE0" w:rsidRPr="000D6190">
        <w:rPr>
          <w:rFonts w:ascii="Times New Roman" w:hAnsi="Times New Roman" w:cs="Times New Roman"/>
        </w:rPr>
        <w:t>ed in the methodologies of 7</w:t>
      </w:r>
      <w:r w:rsidRPr="000D6190">
        <w:rPr>
          <w:rFonts w:ascii="Times New Roman" w:hAnsi="Times New Roman" w:cs="Times New Roman"/>
        </w:rPr>
        <w:t xml:space="preserve"> studies, although their inclusion is unclear and mainly qualitative. Where it is included, it forms part of the pre-selection of critical metals such as in </w:t>
      </w:r>
      <w:r w:rsidRPr="000D6190">
        <w:rPr>
          <w:rFonts w:ascii="Times New Roman" w:hAnsi="Times New Roman" w:cs="Times New Roman"/>
          <w:noProof/>
        </w:rPr>
        <w:t>(Graedel et al. 2012)</w:t>
      </w:r>
      <w:r w:rsidRPr="000D6190">
        <w:rPr>
          <w:rFonts w:ascii="Times New Roman" w:hAnsi="Times New Roman" w:cs="Times New Roman"/>
        </w:rPr>
        <w:t xml:space="preserve"> compared to studies where it is not directly included</w:t>
      </w:r>
      <w:r w:rsidR="004E4EE0" w:rsidRPr="000D6190">
        <w:rPr>
          <w:rFonts w:ascii="Times New Roman" w:hAnsi="Times New Roman" w:cs="Times New Roman"/>
        </w:rPr>
        <w:t xml:space="preserve"> </w:t>
      </w:r>
      <w:r w:rsidR="00BF7E31" w:rsidRPr="000D6190">
        <w:rPr>
          <w:rFonts w:ascii="Times New Roman" w:hAnsi="Times New Roman" w:cs="Times New Roman"/>
          <w:noProof/>
        </w:rPr>
        <w:t>(</w:t>
      </w:r>
      <w:r w:rsidR="00BF7E31" w:rsidRPr="000D6190">
        <w:rPr>
          <w:rFonts w:ascii="Times New Roman" w:eastAsia="Calibri" w:hAnsi="Times New Roman" w:cs="Times New Roman"/>
          <w:noProof/>
        </w:rPr>
        <w:t>Bauer et al</w:t>
      </w:r>
      <w:r w:rsidR="00BF7E31" w:rsidRPr="000D6190">
        <w:rPr>
          <w:rFonts w:ascii="Times New Roman" w:hAnsi="Times New Roman" w:cs="Times New Roman"/>
          <w:noProof/>
        </w:rPr>
        <w:t xml:space="preserve">, </w:t>
      </w:r>
      <w:r w:rsidR="004E4EE0" w:rsidRPr="000D6190">
        <w:rPr>
          <w:rFonts w:ascii="Times New Roman" w:hAnsi="Times New Roman" w:cs="Times New Roman"/>
          <w:noProof/>
        </w:rPr>
        <w:t>2011; NRC 2008)</w:t>
      </w:r>
      <w:r w:rsidR="004E4EE0" w:rsidRPr="000D6190">
        <w:rPr>
          <w:rFonts w:ascii="Times New Roman" w:hAnsi="Times New Roman" w:cs="Times New Roman"/>
        </w:rPr>
        <w:t>.</w:t>
      </w:r>
    </w:p>
    <w:p w:rsidR="00F827DD" w:rsidRDefault="00F827DD" w:rsidP="00F827DD">
      <w:pPr>
        <w:spacing w:line="360" w:lineRule="auto"/>
        <w:contextualSpacing/>
        <w:jc w:val="both"/>
        <w:rPr>
          <w:rFonts w:ascii="Times New Roman" w:hAnsi="Times New Roman" w:cs="Times New Roman"/>
        </w:rPr>
      </w:pPr>
    </w:p>
    <w:p w:rsidR="00F827DD" w:rsidRDefault="00F827DD" w:rsidP="00002678">
      <w:pPr>
        <w:spacing w:line="360" w:lineRule="auto"/>
        <w:ind w:firstLine="720"/>
        <w:contextualSpacing/>
        <w:jc w:val="both"/>
        <w:rPr>
          <w:rFonts w:ascii="Times New Roman" w:hAnsi="Times New Roman" w:cs="Times New Roman"/>
        </w:rPr>
        <w:sectPr w:rsidR="00F827DD" w:rsidSect="00C24042">
          <w:pgSz w:w="11906" w:h="16838"/>
          <w:pgMar w:top="1440" w:right="1440" w:bottom="1440" w:left="1440" w:header="708" w:footer="708" w:gutter="0"/>
          <w:cols w:space="708"/>
          <w:docGrid w:linePitch="360"/>
        </w:sectPr>
      </w:pPr>
    </w:p>
    <w:p w:rsidR="00D676B0" w:rsidRDefault="001716DC" w:rsidP="00D676B0">
      <w:pPr>
        <w:pStyle w:val="Heading3"/>
      </w:pPr>
      <w:bookmarkStart w:id="34" w:name="_Toc457222007"/>
      <w:r>
        <w:lastRenderedPageBreak/>
        <w:t>3</w:t>
      </w:r>
      <w:r w:rsidR="006A2208">
        <w:t>.1.5</w:t>
      </w:r>
      <w:r w:rsidR="00D676B0">
        <w:t xml:space="preserve"> </w:t>
      </w:r>
      <w:bookmarkEnd w:id="34"/>
      <w:r w:rsidR="003D2DD1">
        <w:t>Summary</w:t>
      </w:r>
      <w:r w:rsidR="00D713F0">
        <w:t xml:space="preserve"> </w:t>
      </w:r>
    </w:p>
    <w:p w:rsidR="005B33F0" w:rsidRPr="006624F7" w:rsidRDefault="003D2DD1" w:rsidP="005B33F0">
      <w:pPr>
        <w:spacing w:line="360" w:lineRule="auto"/>
        <w:ind w:firstLine="720"/>
        <w:contextualSpacing/>
        <w:jc w:val="both"/>
        <w:rPr>
          <w:rFonts w:ascii="Times New Roman" w:hAnsi="Times New Roman" w:cs="Times New Roman"/>
        </w:rPr>
      </w:pPr>
      <w:r w:rsidRPr="006624F7">
        <w:rPr>
          <w:rFonts w:ascii="Times New Roman" w:hAnsi="Times New Roman" w:cs="Times New Roman"/>
        </w:rPr>
        <w:t>Criticality is strongly dependant</w:t>
      </w:r>
      <w:r w:rsidR="00FB7588" w:rsidRPr="006624F7">
        <w:rPr>
          <w:rFonts w:ascii="Times New Roman" w:hAnsi="Times New Roman" w:cs="Times New Roman"/>
        </w:rPr>
        <w:t xml:space="preserve"> on the perspective</w:t>
      </w:r>
      <w:r w:rsidRPr="006624F7">
        <w:rPr>
          <w:rFonts w:ascii="Times New Roman" w:hAnsi="Times New Roman" w:cs="Times New Roman"/>
        </w:rPr>
        <w:t xml:space="preserve"> from which it is conducted and on the purpose of use. Consequently, the majority of criticality studies investigated here demonstrate dissimilar scopes e.g. global economy, corporations or a practical view on </w:t>
      </w:r>
      <w:r w:rsidR="005B33F0" w:rsidRPr="006624F7">
        <w:rPr>
          <w:rFonts w:ascii="Times New Roman" w:hAnsi="Times New Roman" w:cs="Times New Roman"/>
        </w:rPr>
        <w:t>specific raw material, thus making it difficult to group their findings into a single conclusion.</w:t>
      </w:r>
    </w:p>
    <w:p w:rsidR="005B33F0" w:rsidRPr="006624F7" w:rsidRDefault="00FB7588" w:rsidP="005B33F0">
      <w:pPr>
        <w:spacing w:line="360" w:lineRule="auto"/>
        <w:ind w:firstLine="720"/>
        <w:contextualSpacing/>
        <w:jc w:val="both"/>
        <w:rPr>
          <w:rFonts w:ascii="Times New Roman" w:hAnsi="Times New Roman" w:cs="Times New Roman"/>
        </w:rPr>
      </w:pPr>
      <w:r w:rsidRPr="006624F7">
        <w:rPr>
          <w:rFonts w:ascii="Times New Roman" w:hAnsi="Times New Roman" w:cs="Times New Roman"/>
          <w:szCs w:val="20"/>
        </w:rPr>
        <w:t>However, there does app</w:t>
      </w:r>
      <w:r w:rsidR="00381525" w:rsidRPr="006624F7">
        <w:rPr>
          <w:rFonts w:ascii="Times New Roman" w:hAnsi="Times New Roman" w:cs="Times New Roman"/>
          <w:szCs w:val="20"/>
        </w:rPr>
        <w:t>ear to be a degree of agreement</w:t>
      </w:r>
      <w:r w:rsidRPr="006624F7">
        <w:rPr>
          <w:rFonts w:ascii="Times New Roman" w:hAnsi="Times New Roman" w:cs="Times New Roman"/>
          <w:szCs w:val="20"/>
        </w:rPr>
        <w:t xml:space="preserve"> in the general methodology for</w:t>
      </w:r>
      <w:r w:rsidR="005B33F0" w:rsidRPr="006624F7">
        <w:rPr>
          <w:rFonts w:ascii="Times New Roman" w:hAnsi="Times New Roman" w:cs="Times New Roman"/>
          <w:szCs w:val="20"/>
        </w:rPr>
        <w:t xml:space="preserve"> conducting</w:t>
      </w:r>
      <w:r w:rsidRPr="006624F7">
        <w:rPr>
          <w:rFonts w:ascii="Times New Roman" w:hAnsi="Times New Roman" w:cs="Times New Roman"/>
          <w:szCs w:val="20"/>
        </w:rPr>
        <w:t xml:space="preserve"> criticality assessments.</w:t>
      </w:r>
      <w:r w:rsidRPr="006624F7">
        <w:rPr>
          <w:rFonts w:ascii="Times New Roman" w:hAnsi="Times New Roman" w:cs="Times New Roman"/>
        </w:rPr>
        <w:t xml:space="preserve"> </w:t>
      </w:r>
      <w:r w:rsidR="003D2DD1" w:rsidRPr="006624F7">
        <w:rPr>
          <w:rFonts w:ascii="Times New Roman" w:hAnsi="Times New Roman" w:cs="Times New Roman"/>
        </w:rPr>
        <w:t xml:space="preserve">The main dimensions in most cases are supply risk </w:t>
      </w:r>
      <w:r w:rsidRPr="006624F7">
        <w:rPr>
          <w:rFonts w:ascii="Times New Roman" w:hAnsi="Times New Roman" w:cs="Times New Roman"/>
        </w:rPr>
        <w:t>(</w:t>
      </w:r>
      <w:r w:rsidR="003D2DD1" w:rsidRPr="006624F7">
        <w:rPr>
          <w:rFonts w:ascii="Times New Roman" w:hAnsi="Times New Roman" w:cs="Times New Roman"/>
        </w:rPr>
        <w:t>e.g. producer concentration,</w:t>
      </w:r>
      <w:r w:rsidRPr="006624F7">
        <w:rPr>
          <w:rFonts w:ascii="Times New Roman" w:hAnsi="Times New Roman" w:cs="Times New Roman"/>
        </w:rPr>
        <w:t xml:space="preserve"> mine production or consumption)</w:t>
      </w:r>
      <w:r w:rsidR="003D2DD1" w:rsidRPr="006624F7">
        <w:rPr>
          <w:rFonts w:ascii="Times New Roman" w:hAnsi="Times New Roman" w:cs="Times New Roman"/>
        </w:rPr>
        <w:t xml:space="preserve"> and vulnerability in terms of impact of supply disruption or importance of use. </w:t>
      </w:r>
      <w:r w:rsidRPr="006624F7">
        <w:rPr>
          <w:rFonts w:ascii="Times New Roman" w:hAnsi="Times New Roman" w:cs="Times New Roman"/>
        </w:rPr>
        <w:t>An in-dept</w:t>
      </w:r>
      <w:r w:rsidR="00212115" w:rsidRPr="006624F7">
        <w:rPr>
          <w:rFonts w:ascii="Times New Roman" w:hAnsi="Times New Roman" w:cs="Times New Roman"/>
        </w:rPr>
        <w:t>h analysis of these two factors</w:t>
      </w:r>
      <w:r w:rsidRPr="006624F7">
        <w:rPr>
          <w:rFonts w:ascii="Times New Roman" w:hAnsi="Times New Roman" w:cs="Times New Roman"/>
        </w:rPr>
        <w:t xml:space="preserve"> discloses that the contributing connected to supply risk e.g. producer concentration, mine production or consumption</w:t>
      </w:r>
      <w:r w:rsidR="00212115" w:rsidRPr="006624F7">
        <w:rPr>
          <w:rFonts w:ascii="Times New Roman" w:hAnsi="Times New Roman" w:cs="Times New Roman"/>
        </w:rPr>
        <w:t>,</w:t>
      </w:r>
      <w:r w:rsidRPr="006624F7">
        <w:rPr>
          <w:rFonts w:ascii="Times New Roman" w:hAnsi="Times New Roman" w:cs="Times New Roman"/>
        </w:rPr>
        <w:t xml:space="preserve"> are quantitative in nature. Whereas factors associated with vulnerability dimension e.g. impact to supply or strategic relevance are more qualitative. Aggregating these indicators, predominantly equal or indicator-specific weights are used. Furthermore, the bulk of studies either make use of a criticality matrix or index for all materials to be analysed. Graphical representation and future market situation analysis are also used</w:t>
      </w:r>
      <w:r w:rsidR="005B33F0" w:rsidRPr="006624F7">
        <w:rPr>
          <w:rFonts w:ascii="Times New Roman" w:hAnsi="Times New Roman" w:cs="Times New Roman"/>
        </w:rPr>
        <w:t>,</w:t>
      </w:r>
      <w:r w:rsidRPr="006624F7">
        <w:rPr>
          <w:rFonts w:ascii="Times New Roman" w:hAnsi="Times New Roman" w:cs="Times New Roman"/>
        </w:rPr>
        <w:t xml:space="preserve"> but in the minority. Often, the scale of measure in these studies is an ordinal scale, which purely offers ordering of rank.</w:t>
      </w:r>
    </w:p>
    <w:p w:rsidR="005B33F0" w:rsidRPr="006624F7" w:rsidRDefault="003D2DD1" w:rsidP="005B33F0">
      <w:pPr>
        <w:spacing w:line="360" w:lineRule="auto"/>
        <w:ind w:firstLine="720"/>
        <w:contextualSpacing/>
        <w:jc w:val="both"/>
        <w:rPr>
          <w:rFonts w:ascii="Times New Roman" w:hAnsi="Times New Roman" w:cs="Times New Roman"/>
        </w:rPr>
      </w:pPr>
      <w:r w:rsidRPr="006624F7">
        <w:rPr>
          <w:rFonts w:ascii="Times New Roman" w:hAnsi="Times New Roman" w:cs="Times New Roman"/>
        </w:rPr>
        <w:t>Alternative perspectives suggest the usage of several</w:t>
      </w:r>
      <w:r w:rsidR="005B33F0" w:rsidRPr="006624F7">
        <w:rPr>
          <w:rFonts w:ascii="Times New Roman" w:hAnsi="Times New Roman" w:cs="Times New Roman"/>
        </w:rPr>
        <w:t xml:space="preserve"> sub-</w:t>
      </w:r>
      <w:r w:rsidRPr="006624F7">
        <w:rPr>
          <w:rFonts w:ascii="Times New Roman" w:hAnsi="Times New Roman" w:cs="Times New Roman"/>
        </w:rPr>
        <w:t xml:space="preserve">indictors. But in reality, the main indicators display little or no accordance amongst the diverse approaches, even when conducted from the same standpoint. </w:t>
      </w:r>
    </w:p>
    <w:p w:rsidR="005B33F0" w:rsidRPr="006624F7" w:rsidRDefault="003D2DD1" w:rsidP="003117E1">
      <w:pPr>
        <w:spacing w:line="360" w:lineRule="auto"/>
        <w:ind w:firstLine="720"/>
        <w:contextualSpacing/>
        <w:jc w:val="both"/>
        <w:rPr>
          <w:rFonts w:ascii="Times New Roman" w:hAnsi="Times New Roman" w:cs="Times New Roman"/>
        </w:rPr>
      </w:pPr>
      <w:r w:rsidRPr="006624F7">
        <w:rPr>
          <w:rFonts w:ascii="Times New Roman" w:hAnsi="Times New Roman" w:cs="Times New Roman"/>
        </w:rPr>
        <w:t>In general, the</w:t>
      </w:r>
      <w:r w:rsidR="005B33F0" w:rsidRPr="006624F7">
        <w:rPr>
          <w:rFonts w:ascii="Times New Roman" w:hAnsi="Times New Roman" w:cs="Times New Roman"/>
        </w:rPr>
        <w:t xml:space="preserve"> 10 studies investigated here</w:t>
      </w:r>
      <w:r w:rsidR="003117E1" w:rsidRPr="006624F7">
        <w:rPr>
          <w:rFonts w:ascii="Times New Roman" w:hAnsi="Times New Roman" w:cs="Times New Roman"/>
        </w:rPr>
        <w:t>,</w:t>
      </w:r>
      <w:r w:rsidR="005B33F0" w:rsidRPr="006624F7">
        <w:rPr>
          <w:rFonts w:ascii="Times New Roman" w:hAnsi="Times New Roman" w:cs="Times New Roman"/>
        </w:rPr>
        <w:t xml:space="preserve"> help</w:t>
      </w:r>
      <w:r w:rsidR="003117E1" w:rsidRPr="006624F7">
        <w:rPr>
          <w:rFonts w:ascii="Times New Roman" w:hAnsi="Times New Roman" w:cs="Times New Roman"/>
        </w:rPr>
        <w:t>ed</w:t>
      </w:r>
      <w:r w:rsidR="005B33F0" w:rsidRPr="006624F7">
        <w:rPr>
          <w:rFonts w:ascii="Times New Roman" w:hAnsi="Times New Roman" w:cs="Times New Roman"/>
        </w:rPr>
        <w:t xml:space="preserve"> to consolidate</w:t>
      </w:r>
      <w:r w:rsidR="003117E1" w:rsidRPr="006624F7">
        <w:rPr>
          <w:rFonts w:ascii="Times New Roman" w:hAnsi="Times New Roman" w:cs="Times New Roman"/>
        </w:rPr>
        <w:t xml:space="preserve"> the</w:t>
      </w:r>
      <w:r w:rsidR="005B33F0" w:rsidRPr="006624F7">
        <w:rPr>
          <w:rFonts w:ascii="Times New Roman" w:hAnsi="Times New Roman" w:cs="Times New Roman"/>
        </w:rPr>
        <w:t xml:space="preserve"> current understanding of minerals criticality</w:t>
      </w:r>
      <w:r w:rsidR="003117E1" w:rsidRPr="006624F7">
        <w:rPr>
          <w:rFonts w:ascii="Times New Roman" w:hAnsi="Times New Roman" w:cs="Times New Roman"/>
        </w:rPr>
        <w:t>,</w:t>
      </w:r>
      <w:r w:rsidR="005B33F0" w:rsidRPr="006624F7">
        <w:rPr>
          <w:rFonts w:ascii="Times New Roman" w:hAnsi="Times New Roman" w:cs="Times New Roman"/>
        </w:rPr>
        <w:t xml:space="preserve"> and </w:t>
      </w:r>
      <w:r w:rsidR="003117E1" w:rsidRPr="006624F7">
        <w:rPr>
          <w:rFonts w:ascii="Times New Roman" w:hAnsi="Times New Roman" w:cs="Times New Roman"/>
        </w:rPr>
        <w:t>support</w:t>
      </w:r>
      <w:r w:rsidR="005B33F0" w:rsidRPr="006624F7">
        <w:rPr>
          <w:rFonts w:ascii="Times New Roman" w:hAnsi="Times New Roman" w:cs="Times New Roman"/>
        </w:rPr>
        <w:t xml:space="preserve"> develop</w:t>
      </w:r>
      <w:r w:rsidR="003117E1" w:rsidRPr="006624F7">
        <w:rPr>
          <w:rFonts w:ascii="Times New Roman" w:hAnsi="Times New Roman" w:cs="Times New Roman"/>
        </w:rPr>
        <w:t>ment of</w:t>
      </w:r>
      <w:r w:rsidR="005B33F0" w:rsidRPr="006624F7">
        <w:rPr>
          <w:rFonts w:ascii="Times New Roman" w:hAnsi="Times New Roman" w:cs="Times New Roman"/>
        </w:rPr>
        <w:t xml:space="preserve"> improved methodologies to assess future developments and markets. Although, the 10 studies covered the vast majority of the main principles in literature, they were not comprehensive to include everything </w:t>
      </w:r>
      <w:r w:rsidR="003117E1" w:rsidRPr="006624F7">
        <w:rPr>
          <w:rFonts w:ascii="Times New Roman" w:hAnsi="Times New Roman" w:cs="Times New Roman"/>
        </w:rPr>
        <w:t>and some ideas, methods and results would</w:t>
      </w:r>
      <w:r w:rsidR="00783EAC" w:rsidRPr="006624F7">
        <w:rPr>
          <w:rFonts w:ascii="Times New Roman" w:hAnsi="Times New Roman" w:cs="Times New Roman"/>
        </w:rPr>
        <w:t xml:space="preserve"> undoubtedly</w:t>
      </w:r>
      <w:r w:rsidR="003117E1" w:rsidRPr="006624F7">
        <w:rPr>
          <w:rFonts w:ascii="Times New Roman" w:hAnsi="Times New Roman" w:cs="Times New Roman"/>
        </w:rPr>
        <w:t xml:space="preserve"> not have been included. However, </w:t>
      </w:r>
      <w:r w:rsidR="005B33F0" w:rsidRPr="006624F7">
        <w:rPr>
          <w:rFonts w:ascii="Times New Roman" w:hAnsi="Times New Roman" w:cs="Times New Roman"/>
        </w:rPr>
        <w:t>there is sufficient room for improvement and research, particularly related to the steel industry.</w:t>
      </w:r>
    </w:p>
    <w:p w:rsidR="00BB7801" w:rsidRPr="006624F7" w:rsidRDefault="00DB6998" w:rsidP="00BB7801">
      <w:pPr>
        <w:spacing w:line="360" w:lineRule="auto"/>
        <w:ind w:firstLine="720"/>
        <w:contextualSpacing/>
        <w:jc w:val="both"/>
        <w:rPr>
          <w:rFonts w:ascii="Times New Roman" w:eastAsia="Calibri" w:hAnsi="Times New Roman" w:cs="Times New Roman"/>
        </w:rPr>
      </w:pPr>
      <w:r w:rsidRPr="006624F7">
        <w:rPr>
          <w:rFonts w:ascii="Times New Roman" w:hAnsi="Times New Roman" w:cs="Times New Roman"/>
        </w:rPr>
        <w:t xml:space="preserve">Identifying what elements to investigate was challenging due to the wide breadth of </w:t>
      </w:r>
      <w:r w:rsidRPr="006624F7">
        <w:rPr>
          <w:rFonts w:ascii="Times New Roman" w:eastAsia="Calibri" w:hAnsi="Times New Roman" w:cs="Times New Roman"/>
        </w:rPr>
        <w:t xml:space="preserve">materials examined, </w:t>
      </w:r>
      <w:r w:rsidR="00FA788A" w:rsidRPr="006624F7">
        <w:rPr>
          <w:rFonts w:ascii="Times New Roman" w:hAnsi="Times New Roman" w:cs="Times New Roman"/>
        </w:rPr>
        <w:t>in particular from the 10 studie</w:t>
      </w:r>
      <w:r w:rsidR="00F65CE2" w:rsidRPr="006624F7">
        <w:rPr>
          <w:rFonts w:ascii="Times New Roman" w:hAnsi="Times New Roman" w:cs="Times New Roman"/>
        </w:rPr>
        <w:t>s h</w:t>
      </w:r>
      <w:r w:rsidR="00FA788A" w:rsidRPr="006624F7">
        <w:rPr>
          <w:rFonts w:ascii="Times New Roman" w:hAnsi="Times New Roman" w:cs="Times New Roman"/>
        </w:rPr>
        <w:t xml:space="preserve">as shown by </w:t>
      </w:r>
      <w:r w:rsidR="00A6415F" w:rsidRPr="006624F7">
        <w:rPr>
          <w:rFonts w:ascii="Times New Roman" w:hAnsi="Times New Roman" w:cs="Times New Roman"/>
        </w:rPr>
        <w:fldChar w:fldCharType="begin"/>
      </w:r>
      <w:r w:rsidR="00A6415F" w:rsidRPr="006624F7">
        <w:rPr>
          <w:rFonts w:ascii="Times New Roman" w:hAnsi="Times New Roman" w:cs="Times New Roman"/>
        </w:rPr>
        <w:instrText xml:space="preserve"> REF _Ref472415223 \h  \* MERGEFORMAT </w:instrText>
      </w:r>
      <w:r w:rsidR="00A6415F" w:rsidRPr="006624F7">
        <w:rPr>
          <w:rFonts w:ascii="Times New Roman" w:hAnsi="Times New Roman" w:cs="Times New Roman"/>
        </w:rPr>
      </w:r>
      <w:r w:rsidR="00A6415F" w:rsidRPr="006624F7">
        <w:rPr>
          <w:rFonts w:ascii="Times New Roman" w:hAnsi="Times New Roman" w:cs="Times New Roman"/>
        </w:rPr>
        <w:fldChar w:fldCharType="separate"/>
      </w:r>
      <w:r w:rsidR="009F5483" w:rsidRPr="006624F7">
        <w:rPr>
          <w:rStyle w:val="TablesChar"/>
          <w:color w:val="auto"/>
        </w:rPr>
        <w:t>Table 2</w:t>
      </w:r>
      <w:r w:rsidR="00A6415F" w:rsidRPr="006624F7">
        <w:rPr>
          <w:rFonts w:ascii="Times New Roman" w:hAnsi="Times New Roman" w:cs="Times New Roman"/>
        </w:rPr>
        <w:fldChar w:fldCharType="end"/>
      </w:r>
      <w:r w:rsidR="00FA788A" w:rsidRPr="006624F7">
        <w:rPr>
          <w:rStyle w:val="TablesChar"/>
          <w:color w:val="auto"/>
        </w:rPr>
        <w:t>.</w:t>
      </w:r>
      <w:r w:rsidR="00BB7801" w:rsidRPr="006624F7">
        <w:rPr>
          <w:rStyle w:val="TablesChar"/>
          <w:color w:val="auto"/>
        </w:rPr>
        <w:t xml:space="preserve"> </w:t>
      </w:r>
      <w:r w:rsidR="00BB7801" w:rsidRPr="006624F7">
        <w:rPr>
          <w:rFonts w:ascii="Times New Roman" w:eastAsia="Calibri" w:hAnsi="Times New Roman" w:cs="Times New Roman"/>
        </w:rPr>
        <w:t xml:space="preserve">Five of the studies </w:t>
      </w:r>
      <w:r w:rsidR="00BB7801" w:rsidRPr="006624F7">
        <w:rPr>
          <w:rFonts w:ascii="Times New Roman" w:eastAsia="Calibri" w:hAnsi="Times New Roman" w:cs="Times New Roman"/>
          <w:noProof/>
        </w:rPr>
        <w:t>(European Commission 2014; British Geological Survey 2012; Moss et al.</w:t>
      </w:r>
      <w:r w:rsidR="00202C43" w:rsidRPr="006624F7">
        <w:rPr>
          <w:rFonts w:ascii="Times New Roman" w:eastAsia="Calibri" w:hAnsi="Times New Roman" w:cs="Times New Roman"/>
          <w:noProof/>
        </w:rPr>
        <w:t xml:space="preserve"> 2011; Duclos et al. 2010; Buchert et al, </w:t>
      </w:r>
      <w:r w:rsidR="00BB7801" w:rsidRPr="006624F7">
        <w:rPr>
          <w:rFonts w:ascii="Times New Roman" w:eastAsia="Calibri" w:hAnsi="Times New Roman" w:cs="Times New Roman"/>
          <w:noProof/>
        </w:rPr>
        <w:t>2009)</w:t>
      </w:r>
      <w:r w:rsidR="00BB7801" w:rsidRPr="006624F7">
        <w:rPr>
          <w:rFonts w:ascii="Times New Roman" w:eastAsia="Calibri" w:hAnsi="Times New Roman" w:cs="Times New Roman"/>
        </w:rPr>
        <w:t xml:space="preserve"> contained a systematic investigation of a wide variety of raw materials (between 26 and 70), the remaining studies analyse the criticality of roughly a dozen raw materials. In addition, all studies cover metals, but 2 of the studies </w:t>
      </w:r>
      <w:r w:rsidR="00BB7801" w:rsidRPr="006624F7">
        <w:rPr>
          <w:rFonts w:ascii="Times New Roman" w:eastAsia="Calibri" w:hAnsi="Times New Roman" w:cs="Times New Roman"/>
          <w:noProof/>
        </w:rPr>
        <w:t>(European Commission 2014; Morley &amp; Eatherley 2008)</w:t>
      </w:r>
      <w:r w:rsidR="00BB7801" w:rsidRPr="006624F7">
        <w:rPr>
          <w:rFonts w:ascii="Times New Roman" w:eastAsia="Calibri" w:hAnsi="Times New Roman" w:cs="Times New Roman"/>
        </w:rPr>
        <w:t xml:space="preserve"> also include</w:t>
      </w:r>
      <w:r w:rsidR="00255DBB" w:rsidRPr="006624F7">
        <w:rPr>
          <w:rFonts w:ascii="Times New Roman" w:eastAsia="Calibri" w:hAnsi="Times New Roman" w:cs="Times New Roman"/>
        </w:rPr>
        <w:t>d</w:t>
      </w:r>
      <w:r w:rsidR="00BB7801" w:rsidRPr="006624F7">
        <w:rPr>
          <w:rFonts w:ascii="Times New Roman" w:eastAsia="Calibri" w:hAnsi="Times New Roman" w:cs="Times New Roman"/>
        </w:rPr>
        <w:t xml:space="preserve"> industrial minerals.</w:t>
      </w:r>
    </w:p>
    <w:p w:rsidR="00FA788A" w:rsidRPr="006624F7" w:rsidRDefault="00FA788A" w:rsidP="00D15969">
      <w:pPr>
        <w:spacing w:line="360" w:lineRule="auto"/>
        <w:contextualSpacing/>
        <w:jc w:val="both"/>
        <w:rPr>
          <w:rFonts w:ascii="Times New Roman" w:hAnsi="Times New Roman" w:cs="Times New Roman"/>
        </w:rPr>
      </w:pPr>
    </w:p>
    <w:p w:rsidR="00FA788A" w:rsidRPr="00F827DD" w:rsidRDefault="00FA788A" w:rsidP="003117E1">
      <w:pPr>
        <w:spacing w:line="360" w:lineRule="auto"/>
        <w:ind w:firstLine="720"/>
        <w:contextualSpacing/>
        <w:jc w:val="both"/>
        <w:rPr>
          <w:rFonts w:ascii="Times New Roman" w:hAnsi="Times New Roman" w:cs="Times New Roman"/>
        </w:rPr>
      </w:pPr>
    </w:p>
    <w:p w:rsidR="00FA788A" w:rsidRPr="00F827DD" w:rsidRDefault="00FA788A" w:rsidP="003117E1">
      <w:pPr>
        <w:spacing w:line="360" w:lineRule="auto"/>
        <w:ind w:firstLine="720"/>
        <w:contextualSpacing/>
        <w:jc w:val="both"/>
        <w:rPr>
          <w:rFonts w:ascii="Times New Roman" w:hAnsi="Times New Roman" w:cs="Times New Roman"/>
        </w:rPr>
        <w:sectPr w:rsidR="00FA788A" w:rsidRPr="00F827DD" w:rsidSect="00C24042">
          <w:pgSz w:w="11906" w:h="16838"/>
          <w:pgMar w:top="1440" w:right="1440" w:bottom="1440" w:left="1440" w:header="708" w:footer="708" w:gutter="0"/>
          <w:cols w:space="708"/>
          <w:docGrid w:linePitch="360"/>
        </w:sectPr>
      </w:pPr>
    </w:p>
    <w:p w:rsidR="00FA788A" w:rsidRPr="00F827DD" w:rsidRDefault="00FA788A" w:rsidP="00FA788A">
      <w:bookmarkStart w:id="35" w:name="_Ref472415223"/>
      <w:bookmarkStart w:id="36" w:name="_Toc473912200"/>
      <w:bookmarkStart w:id="37" w:name="_Toc495852680"/>
      <w:r w:rsidRPr="00F827DD">
        <w:lastRenderedPageBreak/>
        <w:t xml:space="preserve">Table </w:t>
      </w:r>
      <w:r w:rsidR="009A0ED7" w:rsidRPr="00F827DD">
        <w:fldChar w:fldCharType="begin"/>
      </w:r>
      <w:r w:rsidR="00DF7B62" w:rsidRPr="00F827DD">
        <w:instrText xml:space="preserve"> SEQ Table \* ARABIC </w:instrText>
      </w:r>
      <w:r w:rsidR="009A0ED7" w:rsidRPr="00F827DD">
        <w:fldChar w:fldCharType="separate"/>
      </w:r>
      <w:r w:rsidR="009F5483">
        <w:rPr>
          <w:noProof/>
        </w:rPr>
        <w:t>2</w:t>
      </w:r>
      <w:r w:rsidR="009A0ED7" w:rsidRPr="00F827DD">
        <w:rPr>
          <w:noProof/>
        </w:rPr>
        <w:fldChar w:fldCharType="end"/>
      </w:r>
      <w:bookmarkEnd w:id="35"/>
      <w:r w:rsidRPr="00F827DD">
        <w:t>. Overview of materials investigated of frequently discussed criticality studies.</w:t>
      </w:r>
      <w:bookmarkEnd w:id="36"/>
      <w:bookmarkEnd w:id="37"/>
      <w:r w:rsidRPr="00F827DD">
        <w:t xml:space="preserve"> </w:t>
      </w:r>
    </w:p>
    <w:p w:rsidR="00FA788A" w:rsidRPr="00F827DD" w:rsidRDefault="00D15969" w:rsidP="006624F7">
      <w:pPr>
        <w:jc w:val="center"/>
      </w:pPr>
      <w:r w:rsidRPr="00F827DD">
        <w:rPr>
          <w:noProof/>
        </w:rPr>
        <w:drawing>
          <wp:inline distT="0" distB="0" distL="0" distR="0">
            <wp:extent cx="5731510" cy="594045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5940458"/>
                    </a:xfrm>
                    <a:prstGeom prst="rect">
                      <a:avLst/>
                    </a:prstGeom>
                    <a:noFill/>
                    <a:ln>
                      <a:noFill/>
                    </a:ln>
                  </pic:spPr>
                </pic:pic>
              </a:graphicData>
            </a:graphic>
          </wp:inline>
        </w:drawing>
      </w:r>
    </w:p>
    <w:p w:rsidR="00FA788A" w:rsidRPr="00F827DD" w:rsidRDefault="00FA788A" w:rsidP="00FA788A">
      <w:pPr>
        <w:jc w:val="both"/>
        <w:rPr>
          <w:rFonts w:ascii="Times New Roman" w:hAnsi="Times New Roman" w:cs="Times New Roman"/>
        </w:rPr>
      </w:pPr>
      <w:r w:rsidRPr="00F827DD">
        <w:rPr>
          <w:rFonts w:ascii="Times New Roman" w:hAnsi="Times New Roman" w:cs="Times New Roman"/>
        </w:rPr>
        <w:t>[Note: a) Oakdene Hollins identifies 8 most at risk metals out of the ranking of 69. b) This becomes 35 materials if the group rare earth elements (REE) are considered separately. c) The Yale University methodology has so far only been applied to copper and its by-products, although forthcoming publications will apply it to more materials. d) Rare earth elements as one group (various coverage). e) Originally 8 materials designated as insecure, but one (Hg) was finally dropped. ) All assumed to become critical within different time horizons. g) Eleven of the original 52 elements have been excluded from the update because of data availability and quality issues. h) PGE and REE included as one group.]</w:t>
      </w:r>
    </w:p>
    <w:p w:rsidR="00FA788A" w:rsidRPr="00F827DD" w:rsidRDefault="00FA788A" w:rsidP="003117E1">
      <w:pPr>
        <w:spacing w:line="360" w:lineRule="auto"/>
        <w:ind w:firstLine="720"/>
        <w:contextualSpacing/>
        <w:jc w:val="both"/>
        <w:rPr>
          <w:rFonts w:ascii="Times New Roman" w:hAnsi="Times New Roman" w:cs="Times New Roman"/>
        </w:rPr>
      </w:pPr>
    </w:p>
    <w:p w:rsidR="00FA788A" w:rsidRPr="00F827DD" w:rsidRDefault="00FA788A" w:rsidP="00BB7801">
      <w:pPr>
        <w:spacing w:line="360" w:lineRule="auto"/>
        <w:contextualSpacing/>
        <w:jc w:val="both"/>
        <w:rPr>
          <w:rFonts w:ascii="Times New Roman" w:hAnsi="Times New Roman" w:cs="Times New Roman"/>
        </w:rPr>
        <w:sectPr w:rsidR="00FA788A" w:rsidRPr="00F827DD" w:rsidSect="00D15969">
          <w:pgSz w:w="11906" w:h="16838"/>
          <w:pgMar w:top="1440" w:right="1440" w:bottom="1440" w:left="1440" w:header="708" w:footer="708" w:gutter="0"/>
          <w:cols w:space="708"/>
          <w:docGrid w:linePitch="360"/>
        </w:sectPr>
      </w:pPr>
    </w:p>
    <w:p w:rsidR="00255DBB" w:rsidRPr="00F827DD" w:rsidRDefault="00212115" w:rsidP="006624F7">
      <w:pPr>
        <w:spacing w:line="360" w:lineRule="auto"/>
        <w:ind w:firstLine="720"/>
        <w:contextualSpacing/>
        <w:jc w:val="both"/>
        <w:rPr>
          <w:rFonts w:ascii="Times New Roman" w:hAnsi="Times New Roman" w:cs="Times New Roman"/>
          <w:noProof/>
        </w:rPr>
      </w:pPr>
      <w:r>
        <w:rPr>
          <w:rFonts w:ascii="Times New Roman" w:hAnsi="Times New Roman" w:cs="Times New Roman"/>
        </w:rPr>
        <w:lastRenderedPageBreak/>
        <w:t>The s</w:t>
      </w:r>
      <w:r w:rsidR="0073181A" w:rsidRPr="00F827DD">
        <w:rPr>
          <w:rFonts w:ascii="Times New Roman" w:hAnsi="Times New Roman" w:cs="Times New Roman"/>
        </w:rPr>
        <w:t xml:space="preserve">election </w:t>
      </w:r>
      <w:r>
        <w:rPr>
          <w:rFonts w:ascii="Times New Roman" w:hAnsi="Times New Roman" w:cs="Times New Roman"/>
        </w:rPr>
        <w:t>of what elements to investigate</w:t>
      </w:r>
      <w:r w:rsidR="0073181A" w:rsidRPr="00F827DD">
        <w:rPr>
          <w:rFonts w:ascii="Times New Roman" w:hAnsi="Times New Roman" w:cs="Times New Roman"/>
        </w:rPr>
        <w:t xml:space="preserve"> was initially co</w:t>
      </w:r>
      <w:r w:rsidR="002B566E">
        <w:rPr>
          <w:rFonts w:ascii="Times New Roman" w:hAnsi="Times New Roman" w:cs="Times New Roman"/>
        </w:rPr>
        <w:t>nducted by creating a list of 32</w:t>
      </w:r>
      <w:r w:rsidR="0073181A" w:rsidRPr="00F827DD">
        <w:rPr>
          <w:rFonts w:ascii="Times New Roman" w:hAnsi="Times New Roman" w:cs="Times New Roman"/>
        </w:rPr>
        <w:t xml:space="preserve"> elements</w:t>
      </w:r>
      <w:r w:rsidR="00BB7801" w:rsidRPr="002B566E">
        <w:rPr>
          <w:rFonts w:ascii="Times New Roman" w:hAnsi="Times New Roman" w:cs="Times New Roman"/>
        </w:rPr>
        <w:t>:</w:t>
      </w:r>
      <w:r w:rsidR="00354B6A" w:rsidRPr="002B566E">
        <w:rPr>
          <w:rFonts w:ascii="Times New Roman" w:hAnsi="Times New Roman" w:cs="Times New Roman"/>
        </w:rPr>
        <w:t xml:space="preserve"> </w:t>
      </w:r>
      <w:r w:rsidR="002B566E" w:rsidRPr="002B566E">
        <w:rPr>
          <w:rFonts w:ascii="Times New Roman" w:hAnsi="Times New Roman" w:cs="Times New Roman"/>
        </w:rPr>
        <w:t xml:space="preserve">(Al, </w:t>
      </w:r>
      <w:r w:rsidR="00354B6A" w:rsidRPr="002B566E">
        <w:rPr>
          <w:rFonts w:ascii="Times New Roman" w:hAnsi="Times New Roman" w:cs="Times New Roman"/>
        </w:rPr>
        <w:t xml:space="preserve">As, </w:t>
      </w:r>
      <w:r w:rsidR="002B566E" w:rsidRPr="002B566E">
        <w:rPr>
          <w:rFonts w:ascii="Times New Roman" w:hAnsi="Times New Roman" w:cs="Times New Roman"/>
        </w:rPr>
        <w:t>B, Be, Bi, C, Ca,</w:t>
      </w:r>
      <w:r w:rsidR="00354B6A" w:rsidRPr="002B566E">
        <w:rPr>
          <w:rFonts w:ascii="Times New Roman" w:hAnsi="Times New Roman" w:cs="Times New Roman"/>
        </w:rPr>
        <w:t xml:space="preserve"> Ce, C</w:t>
      </w:r>
      <w:r w:rsidR="002B566E" w:rsidRPr="002B566E">
        <w:rPr>
          <w:rFonts w:ascii="Times New Roman" w:hAnsi="Times New Roman" w:cs="Times New Roman"/>
        </w:rPr>
        <w:t xml:space="preserve">o, Cr, Cu, </w:t>
      </w:r>
      <w:r w:rsidR="00354B6A" w:rsidRPr="002B566E">
        <w:rPr>
          <w:rFonts w:ascii="Times New Roman" w:hAnsi="Times New Roman" w:cs="Times New Roman"/>
        </w:rPr>
        <w:t>Fe,</w:t>
      </w:r>
      <w:r w:rsidR="002B566E" w:rsidRPr="002B566E">
        <w:rPr>
          <w:rFonts w:ascii="Times New Roman" w:hAnsi="Times New Roman" w:cs="Times New Roman"/>
        </w:rPr>
        <w:t xml:space="preserve"> H, </w:t>
      </w:r>
      <w:r w:rsidR="00354B6A" w:rsidRPr="002B566E">
        <w:rPr>
          <w:rFonts w:ascii="Times New Roman" w:hAnsi="Times New Roman" w:cs="Times New Roman"/>
        </w:rPr>
        <w:t xml:space="preserve">Mg, Mn, Mo, </w:t>
      </w:r>
      <w:r w:rsidR="002B566E" w:rsidRPr="002B566E">
        <w:rPr>
          <w:rFonts w:ascii="Times New Roman" w:hAnsi="Times New Roman" w:cs="Times New Roman"/>
        </w:rPr>
        <w:t xml:space="preserve">N, </w:t>
      </w:r>
      <w:r w:rsidR="00354B6A" w:rsidRPr="002B566E">
        <w:rPr>
          <w:rFonts w:ascii="Times New Roman" w:hAnsi="Times New Roman" w:cs="Times New Roman"/>
        </w:rPr>
        <w:t>N</w:t>
      </w:r>
      <w:r w:rsidR="002B566E" w:rsidRPr="002B566E">
        <w:rPr>
          <w:rFonts w:ascii="Times New Roman" w:hAnsi="Times New Roman" w:cs="Times New Roman"/>
        </w:rPr>
        <w:t>b, Ni</w:t>
      </w:r>
      <w:r w:rsidR="00354B6A" w:rsidRPr="002B566E">
        <w:rPr>
          <w:rFonts w:ascii="Times New Roman" w:hAnsi="Times New Roman" w:cs="Times New Roman"/>
        </w:rPr>
        <w:t xml:space="preserve">, P, </w:t>
      </w:r>
      <w:proofErr w:type="spellStart"/>
      <w:r w:rsidR="002B566E" w:rsidRPr="002B566E">
        <w:rPr>
          <w:rFonts w:ascii="Times New Roman" w:hAnsi="Times New Roman" w:cs="Times New Roman"/>
        </w:rPr>
        <w:t>Pb</w:t>
      </w:r>
      <w:proofErr w:type="spellEnd"/>
      <w:r w:rsidR="002B566E" w:rsidRPr="002B566E">
        <w:rPr>
          <w:rFonts w:ascii="Times New Roman" w:hAnsi="Times New Roman" w:cs="Times New Roman"/>
        </w:rPr>
        <w:t xml:space="preserve">, S, Sb, Se, Si, Sn, </w:t>
      </w:r>
      <w:proofErr w:type="spellStart"/>
      <w:r w:rsidR="00354B6A" w:rsidRPr="002B566E">
        <w:rPr>
          <w:rFonts w:ascii="Times New Roman" w:hAnsi="Times New Roman" w:cs="Times New Roman"/>
        </w:rPr>
        <w:t>Te</w:t>
      </w:r>
      <w:proofErr w:type="spellEnd"/>
      <w:r w:rsidR="00354B6A" w:rsidRPr="002B566E">
        <w:rPr>
          <w:rFonts w:ascii="Times New Roman" w:hAnsi="Times New Roman" w:cs="Times New Roman"/>
        </w:rPr>
        <w:t xml:space="preserve">, Ti, W, V, Zn  and </w:t>
      </w:r>
      <w:proofErr w:type="spellStart"/>
      <w:r w:rsidR="00354B6A" w:rsidRPr="002B566E">
        <w:rPr>
          <w:rFonts w:ascii="Times New Roman" w:hAnsi="Times New Roman" w:cs="Times New Roman"/>
        </w:rPr>
        <w:t>Zr</w:t>
      </w:r>
      <w:proofErr w:type="spellEnd"/>
      <w:r w:rsidR="00354B6A" w:rsidRPr="002B566E">
        <w:rPr>
          <w:rFonts w:ascii="Times New Roman" w:hAnsi="Times New Roman" w:cs="Times New Roman"/>
        </w:rPr>
        <w:t>)</w:t>
      </w:r>
      <w:r w:rsidR="002B566E" w:rsidRPr="002B566E">
        <w:rPr>
          <w:rFonts w:ascii="Times New Roman" w:hAnsi="Times New Roman" w:cs="Times New Roman"/>
        </w:rPr>
        <w:t xml:space="preserve"> </w:t>
      </w:r>
      <w:r w:rsidR="0073181A" w:rsidRPr="002B566E">
        <w:rPr>
          <w:rFonts w:ascii="Times New Roman" w:hAnsi="Times New Roman" w:cs="Times New Roman"/>
        </w:rPr>
        <w:t xml:space="preserve">commonly </w:t>
      </w:r>
      <w:r w:rsidR="0073181A" w:rsidRPr="00F827DD">
        <w:rPr>
          <w:rFonts w:ascii="Times New Roman" w:hAnsi="Times New Roman" w:cs="Times New Roman"/>
        </w:rPr>
        <w:t xml:space="preserve">used in steel. </w:t>
      </w:r>
      <w:r w:rsidR="00891B54" w:rsidRPr="00F827DD">
        <w:rPr>
          <w:rFonts w:ascii="Times New Roman" w:hAnsi="Times New Roman" w:cs="Times New Roman"/>
        </w:rPr>
        <w:t xml:space="preserve"> From this list, data was gathered from cradle to grave (i.e. abundance in earth’s crust, global production, reserves, applications, recycli</w:t>
      </w:r>
      <w:r w:rsidR="00BB7801" w:rsidRPr="00F827DD">
        <w:rPr>
          <w:rFonts w:ascii="Times New Roman" w:hAnsi="Times New Roman" w:cs="Times New Roman"/>
        </w:rPr>
        <w:t xml:space="preserve">ng etc.) on </w:t>
      </w:r>
      <w:r w:rsidR="002B566E">
        <w:rPr>
          <w:rFonts w:ascii="Times New Roman" w:hAnsi="Times New Roman" w:cs="Times New Roman"/>
        </w:rPr>
        <w:t>all 32</w:t>
      </w:r>
      <w:r>
        <w:rPr>
          <w:rFonts w:ascii="Times New Roman" w:hAnsi="Times New Roman" w:cs="Times New Roman"/>
        </w:rPr>
        <w:t xml:space="preserve"> elements. Three principal</w:t>
      </w:r>
      <w:r w:rsidR="00BB7801" w:rsidRPr="00F827DD">
        <w:rPr>
          <w:rFonts w:ascii="Times New Roman" w:hAnsi="Times New Roman" w:cs="Times New Roman"/>
        </w:rPr>
        <w:t xml:space="preserve"> factors: data availability, application and use</w:t>
      </w:r>
      <w:r w:rsidR="00891B54" w:rsidRPr="00F827DD">
        <w:rPr>
          <w:rFonts w:ascii="Times New Roman" w:hAnsi="Times New Roman" w:cs="Times New Roman"/>
        </w:rPr>
        <w:t xml:space="preserve"> in steel and similar studies in literature</w:t>
      </w:r>
      <w:r w:rsidR="00D64757" w:rsidRPr="00F827DD">
        <w:rPr>
          <w:rFonts w:ascii="Times New Roman" w:hAnsi="Times New Roman" w:cs="Times New Roman"/>
        </w:rPr>
        <w:t>,</w:t>
      </w:r>
      <w:r w:rsidR="00891B54" w:rsidRPr="00F827DD">
        <w:rPr>
          <w:rFonts w:ascii="Times New Roman" w:hAnsi="Times New Roman" w:cs="Times New Roman"/>
        </w:rPr>
        <w:t xml:space="preserve"> were selected</w:t>
      </w:r>
      <w:r w:rsidR="00D64757" w:rsidRPr="00F827DD">
        <w:rPr>
          <w:rFonts w:ascii="Times New Roman" w:hAnsi="Times New Roman" w:cs="Times New Roman"/>
        </w:rPr>
        <w:t xml:space="preserve"> as filters resulting in 4 elements of interest: chromium, molybdenum, niobium and vanadium</w:t>
      </w:r>
      <w:r w:rsidR="00F827DD">
        <w:rPr>
          <w:rFonts w:ascii="Times New Roman" w:hAnsi="Times New Roman" w:cs="Times New Roman"/>
        </w:rPr>
        <w:t xml:space="preserve">. </w:t>
      </w:r>
      <w:r w:rsidR="00D64757" w:rsidRPr="00F827DD">
        <w:rPr>
          <w:rFonts w:ascii="Times New Roman" w:hAnsi="Times New Roman" w:cs="Times New Roman"/>
        </w:rPr>
        <w:t xml:space="preserve">Selection of these elements was supported by the BGS 2012 risk list as summarised in </w:t>
      </w:r>
      <w:r w:rsidR="009A0ED7" w:rsidRPr="00F827DD">
        <w:rPr>
          <w:rFonts w:ascii="Times New Roman" w:hAnsi="Times New Roman" w:cs="Times New Roman"/>
        </w:rPr>
        <w:fldChar w:fldCharType="begin"/>
      </w:r>
      <w:r w:rsidR="00D64757" w:rsidRPr="00F827DD">
        <w:rPr>
          <w:rFonts w:ascii="Times New Roman" w:hAnsi="Times New Roman" w:cs="Times New Roman"/>
        </w:rPr>
        <w:instrText xml:space="preserve"> REF _Ref472762878 \h </w:instrText>
      </w:r>
      <w:r w:rsidR="003D2DD1" w:rsidRPr="00F827DD">
        <w:rPr>
          <w:rFonts w:ascii="Times New Roman" w:hAnsi="Times New Roman" w:cs="Times New Roman"/>
        </w:rPr>
        <w:instrText xml:space="preserve"> \* MERGEFORMAT </w:instrText>
      </w:r>
      <w:r w:rsidR="009A0ED7" w:rsidRPr="00F827DD">
        <w:rPr>
          <w:rFonts w:ascii="Times New Roman" w:hAnsi="Times New Roman" w:cs="Times New Roman"/>
        </w:rPr>
      </w:r>
      <w:r w:rsidR="009A0ED7" w:rsidRPr="00F827DD">
        <w:rPr>
          <w:rFonts w:ascii="Times New Roman" w:hAnsi="Times New Roman" w:cs="Times New Roman"/>
        </w:rPr>
        <w:fldChar w:fldCharType="separate"/>
      </w:r>
      <w:r w:rsidR="009F5483" w:rsidRPr="00F827DD">
        <w:rPr>
          <w:rFonts w:ascii="Times New Roman" w:hAnsi="Times New Roman" w:cs="Times New Roman"/>
          <w:noProof/>
        </w:rPr>
        <w:t xml:space="preserve">Table </w:t>
      </w:r>
      <w:r w:rsidR="009F5483">
        <w:rPr>
          <w:rFonts w:ascii="Times New Roman" w:hAnsi="Times New Roman" w:cs="Times New Roman"/>
          <w:noProof/>
        </w:rPr>
        <w:t>3</w:t>
      </w:r>
      <w:r w:rsidR="009A0ED7" w:rsidRPr="00F827DD">
        <w:rPr>
          <w:rFonts w:ascii="Times New Roman" w:hAnsi="Times New Roman" w:cs="Times New Roman"/>
        </w:rPr>
        <w:fldChar w:fldCharType="end"/>
      </w:r>
      <w:r w:rsidR="00D713F0" w:rsidRPr="00F827DD">
        <w:rPr>
          <w:rFonts w:ascii="Times New Roman" w:hAnsi="Times New Roman" w:cs="Times New Roman"/>
        </w:rPr>
        <w:t>.</w:t>
      </w:r>
      <w:bookmarkStart w:id="38" w:name="_Ref472762878"/>
      <w:bookmarkStart w:id="39" w:name="_Toc474486511"/>
    </w:p>
    <w:p w:rsidR="00D64757" w:rsidRPr="00F827DD" w:rsidRDefault="00D64757" w:rsidP="00D64757">
      <w:pPr>
        <w:rPr>
          <w:rFonts w:ascii="Times New Roman" w:hAnsi="Times New Roman" w:cs="Times New Roman"/>
        </w:rPr>
      </w:pPr>
      <w:bookmarkStart w:id="40" w:name="_Toc495852681"/>
      <w:r w:rsidRPr="00F827DD">
        <w:rPr>
          <w:rFonts w:ascii="Times New Roman" w:hAnsi="Times New Roman" w:cs="Times New Roman"/>
        </w:rPr>
        <w:t xml:space="preserve">Table </w:t>
      </w:r>
      <w:r w:rsidR="009A0ED7" w:rsidRPr="00F827DD">
        <w:rPr>
          <w:rFonts w:ascii="Times New Roman" w:hAnsi="Times New Roman" w:cs="Times New Roman"/>
        </w:rPr>
        <w:fldChar w:fldCharType="begin"/>
      </w:r>
      <w:r w:rsidR="00EA33B1" w:rsidRPr="00F827DD">
        <w:rPr>
          <w:rFonts w:ascii="Times New Roman" w:hAnsi="Times New Roman" w:cs="Times New Roman"/>
        </w:rPr>
        <w:instrText xml:space="preserve"> SEQ Table \* ARABIC </w:instrText>
      </w:r>
      <w:r w:rsidR="009A0ED7" w:rsidRPr="00F827DD">
        <w:rPr>
          <w:rFonts w:ascii="Times New Roman" w:hAnsi="Times New Roman" w:cs="Times New Roman"/>
        </w:rPr>
        <w:fldChar w:fldCharType="separate"/>
      </w:r>
      <w:r w:rsidR="009F5483">
        <w:rPr>
          <w:rFonts w:ascii="Times New Roman" w:hAnsi="Times New Roman" w:cs="Times New Roman"/>
          <w:noProof/>
        </w:rPr>
        <w:t>3</w:t>
      </w:r>
      <w:r w:rsidR="009A0ED7" w:rsidRPr="00F827DD">
        <w:rPr>
          <w:rFonts w:ascii="Times New Roman" w:hAnsi="Times New Roman" w:cs="Times New Roman"/>
          <w:noProof/>
        </w:rPr>
        <w:fldChar w:fldCharType="end"/>
      </w:r>
      <w:bookmarkEnd w:id="38"/>
      <w:r w:rsidRPr="00F827DD">
        <w:rPr>
          <w:rFonts w:ascii="Times New Roman" w:hAnsi="Times New Roman" w:cs="Times New Roman"/>
        </w:rPr>
        <w:t>. Summary of elements of interest in this research</w:t>
      </w:r>
      <w:r w:rsidR="00805B43" w:rsidRPr="00F827DD">
        <w:rPr>
          <w:rFonts w:ascii="Times New Roman" w:hAnsi="Times New Roman" w:cs="Times New Roman"/>
        </w:rPr>
        <w:t xml:space="preserve">, identified in the </w:t>
      </w:r>
      <w:r w:rsidRPr="00F827DD">
        <w:rPr>
          <w:rFonts w:ascii="Times New Roman" w:hAnsi="Times New Roman" w:cs="Times New Roman"/>
        </w:rPr>
        <w:t>2012</w:t>
      </w:r>
      <w:r w:rsidR="00805B43" w:rsidRPr="00F827DD">
        <w:rPr>
          <w:rFonts w:ascii="Times New Roman" w:hAnsi="Times New Roman" w:cs="Times New Roman"/>
        </w:rPr>
        <w:t xml:space="preserve"> BGS</w:t>
      </w:r>
      <w:r w:rsidRPr="00F827DD">
        <w:rPr>
          <w:rFonts w:ascii="Times New Roman" w:hAnsi="Times New Roman" w:cs="Times New Roman"/>
        </w:rPr>
        <w:t xml:space="preserve"> risk list.</w:t>
      </w:r>
      <w:bookmarkEnd w:id="39"/>
      <w:bookmarkEnd w:id="40"/>
    </w:p>
    <w:tbl>
      <w:tblPr>
        <w:tblW w:w="5000" w:type="pct"/>
        <w:tblLook w:val="04A0" w:firstRow="1" w:lastRow="0" w:firstColumn="1" w:lastColumn="0" w:noHBand="0" w:noVBand="1"/>
      </w:tblPr>
      <w:tblGrid>
        <w:gridCol w:w="1949"/>
        <w:gridCol w:w="1315"/>
        <w:gridCol w:w="2074"/>
        <w:gridCol w:w="1976"/>
        <w:gridCol w:w="1702"/>
      </w:tblGrid>
      <w:tr w:rsidR="00D64757" w:rsidRPr="00F827DD" w:rsidTr="00BB7801">
        <w:trPr>
          <w:trHeight w:val="900"/>
        </w:trPr>
        <w:tc>
          <w:tcPr>
            <w:tcW w:w="10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64757" w:rsidRPr="006440B9" w:rsidRDefault="00D64757" w:rsidP="00D64757">
            <w:pPr>
              <w:spacing w:after="0" w:line="240" w:lineRule="auto"/>
              <w:jc w:val="center"/>
              <w:rPr>
                <w:rFonts w:ascii="Times New Roman" w:eastAsia="Times New Roman" w:hAnsi="Times New Roman" w:cs="Times New Roman"/>
                <w:b/>
              </w:rPr>
            </w:pPr>
            <w:r w:rsidRPr="006440B9">
              <w:rPr>
                <w:rFonts w:ascii="Times New Roman" w:eastAsia="Times New Roman" w:hAnsi="Times New Roman" w:cs="Times New Roman"/>
                <w:b/>
              </w:rPr>
              <w:t xml:space="preserve">Element </w:t>
            </w:r>
          </w:p>
        </w:tc>
        <w:tc>
          <w:tcPr>
            <w:tcW w:w="729" w:type="pct"/>
            <w:tcBorders>
              <w:top w:val="single" w:sz="4" w:space="0" w:color="auto"/>
              <w:left w:val="nil"/>
              <w:bottom w:val="single" w:sz="4" w:space="0" w:color="auto"/>
              <w:right w:val="single" w:sz="4" w:space="0" w:color="auto"/>
            </w:tcBorders>
            <w:shd w:val="clear" w:color="auto" w:fill="auto"/>
            <w:vAlign w:val="center"/>
            <w:hideMark/>
          </w:tcPr>
          <w:p w:rsidR="00D64757" w:rsidRPr="006440B9" w:rsidRDefault="00D64757" w:rsidP="00D64757">
            <w:pPr>
              <w:spacing w:after="0" w:line="240" w:lineRule="auto"/>
              <w:jc w:val="center"/>
              <w:rPr>
                <w:rFonts w:ascii="Times New Roman" w:eastAsia="Times New Roman" w:hAnsi="Times New Roman" w:cs="Times New Roman"/>
                <w:b/>
              </w:rPr>
            </w:pPr>
            <w:r w:rsidRPr="006440B9">
              <w:rPr>
                <w:rFonts w:ascii="Times New Roman" w:eastAsia="Times New Roman" w:hAnsi="Times New Roman" w:cs="Times New Roman"/>
                <w:b/>
              </w:rPr>
              <w:t>Symbol</w:t>
            </w:r>
          </w:p>
        </w:tc>
        <w:tc>
          <w:tcPr>
            <w:tcW w:w="1150" w:type="pct"/>
            <w:tcBorders>
              <w:top w:val="single" w:sz="4" w:space="0" w:color="auto"/>
              <w:left w:val="nil"/>
              <w:bottom w:val="single" w:sz="4" w:space="0" w:color="auto"/>
              <w:right w:val="single" w:sz="4" w:space="0" w:color="auto"/>
            </w:tcBorders>
            <w:shd w:val="clear" w:color="auto" w:fill="auto"/>
            <w:vAlign w:val="center"/>
            <w:hideMark/>
          </w:tcPr>
          <w:p w:rsidR="00D64757" w:rsidRPr="006440B9" w:rsidRDefault="00D64757" w:rsidP="00D64757">
            <w:pPr>
              <w:spacing w:after="0" w:line="240" w:lineRule="auto"/>
              <w:jc w:val="center"/>
              <w:rPr>
                <w:rFonts w:ascii="Times New Roman" w:eastAsia="Times New Roman" w:hAnsi="Times New Roman" w:cs="Times New Roman"/>
                <w:b/>
              </w:rPr>
            </w:pPr>
            <w:r w:rsidRPr="006440B9">
              <w:rPr>
                <w:rFonts w:ascii="Times New Roman" w:eastAsia="Times New Roman" w:hAnsi="Times New Roman" w:cs="Times New Roman"/>
                <w:b/>
              </w:rPr>
              <w:t>Relative Supply</w:t>
            </w:r>
            <w:r w:rsidRPr="006440B9">
              <w:rPr>
                <w:rFonts w:ascii="Times New Roman" w:eastAsia="Times New Roman" w:hAnsi="Times New Roman" w:cs="Times New Roman"/>
                <w:b/>
              </w:rPr>
              <w:br/>
              <w:t>Risk Index</w:t>
            </w:r>
          </w:p>
        </w:tc>
        <w:tc>
          <w:tcPr>
            <w:tcW w:w="1096" w:type="pct"/>
            <w:tcBorders>
              <w:top w:val="single" w:sz="4" w:space="0" w:color="auto"/>
              <w:left w:val="nil"/>
              <w:bottom w:val="single" w:sz="4" w:space="0" w:color="auto"/>
              <w:right w:val="single" w:sz="4" w:space="0" w:color="auto"/>
            </w:tcBorders>
            <w:shd w:val="clear" w:color="auto" w:fill="auto"/>
            <w:vAlign w:val="center"/>
            <w:hideMark/>
          </w:tcPr>
          <w:p w:rsidR="00D64757" w:rsidRPr="006440B9" w:rsidRDefault="00D64757" w:rsidP="00D64757">
            <w:pPr>
              <w:spacing w:after="0" w:line="240" w:lineRule="auto"/>
              <w:jc w:val="center"/>
              <w:rPr>
                <w:rFonts w:ascii="Times New Roman" w:eastAsia="Times New Roman" w:hAnsi="Times New Roman" w:cs="Times New Roman"/>
                <w:b/>
              </w:rPr>
            </w:pPr>
            <w:r w:rsidRPr="006440B9">
              <w:rPr>
                <w:rFonts w:ascii="Times New Roman" w:eastAsia="Times New Roman" w:hAnsi="Times New Roman" w:cs="Times New Roman"/>
                <w:b/>
              </w:rPr>
              <w:t>Leading Producer</w:t>
            </w:r>
          </w:p>
        </w:tc>
        <w:tc>
          <w:tcPr>
            <w:tcW w:w="944" w:type="pct"/>
            <w:tcBorders>
              <w:top w:val="single" w:sz="4" w:space="0" w:color="auto"/>
              <w:left w:val="nil"/>
              <w:bottom w:val="single" w:sz="4" w:space="0" w:color="auto"/>
              <w:right w:val="single" w:sz="4" w:space="0" w:color="auto"/>
            </w:tcBorders>
            <w:shd w:val="clear" w:color="auto" w:fill="auto"/>
            <w:vAlign w:val="center"/>
            <w:hideMark/>
          </w:tcPr>
          <w:p w:rsidR="00D64757" w:rsidRPr="006440B9" w:rsidRDefault="00D64757" w:rsidP="00D64757">
            <w:pPr>
              <w:spacing w:after="0" w:line="240" w:lineRule="auto"/>
              <w:jc w:val="center"/>
              <w:rPr>
                <w:rFonts w:ascii="Times New Roman" w:eastAsia="Times New Roman" w:hAnsi="Times New Roman" w:cs="Times New Roman"/>
                <w:b/>
              </w:rPr>
            </w:pPr>
            <w:r w:rsidRPr="006440B9">
              <w:rPr>
                <w:rFonts w:ascii="Times New Roman" w:eastAsia="Times New Roman" w:hAnsi="Times New Roman" w:cs="Times New Roman"/>
                <w:b/>
              </w:rPr>
              <w:t>Top Reserve Holder</w:t>
            </w:r>
          </w:p>
        </w:tc>
      </w:tr>
      <w:tr w:rsidR="00D64757" w:rsidRPr="00F827DD" w:rsidTr="00BB7801">
        <w:trPr>
          <w:trHeight w:val="300"/>
        </w:trPr>
        <w:tc>
          <w:tcPr>
            <w:tcW w:w="1081" w:type="pct"/>
            <w:tcBorders>
              <w:top w:val="nil"/>
              <w:left w:val="single" w:sz="4" w:space="0" w:color="auto"/>
              <w:bottom w:val="single" w:sz="4" w:space="0" w:color="auto"/>
              <w:right w:val="single" w:sz="4" w:space="0" w:color="auto"/>
            </w:tcBorders>
            <w:shd w:val="clear" w:color="auto" w:fill="auto"/>
            <w:noWrap/>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Symbol" w:hAnsi="Times New Roman" w:cs="Times New Roman"/>
              </w:rPr>
              <w:t>Chromium</w:t>
            </w:r>
          </w:p>
        </w:tc>
        <w:tc>
          <w:tcPr>
            <w:tcW w:w="729" w:type="pct"/>
            <w:tcBorders>
              <w:top w:val="nil"/>
              <w:left w:val="nil"/>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Cr</w:t>
            </w:r>
          </w:p>
        </w:tc>
        <w:tc>
          <w:tcPr>
            <w:tcW w:w="1150" w:type="pct"/>
            <w:tcBorders>
              <w:top w:val="nil"/>
              <w:left w:val="nil"/>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6.2</w:t>
            </w:r>
          </w:p>
        </w:tc>
        <w:tc>
          <w:tcPr>
            <w:tcW w:w="1096" w:type="pct"/>
            <w:tcBorders>
              <w:top w:val="nil"/>
              <w:left w:val="nil"/>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South Africa</w:t>
            </w:r>
          </w:p>
        </w:tc>
        <w:tc>
          <w:tcPr>
            <w:tcW w:w="944" w:type="pct"/>
            <w:tcBorders>
              <w:top w:val="nil"/>
              <w:left w:val="nil"/>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Kazakhstan</w:t>
            </w:r>
          </w:p>
        </w:tc>
      </w:tr>
      <w:tr w:rsidR="00D64757" w:rsidRPr="00F827DD" w:rsidTr="00BB7801">
        <w:trPr>
          <w:trHeight w:val="300"/>
        </w:trPr>
        <w:tc>
          <w:tcPr>
            <w:tcW w:w="1081" w:type="pct"/>
            <w:tcBorders>
              <w:top w:val="nil"/>
              <w:left w:val="single" w:sz="4" w:space="0" w:color="auto"/>
              <w:bottom w:val="single" w:sz="4" w:space="0" w:color="auto"/>
              <w:right w:val="single" w:sz="4" w:space="0" w:color="auto"/>
            </w:tcBorders>
            <w:shd w:val="clear" w:color="auto" w:fill="auto"/>
            <w:noWrap/>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Symbol" w:hAnsi="Times New Roman" w:cs="Times New Roman"/>
              </w:rPr>
              <w:t>Molybdenum</w:t>
            </w:r>
          </w:p>
        </w:tc>
        <w:tc>
          <w:tcPr>
            <w:tcW w:w="729" w:type="pct"/>
            <w:tcBorders>
              <w:top w:val="nil"/>
              <w:left w:val="nil"/>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Mo</w:t>
            </w:r>
          </w:p>
        </w:tc>
        <w:tc>
          <w:tcPr>
            <w:tcW w:w="1150" w:type="pct"/>
            <w:tcBorders>
              <w:top w:val="nil"/>
              <w:left w:val="nil"/>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8.6</w:t>
            </w:r>
          </w:p>
        </w:tc>
        <w:tc>
          <w:tcPr>
            <w:tcW w:w="1096" w:type="pct"/>
            <w:tcBorders>
              <w:top w:val="nil"/>
              <w:left w:val="nil"/>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China</w:t>
            </w:r>
          </w:p>
        </w:tc>
        <w:tc>
          <w:tcPr>
            <w:tcW w:w="944" w:type="pct"/>
            <w:tcBorders>
              <w:top w:val="nil"/>
              <w:left w:val="nil"/>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China</w:t>
            </w:r>
          </w:p>
        </w:tc>
      </w:tr>
      <w:tr w:rsidR="00D64757" w:rsidRPr="00F827DD" w:rsidTr="00BB7801">
        <w:trPr>
          <w:trHeight w:val="300"/>
        </w:trPr>
        <w:tc>
          <w:tcPr>
            <w:tcW w:w="1081" w:type="pct"/>
            <w:tcBorders>
              <w:top w:val="nil"/>
              <w:left w:val="single" w:sz="4" w:space="0" w:color="auto"/>
              <w:bottom w:val="single" w:sz="4" w:space="0" w:color="auto"/>
              <w:right w:val="single" w:sz="4" w:space="0" w:color="auto"/>
            </w:tcBorders>
            <w:shd w:val="clear" w:color="auto" w:fill="auto"/>
            <w:noWrap/>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Symbol" w:hAnsi="Times New Roman" w:cs="Times New Roman"/>
              </w:rPr>
              <w:t>Niobium</w:t>
            </w:r>
          </w:p>
        </w:tc>
        <w:tc>
          <w:tcPr>
            <w:tcW w:w="729" w:type="pct"/>
            <w:tcBorders>
              <w:top w:val="nil"/>
              <w:left w:val="nil"/>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Nb</w:t>
            </w:r>
          </w:p>
        </w:tc>
        <w:tc>
          <w:tcPr>
            <w:tcW w:w="1150" w:type="pct"/>
            <w:tcBorders>
              <w:top w:val="nil"/>
              <w:left w:val="nil"/>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7.6</w:t>
            </w:r>
          </w:p>
        </w:tc>
        <w:tc>
          <w:tcPr>
            <w:tcW w:w="1096" w:type="pct"/>
            <w:tcBorders>
              <w:top w:val="nil"/>
              <w:left w:val="nil"/>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Brazil</w:t>
            </w:r>
          </w:p>
        </w:tc>
        <w:tc>
          <w:tcPr>
            <w:tcW w:w="944" w:type="pct"/>
            <w:tcBorders>
              <w:top w:val="nil"/>
              <w:left w:val="nil"/>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Brazil</w:t>
            </w:r>
          </w:p>
        </w:tc>
      </w:tr>
      <w:tr w:rsidR="00D64757" w:rsidRPr="00F827DD" w:rsidTr="00BB7801">
        <w:trPr>
          <w:trHeight w:val="300"/>
        </w:trPr>
        <w:tc>
          <w:tcPr>
            <w:tcW w:w="1081" w:type="pct"/>
            <w:tcBorders>
              <w:top w:val="nil"/>
              <w:left w:val="single" w:sz="4" w:space="0" w:color="auto"/>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Vanadium</w:t>
            </w:r>
          </w:p>
        </w:tc>
        <w:tc>
          <w:tcPr>
            <w:tcW w:w="729" w:type="pct"/>
            <w:tcBorders>
              <w:top w:val="nil"/>
              <w:left w:val="nil"/>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V</w:t>
            </w:r>
          </w:p>
        </w:tc>
        <w:tc>
          <w:tcPr>
            <w:tcW w:w="1150" w:type="pct"/>
            <w:tcBorders>
              <w:top w:val="nil"/>
              <w:left w:val="nil"/>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6.7</w:t>
            </w:r>
          </w:p>
        </w:tc>
        <w:tc>
          <w:tcPr>
            <w:tcW w:w="1096" w:type="pct"/>
            <w:tcBorders>
              <w:top w:val="nil"/>
              <w:left w:val="nil"/>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South Africa</w:t>
            </w:r>
          </w:p>
        </w:tc>
        <w:tc>
          <w:tcPr>
            <w:tcW w:w="944" w:type="pct"/>
            <w:tcBorders>
              <w:top w:val="nil"/>
              <w:left w:val="nil"/>
              <w:bottom w:val="single" w:sz="4" w:space="0" w:color="auto"/>
              <w:right w:val="single" w:sz="4" w:space="0" w:color="auto"/>
            </w:tcBorders>
            <w:shd w:val="clear" w:color="auto" w:fill="auto"/>
            <w:vAlign w:val="bottom"/>
            <w:hideMark/>
          </w:tcPr>
          <w:p w:rsidR="00D64757" w:rsidRPr="006440B9" w:rsidRDefault="00D64757" w:rsidP="00D64757">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China</w:t>
            </w:r>
          </w:p>
        </w:tc>
      </w:tr>
    </w:tbl>
    <w:p w:rsidR="00255DBB" w:rsidRPr="00F827DD" w:rsidRDefault="00255DBB" w:rsidP="00255DBB">
      <w:pPr>
        <w:spacing w:after="0" w:line="360" w:lineRule="auto"/>
        <w:ind w:firstLine="720"/>
        <w:contextualSpacing/>
        <w:jc w:val="both"/>
        <w:rPr>
          <w:rFonts w:ascii="Times New Roman" w:hAnsi="Times New Roman" w:cs="Times New Roman"/>
        </w:rPr>
      </w:pPr>
    </w:p>
    <w:p w:rsidR="00805B43" w:rsidRPr="00F827DD" w:rsidRDefault="0012356B" w:rsidP="00255DBB">
      <w:pPr>
        <w:spacing w:after="0" w:line="360" w:lineRule="auto"/>
        <w:ind w:firstLine="720"/>
        <w:contextualSpacing/>
        <w:jc w:val="both"/>
        <w:rPr>
          <w:rFonts w:ascii="Times New Roman" w:hAnsi="Times New Roman" w:cs="Times New Roman"/>
        </w:rPr>
      </w:pPr>
      <w:r w:rsidRPr="00F827DD">
        <w:rPr>
          <w:rFonts w:ascii="Times New Roman" w:hAnsi="Times New Roman" w:cs="Times New Roman"/>
        </w:rPr>
        <w:t>Although elements such as chromium a</w:t>
      </w:r>
      <w:r w:rsidR="00D676B0" w:rsidRPr="00F827DD">
        <w:rPr>
          <w:rFonts w:ascii="Times New Roman" w:hAnsi="Times New Roman" w:cs="Times New Roman"/>
        </w:rPr>
        <w:t>re not as critical as molybdenum</w:t>
      </w:r>
      <w:r w:rsidR="00805B43" w:rsidRPr="00F827DD">
        <w:rPr>
          <w:rFonts w:ascii="Times New Roman" w:hAnsi="Times New Roman" w:cs="Times New Roman"/>
        </w:rPr>
        <w:t>, due to its metallurgical effects being</w:t>
      </w:r>
      <w:r w:rsidRPr="00F827DD">
        <w:rPr>
          <w:rFonts w:ascii="Times New Roman" w:hAnsi="Times New Roman" w:cs="Times New Roman"/>
        </w:rPr>
        <w:t xml:space="preserve"> difficult to replicate using any</w:t>
      </w:r>
      <w:r w:rsidR="00805B43" w:rsidRPr="00F827DD">
        <w:rPr>
          <w:rFonts w:ascii="Times New Roman" w:hAnsi="Times New Roman" w:cs="Times New Roman"/>
        </w:rPr>
        <w:t xml:space="preserve"> other combinations of elements</w:t>
      </w:r>
      <w:r w:rsidR="002B566E">
        <w:rPr>
          <w:rFonts w:ascii="Times New Roman" w:hAnsi="Times New Roman" w:cs="Times New Roman"/>
        </w:rPr>
        <w:t>,</w:t>
      </w:r>
      <w:r w:rsidR="00035A4A" w:rsidRPr="00F827DD">
        <w:rPr>
          <w:rFonts w:ascii="Times New Roman" w:hAnsi="Times New Roman" w:cs="Times New Roman"/>
        </w:rPr>
        <w:t xml:space="preserve"> </w:t>
      </w:r>
      <w:r w:rsidRPr="00F827DD">
        <w:rPr>
          <w:rFonts w:ascii="Times New Roman" w:hAnsi="Times New Roman" w:cs="Times New Roman"/>
        </w:rPr>
        <w:t>and</w:t>
      </w:r>
      <w:r w:rsidR="00805B43" w:rsidRPr="00F827DD">
        <w:rPr>
          <w:rFonts w:ascii="Times New Roman" w:hAnsi="Times New Roman" w:cs="Times New Roman"/>
        </w:rPr>
        <w:t xml:space="preserve"> also being</w:t>
      </w:r>
      <w:r w:rsidRPr="00F827DD">
        <w:rPr>
          <w:rFonts w:ascii="Times New Roman" w:hAnsi="Times New Roman" w:cs="Times New Roman"/>
        </w:rPr>
        <w:t xml:space="preserve"> </w:t>
      </w:r>
      <w:r w:rsidR="00035A4A" w:rsidRPr="00F827DD">
        <w:rPr>
          <w:rFonts w:ascii="Times New Roman" w:hAnsi="Times New Roman" w:cs="Times New Roman"/>
        </w:rPr>
        <w:t>e</w:t>
      </w:r>
      <w:r w:rsidRPr="00F827DD">
        <w:rPr>
          <w:rFonts w:ascii="Times New Roman" w:hAnsi="Times New Roman" w:cs="Times New Roman"/>
        </w:rPr>
        <w:t>xpensive</w:t>
      </w:r>
      <w:r w:rsidR="00805B43" w:rsidRPr="00F827DD">
        <w:rPr>
          <w:rFonts w:ascii="Times New Roman" w:hAnsi="Times New Roman" w:cs="Times New Roman"/>
        </w:rPr>
        <w:t xml:space="preserve">, </w:t>
      </w:r>
      <w:r w:rsidR="00D676B0" w:rsidRPr="00F827DD">
        <w:rPr>
          <w:rFonts w:ascii="Times New Roman" w:hAnsi="Times New Roman" w:cs="Times New Roman"/>
        </w:rPr>
        <w:t>the ava</w:t>
      </w:r>
      <w:r w:rsidR="00255DBB" w:rsidRPr="00F827DD">
        <w:rPr>
          <w:rFonts w:ascii="Times New Roman" w:hAnsi="Times New Roman" w:cs="Times New Roman"/>
        </w:rPr>
        <w:t>ilability of numerical data was</w:t>
      </w:r>
      <w:r w:rsidR="00D676B0" w:rsidRPr="00F827DD">
        <w:rPr>
          <w:rFonts w:ascii="Times New Roman" w:hAnsi="Times New Roman" w:cs="Times New Roman"/>
        </w:rPr>
        <w:t xml:space="preserve"> such that it would act as a control in any methodology developed</w:t>
      </w:r>
      <w:r w:rsidR="00805B43" w:rsidRPr="00F827DD">
        <w:rPr>
          <w:rFonts w:ascii="Times New Roman" w:hAnsi="Times New Roman" w:cs="Times New Roman"/>
        </w:rPr>
        <w:t>.</w:t>
      </w:r>
      <w:r w:rsidR="00D676B0" w:rsidRPr="00F827DD">
        <w:rPr>
          <w:rFonts w:ascii="Times New Roman" w:hAnsi="Times New Roman" w:cs="Times New Roman"/>
        </w:rPr>
        <w:t xml:space="preserve"> </w:t>
      </w:r>
      <w:r w:rsidR="00805B43" w:rsidRPr="00F827DD">
        <w:rPr>
          <w:rFonts w:ascii="Times New Roman" w:hAnsi="Times New Roman" w:cs="Times New Roman"/>
        </w:rPr>
        <w:t>This being particularly useful to compensate for lack of data for the more exotic elements such as niobium and vanadium.</w:t>
      </w:r>
    </w:p>
    <w:p w:rsidR="00D676B0" w:rsidRPr="00F827DD" w:rsidRDefault="002B566E" w:rsidP="003D2DD1">
      <w:pPr>
        <w:spacing w:after="0" w:line="360" w:lineRule="auto"/>
        <w:ind w:firstLine="720"/>
        <w:contextualSpacing/>
        <w:jc w:val="both"/>
        <w:rPr>
          <w:rFonts w:ascii="Times New Roman" w:hAnsi="Times New Roman" w:cs="Times New Roman"/>
        </w:rPr>
      </w:pPr>
      <w:r>
        <w:rPr>
          <w:rFonts w:ascii="Times New Roman" w:hAnsi="Times New Roman" w:cs="Times New Roman"/>
        </w:rPr>
        <w:t xml:space="preserve">Selection of </w:t>
      </w:r>
      <w:r w:rsidR="00805B43" w:rsidRPr="00F827DD">
        <w:rPr>
          <w:rFonts w:ascii="Times New Roman" w:hAnsi="Times New Roman" w:cs="Times New Roman"/>
        </w:rPr>
        <w:t>two of the</w:t>
      </w:r>
      <w:r w:rsidR="00D676B0" w:rsidRPr="00F827DD">
        <w:rPr>
          <w:rFonts w:ascii="Times New Roman" w:hAnsi="Times New Roman" w:cs="Times New Roman"/>
        </w:rPr>
        <w:t xml:space="preserve"> elements</w:t>
      </w:r>
      <w:r w:rsidR="00BB7801" w:rsidRPr="00F827DD">
        <w:rPr>
          <w:rFonts w:ascii="Times New Roman" w:hAnsi="Times New Roman" w:cs="Times New Roman"/>
        </w:rPr>
        <w:t xml:space="preserve"> i.e. chromium and niobium was</w:t>
      </w:r>
      <w:r w:rsidR="00D676B0" w:rsidRPr="00F827DD">
        <w:rPr>
          <w:rFonts w:ascii="Times New Roman" w:hAnsi="Times New Roman" w:cs="Times New Roman"/>
        </w:rPr>
        <w:t xml:space="preserve"> vindicated by </w:t>
      </w:r>
      <w:r w:rsidR="00805B43" w:rsidRPr="00F827DD">
        <w:rPr>
          <w:rFonts w:ascii="Times New Roman" w:hAnsi="Times New Roman" w:cs="Times New Roman"/>
        </w:rPr>
        <w:t>being highlighted by the</w:t>
      </w:r>
      <w:r w:rsidR="00D676B0" w:rsidRPr="00F827DD">
        <w:rPr>
          <w:rFonts w:ascii="Times New Roman" w:hAnsi="Times New Roman" w:cs="Times New Roman"/>
        </w:rPr>
        <w:t xml:space="preserve"> European Commission report on criticality </w:t>
      </w:r>
      <w:r w:rsidR="0039625A" w:rsidRPr="00F827DD">
        <w:rPr>
          <w:rFonts w:ascii="Times New Roman" w:hAnsi="Times New Roman" w:cs="Times New Roman"/>
          <w:noProof/>
        </w:rPr>
        <w:t>(EC 2014)</w:t>
      </w:r>
      <w:r w:rsidR="003D2DD1" w:rsidRPr="00F827DD">
        <w:rPr>
          <w:rFonts w:ascii="Times New Roman" w:hAnsi="Times New Roman" w:cs="Times New Roman"/>
        </w:rPr>
        <w:t xml:space="preserve">. </w:t>
      </w:r>
      <w:r w:rsidR="00D676B0" w:rsidRPr="00F827DD">
        <w:rPr>
          <w:rFonts w:ascii="Times New Roman" w:hAnsi="Times New Roman" w:cs="Times New Roman"/>
        </w:rPr>
        <w:t>Due to the presence of th</w:t>
      </w:r>
      <w:r>
        <w:rPr>
          <w:rFonts w:ascii="Times New Roman" w:hAnsi="Times New Roman" w:cs="Times New Roman"/>
        </w:rPr>
        <w:t>ese elements in t</w:t>
      </w:r>
      <w:r w:rsidR="00D676B0" w:rsidRPr="00F827DD">
        <w:rPr>
          <w:rFonts w:ascii="Times New Roman" w:hAnsi="Times New Roman" w:cs="Times New Roman"/>
        </w:rPr>
        <w:t>he Euro</w:t>
      </w:r>
      <w:r w:rsidR="00DC0500" w:rsidRPr="00F827DD">
        <w:rPr>
          <w:rFonts w:ascii="Times New Roman" w:hAnsi="Times New Roman" w:cs="Times New Roman"/>
        </w:rPr>
        <w:t>pean Commission report and their</w:t>
      </w:r>
      <w:r w:rsidR="00D676B0" w:rsidRPr="00F827DD">
        <w:rPr>
          <w:rFonts w:ascii="Times New Roman" w:hAnsi="Times New Roman" w:cs="Times New Roman"/>
        </w:rPr>
        <w:t xml:space="preserve"> importance in LCA work (explained further on) already being conducted, it was decided to create MFAs for these four elements. Not only would the MFAs provide a macroscopic image of key areas of interest but it could link the three aspects of work mainly</w:t>
      </w:r>
      <w:r w:rsidR="003D2DD1" w:rsidRPr="00F827DD">
        <w:rPr>
          <w:rFonts w:ascii="Times New Roman" w:hAnsi="Times New Roman" w:cs="Times New Roman"/>
        </w:rPr>
        <w:t xml:space="preserve"> </w:t>
      </w:r>
      <w:r w:rsidR="00D676B0" w:rsidRPr="00F827DD">
        <w:rPr>
          <w:rFonts w:ascii="Times New Roman" w:hAnsi="Times New Roman" w:cs="Times New Roman"/>
        </w:rPr>
        <w:t>criticality, MFA and LCA more consistently.</w:t>
      </w:r>
    </w:p>
    <w:p w:rsidR="00D676B0" w:rsidRPr="00F827DD" w:rsidRDefault="00D676B0" w:rsidP="00D676B0">
      <w:pPr>
        <w:spacing w:line="360" w:lineRule="auto"/>
        <w:rPr>
          <w:rFonts w:ascii="Times New Roman" w:hAnsi="Times New Roman" w:cs="Times New Roman"/>
        </w:rPr>
      </w:pPr>
    </w:p>
    <w:p w:rsidR="006A2208" w:rsidRPr="00F827DD" w:rsidRDefault="006A2208" w:rsidP="00D676B0">
      <w:pPr>
        <w:spacing w:line="360" w:lineRule="auto"/>
        <w:rPr>
          <w:rFonts w:ascii="Times New Roman" w:hAnsi="Times New Roman" w:cs="Times New Roman"/>
        </w:rPr>
      </w:pPr>
    </w:p>
    <w:p w:rsidR="006A2208" w:rsidRPr="00F827DD" w:rsidRDefault="006A2208" w:rsidP="00D676B0">
      <w:pPr>
        <w:spacing w:line="360" w:lineRule="auto"/>
      </w:pPr>
    </w:p>
    <w:p w:rsidR="00D713F0" w:rsidRDefault="00D713F0" w:rsidP="00D676B0">
      <w:pPr>
        <w:spacing w:line="360" w:lineRule="auto"/>
      </w:pPr>
    </w:p>
    <w:p w:rsidR="00D713F0" w:rsidRDefault="00D713F0" w:rsidP="00D676B0">
      <w:pPr>
        <w:spacing w:line="360" w:lineRule="auto"/>
      </w:pPr>
    </w:p>
    <w:p w:rsidR="00D676B0" w:rsidRDefault="00D676B0" w:rsidP="00D676B0"/>
    <w:p w:rsidR="00255DBB" w:rsidRPr="00FA54B8" w:rsidRDefault="00255DBB" w:rsidP="00D676B0"/>
    <w:p w:rsidR="007146EA" w:rsidRDefault="001716DC" w:rsidP="00083FA5">
      <w:pPr>
        <w:pStyle w:val="Heading2"/>
        <w:rPr>
          <w:rFonts w:eastAsia="Calibri Light"/>
        </w:rPr>
      </w:pPr>
      <w:r>
        <w:rPr>
          <w:rFonts w:eastAsia="Calibri Light"/>
        </w:rPr>
        <w:lastRenderedPageBreak/>
        <w:t>3</w:t>
      </w:r>
      <w:r w:rsidR="00245619">
        <w:rPr>
          <w:rFonts w:eastAsia="Calibri Light"/>
        </w:rPr>
        <w:t>.2</w:t>
      </w:r>
      <w:r w:rsidR="007146EA">
        <w:rPr>
          <w:rFonts w:eastAsia="Calibri Light"/>
        </w:rPr>
        <w:t xml:space="preserve">. </w:t>
      </w:r>
      <w:r w:rsidR="00BE39D7">
        <w:rPr>
          <w:rFonts w:eastAsia="Calibri Light"/>
        </w:rPr>
        <w:t>Review and critique of c</w:t>
      </w:r>
      <w:r w:rsidR="007146EA">
        <w:rPr>
          <w:rFonts w:eastAsia="Calibri Light"/>
        </w:rPr>
        <w:t xml:space="preserve">urrent </w:t>
      </w:r>
      <w:r w:rsidR="00BE39D7">
        <w:rPr>
          <w:rFonts w:eastAsia="Calibri Light"/>
        </w:rPr>
        <w:t>MFA literature</w:t>
      </w:r>
      <w:r w:rsidR="00255DBB">
        <w:rPr>
          <w:rFonts w:eastAsia="Calibri Light"/>
        </w:rPr>
        <w:t xml:space="preserve"> </w:t>
      </w:r>
    </w:p>
    <w:p w:rsidR="009D749C" w:rsidRPr="00F827DD" w:rsidRDefault="00C1117D" w:rsidP="00933C68">
      <w:pPr>
        <w:spacing w:after="0" w:line="360" w:lineRule="auto"/>
        <w:ind w:firstLine="720"/>
        <w:jc w:val="both"/>
        <w:rPr>
          <w:rFonts w:ascii="Times New Roman" w:hAnsi="Times New Roman" w:cs="Times New Roman"/>
        </w:rPr>
      </w:pPr>
      <w:r w:rsidRPr="00F827DD">
        <w:rPr>
          <w:rFonts w:ascii="Times New Roman" w:hAnsi="Times New Roman" w:cs="Times New Roman"/>
        </w:rPr>
        <w:t>Present-day</w:t>
      </w:r>
      <w:r w:rsidR="001765AD" w:rsidRPr="00F827DD">
        <w:rPr>
          <w:rFonts w:ascii="Times New Roman" w:hAnsi="Times New Roman" w:cs="Times New Roman"/>
        </w:rPr>
        <w:t xml:space="preserve"> studies using the method of MFA can be differentiated in several ways. </w:t>
      </w:r>
      <w:r w:rsidR="001E5B4E" w:rsidRPr="00F827DD">
        <w:rPr>
          <w:rFonts w:ascii="Times New Roman" w:hAnsi="Times New Roman" w:cs="Times New Roman"/>
        </w:rPr>
        <w:t xml:space="preserve">These </w:t>
      </w:r>
      <w:r w:rsidRPr="00F827DD">
        <w:rPr>
          <w:rFonts w:ascii="Times New Roman" w:hAnsi="Times New Roman" w:cs="Times New Roman"/>
        </w:rPr>
        <w:t>consist of:</w:t>
      </w:r>
      <w:r w:rsidR="001E5B4E" w:rsidRPr="00F827DD">
        <w:rPr>
          <w:rFonts w:ascii="Times New Roman" w:hAnsi="Times New Roman" w:cs="Times New Roman"/>
        </w:rPr>
        <w:t xml:space="preserve"> the covered time period (static vs. dynamic models), type of analysis (top-down vs. botto</w:t>
      </w:r>
      <w:r w:rsidRPr="00F827DD">
        <w:rPr>
          <w:rFonts w:ascii="Times New Roman" w:hAnsi="Times New Roman" w:cs="Times New Roman"/>
        </w:rPr>
        <w:t>m-up data), modelling approach</w:t>
      </w:r>
      <w:r w:rsidR="001E5B4E" w:rsidRPr="00F827DD">
        <w:rPr>
          <w:rFonts w:ascii="Times New Roman" w:hAnsi="Times New Roman" w:cs="Times New Roman"/>
        </w:rPr>
        <w:t xml:space="preserve"> (retrospective vs. prospective), metal use (end use categories vs. products) and system overview</w:t>
      </w:r>
      <w:r w:rsidR="00CA7CCB" w:rsidRPr="00F827DD">
        <w:rPr>
          <w:rFonts w:ascii="Times New Roman" w:hAnsi="Times New Roman" w:cs="Times New Roman"/>
        </w:rPr>
        <w:t xml:space="preserve"> (processes covered)</w:t>
      </w:r>
      <w:r w:rsidR="001E5B4E" w:rsidRPr="00F827DD">
        <w:rPr>
          <w:rFonts w:ascii="Times New Roman" w:hAnsi="Times New Roman" w:cs="Times New Roman"/>
        </w:rPr>
        <w:t>.</w:t>
      </w:r>
      <w:r w:rsidR="00703766" w:rsidRPr="00F827DD">
        <w:rPr>
          <w:rFonts w:ascii="Times New Roman" w:hAnsi="Times New Roman" w:cs="Times New Roman"/>
        </w:rPr>
        <w:t xml:space="preserve"> </w:t>
      </w:r>
    </w:p>
    <w:p w:rsidR="00091C62" w:rsidRPr="00F827DD" w:rsidRDefault="001D5FB7" w:rsidP="00933C68">
      <w:pPr>
        <w:spacing w:after="0" w:line="360" w:lineRule="auto"/>
        <w:ind w:firstLine="720"/>
        <w:jc w:val="both"/>
        <w:rPr>
          <w:rFonts w:ascii="Times New Roman" w:hAnsi="Times New Roman" w:cs="Times New Roman"/>
        </w:rPr>
      </w:pPr>
      <w:r w:rsidRPr="00F827DD">
        <w:rPr>
          <w:rFonts w:ascii="Times New Roman" w:hAnsi="Times New Roman" w:cs="Times New Roman"/>
        </w:rPr>
        <w:t>According to a review conducted by</w:t>
      </w:r>
      <w:r w:rsidR="00091C62" w:rsidRPr="00F827DD">
        <w:rPr>
          <w:rFonts w:ascii="Times New Roman" w:hAnsi="Times New Roman" w:cs="Times New Roman"/>
        </w:rPr>
        <w:t xml:space="preserve"> </w:t>
      </w:r>
      <w:r w:rsidR="00091C62" w:rsidRPr="00F827DD">
        <w:rPr>
          <w:rFonts w:ascii="Times New Roman" w:hAnsi="Times New Roman" w:cs="Times New Roman"/>
          <w:noProof/>
        </w:rPr>
        <w:t>(Chen &amp; Graedel 2012)</w:t>
      </w:r>
      <w:r w:rsidRPr="00F827DD">
        <w:rPr>
          <w:rFonts w:ascii="Times New Roman" w:hAnsi="Times New Roman" w:cs="Times New Roman"/>
        </w:rPr>
        <w:t xml:space="preserve"> since the year 2000, a total of 1,074 ind</w:t>
      </w:r>
      <w:r w:rsidR="009D749C" w:rsidRPr="00F827DD">
        <w:rPr>
          <w:rFonts w:ascii="Times New Roman" w:hAnsi="Times New Roman" w:cs="Times New Roman"/>
        </w:rPr>
        <w:t>ividual cycles have been constructed</w:t>
      </w:r>
      <w:r w:rsidRPr="00F827DD">
        <w:rPr>
          <w:rFonts w:ascii="Times New Roman" w:hAnsi="Times New Roman" w:cs="Times New Roman"/>
        </w:rPr>
        <w:t xml:space="preserve"> from approximately 350 publications for 59 elements. More than 90% of</w:t>
      </w:r>
      <w:r w:rsidR="009D749C" w:rsidRPr="00F827DD">
        <w:rPr>
          <w:rFonts w:ascii="Times New Roman" w:hAnsi="Times New Roman" w:cs="Times New Roman"/>
        </w:rPr>
        <w:t xml:space="preserve"> these</w:t>
      </w:r>
      <w:r w:rsidRPr="00F827DD">
        <w:rPr>
          <w:rFonts w:ascii="Times New Roman" w:hAnsi="Times New Roman" w:cs="Times New Roman"/>
        </w:rPr>
        <w:t xml:space="preserve"> publications have appeared since the year 2000. The majority of</w:t>
      </w:r>
      <w:r w:rsidR="009D749C" w:rsidRPr="00F827DD">
        <w:rPr>
          <w:rFonts w:ascii="Times New Roman" w:hAnsi="Times New Roman" w:cs="Times New Roman"/>
        </w:rPr>
        <w:t xml:space="preserve"> </w:t>
      </w:r>
      <w:r w:rsidRPr="00F827DD">
        <w:rPr>
          <w:rFonts w:ascii="Times New Roman" w:hAnsi="Times New Roman" w:cs="Times New Roman"/>
        </w:rPr>
        <w:t xml:space="preserve">these cycles have been </w:t>
      </w:r>
      <w:r w:rsidR="009D749C" w:rsidRPr="00F827DD">
        <w:rPr>
          <w:rFonts w:ascii="Times New Roman" w:hAnsi="Times New Roman" w:cs="Times New Roman"/>
        </w:rPr>
        <w:t>static (989), in comparison with the number of dynami</w:t>
      </w:r>
      <w:r w:rsidRPr="00F827DD">
        <w:rPr>
          <w:rFonts w:ascii="Times New Roman" w:hAnsi="Times New Roman" w:cs="Times New Roman"/>
        </w:rPr>
        <w:t>c</w:t>
      </w:r>
      <w:r w:rsidR="009D749C" w:rsidRPr="00F827DD">
        <w:rPr>
          <w:rFonts w:ascii="Times New Roman" w:hAnsi="Times New Roman" w:cs="Times New Roman"/>
        </w:rPr>
        <w:t xml:space="preserve"> cycles</w:t>
      </w:r>
      <w:r w:rsidRPr="00F827DD">
        <w:rPr>
          <w:rFonts w:ascii="Times New Roman" w:hAnsi="Times New Roman" w:cs="Times New Roman"/>
        </w:rPr>
        <w:t xml:space="preserve"> (85) </w:t>
      </w:r>
      <w:r w:rsidR="009D749C" w:rsidRPr="00F827DD">
        <w:rPr>
          <w:rFonts w:ascii="Times New Roman" w:hAnsi="Times New Roman" w:cs="Times New Roman"/>
        </w:rPr>
        <w:t xml:space="preserve">which </w:t>
      </w:r>
      <w:r w:rsidRPr="00F827DD">
        <w:rPr>
          <w:rFonts w:ascii="Times New Roman" w:hAnsi="Times New Roman" w:cs="Times New Roman"/>
        </w:rPr>
        <w:t xml:space="preserve">contain </w:t>
      </w:r>
      <w:r w:rsidR="009D749C" w:rsidRPr="00F827DD">
        <w:rPr>
          <w:rFonts w:ascii="Times New Roman" w:hAnsi="Times New Roman" w:cs="Times New Roman"/>
        </w:rPr>
        <w:t>numerous sub-cycles within them</w:t>
      </w:r>
      <w:r w:rsidRPr="00F827DD">
        <w:rPr>
          <w:rFonts w:ascii="Times New Roman" w:hAnsi="Times New Roman" w:cs="Times New Roman"/>
        </w:rPr>
        <w:t xml:space="preserve"> </w:t>
      </w:r>
      <w:r w:rsidR="00091C62" w:rsidRPr="00F827DD">
        <w:rPr>
          <w:rFonts w:ascii="Times New Roman" w:hAnsi="Times New Roman" w:cs="Times New Roman"/>
          <w:noProof/>
        </w:rPr>
        <w:t>(Chen &amp; Graedel 2012)</w:t>
      </w:r>
      <w:r w:rsidR="009D749C" w:rsidRPr="00F827DD">
        <w:rPr>
          <w:rFonts w:ascii="Times New Roman" w:hAnsi="Times New Roman" w:cs="Times New Roman"/>
        </w:rPr>
        <w:t>.</w:t>
      </w:r>
      <w:r w:rsidR="00091C62" w:rsidRPr="00F827DD">
        <w:rPr>
          <w:rFonts w:ascii="Times New Roman" w:hAnsi="Times New Roman" w:cs="Times New Roman"/>
        </w:rPr>
        <w:t xml:space="preserve"> </w:t>
      </w:r>
      <w:r w:rsidRPr="00F827DD">
        <w:rPr>
          <w:rFonts w:ascii="Times New Roman" w:hAnsi="Times New Roman" w:cs="Times New Roman"/>
        </w:rPr>
        <w:t>Additionally, the review also differentiated the cycles from each other in terms of geographic levels, as summarized by</w:t>
      </w:r>
      <w:r w:rsidR="00C1117D" w:rsidRPr="00F827DD">
        <w:rPr>
          <w:rFonts w:ascii="Times New Roman" w:hAnsi="Times New Roman" w:cs="Times New Roman"/>
        </w:rPr>
        <w:t xml:space="preserve"> </w:t>
      </w:r>
      <w:r w:rsidR="00A6415F" w:rsidRPr="00F827DD">
        <w:fldChar w:fldCharType="begin"/>
      </w:r>
      <w:r w:rsidR="00A6415F" w:rsidRPr="00F827DD">
        <w:instrText xml:space="preserve"> REF _Ref475047943 \h  \* MERGEFORMAT </w:instrText>
      </w:r>
      <w:r w:rsidR="00A6415F" w:rsidRPr="00F827DD">
        <w:fldChar w:fldCharType="separate"/>
      </w:r>
      <w:r w:rsidR="009F5483" w:rsidRPr="009F5483">
        <w:rPr>
          <w:rStyle w:val="TablesChar"/>
          <w:color w:val="auto"/>
        </w:rPr>
        <w:t>Table 4</w:t>
      </w:r>
      <w:r w:rsidR="00A6415F" w:rsidRPr="00F827DD">
        <w:fldChar w:fldCharType="end"/>
      </w:r>
      <w:r w:rsidRPr="00F827DD">
        <w:rPr>
          <w:rFonts w:ascii="Times New Roman" w:hAnsi="Times New Roman" w:cs="Times New Roman"/>
        </w:rPr>
        <w:t>.</w:t>
      </w:r>
    </w:p>
    <w:p w:rsidR="00CA7CCB" w:rsidRPr="00F827DD" w:rsidRDefault="00255DBB" w:rsidP="00255DBB">
      <w:pPr>
        <w:spacing w:line="360" w:lineRule="auto"/>
        <w:contextualSpacing/>
        <w:jc w:val="both"/>
        <w:rPr>
          <w:rFonts w:ascii="Times New Roman" w:hAnsi="Times New Roman" w:cs="Times New Roman"/>
        </w:rPr>
      </w:pPr>
      <w:bookmarkStart w:id="41" w:name="_Ref475047943"/>
      <w:bookmarkStart w:id="42" w:name="_Toc495852682"/>
      <w:r w:rsidRPr="00F827DD">
        <w:rPr>
          <w:rFonts w:ascii="Times New Roman" w:hAnsi="Times New Roman" w:cs="Times New Roman"/>
        </w:rPr>
        <w:t xml:space="preserve">Table </w:t>
      </w:r>
      <w:r w:rsidR="009A0ED7" w:rsidRPr="00F827DD">
        <w:rPr>
          <w:rFonts w:ascii="Times New Roman" w:hAnsi="Times New Roman" w:cs="Times New Roman"/>
        </w:rPr>
        <w:fldChar w:fldCharType="begin"/>
      </w:r>
      <w:r w:rsidRPr="00F827DD">
        <w:rPr>
          <w:rFonts w:ascii="Times New Roman" w:hAnsi="Times New Roman" w:cs="Times New Roman"/>
        </w:rPr>
        <w:instrText xml:space="preserve"> SEQ Table \* ARABIC </w:instrText>
      </w:r>
      <w:r w:rsidR="009A0ED7" w:rsidRPr="00F827DD">
        <w:rPr>
          <w:rFonts w:ascii="Times New Roman" w:hAnsi="Times New Roman" w:cs="Times New Roman"/>
        </w:rPr>
        <w:fldChar w:fldCharType="separate"/>
      </w:r>
      <w:r w:rsidR="009F5483">
        <w:rPr>
          <w:rFonts w:ascii="Times New Roman" w:hAnsi="Times New Roman" w:cs="Times New Roman"/>
          <w:noProof/>
        </w:rPr>
        <w:t>4</w:t>
      </w:r>
      <w:r w:rsidR="009A0ED7" w:rsidRPr="00F827DD">
        <w:rPr>
          <w:rFonts w:ascii="Times New Roman" w:hAnsi="Times New Roman" w:cs="Times New Roman"/>
          <w:noProof/>
        </w:rPr>
        <w:fldChar w:fldCharType="end"/>
      </w:r>
      <w:bookmarkEnd w:id="41"/>
      <w:r w:rsidRPr="00F827DD">
        <w:rPr>
          <w:rFonts w:ascii="Times New Roman" w:hAnsi="Times New Roman" w:cs="Times New Roman"/>
        </w:rPr>
        <w:t>. Summary of elemental models in terms of spatial flow and dissimilar geographical levels</w:t>
      </w:r>
      <w:r w:rsidR="00C1117D" w:rsidRPr="00F827DD">
        <w:rPr>
          <w:rFonts w:ascii="Times New Roman" w:hAnsi="Times New Roman" w:cs="Times New Roman"/>
        </w:rPr>
        <w:t>.</w:t>
      </w:r>
      <w:r w:rsidRPr="00F827DD">
        <w:rPr>
          <w:rFonts w:ascii="Times New Roman" w:hAnsi="Times New Roman" w:cs="Times New Roman"/>
        </w:rPr>
        <w:t xml:space="preserve"> </w:t>
      </w:r>
      <w:r w:rsidRPr="00F827DD">
        <w:rPr>
          <w:rFonts w:ascii="Times New Roman" w:hAnsi="Times New Roman" w:cs="Times New Roman"/>
          <w:noProof/>
        </w:rPr>
        <w:t>(Chen &amp; Graedel 2012)</w:t>
      </w:r>
      <w:bookmarkEnd w:id="42"/>
    </w:p>
    <w:tbl>
      <w:tblPr>
        <w:tblW w:w="5000" w:type="pct"/>
        <w:tblLook w:val="04A0" w:firstRow="1" w:lastRow="0" w:firstColumn="1" w:lastColumn="0" w:noHBand="0" w:noVBand="1"/>
      </w:tblPr>
      <w:tblGrid>
        <w:gridCol w:w="1640"/>
        <w:gridCol w:w="968"/>
        <w:gridCol w:w="1388"/>
        <w:gridCol w:w="1569"/>
        <w:gridCol w:w="968"/>
        <w:gridCol w:w="1666"/>
        <w:gridCol w:w="817"/>
      </w:tblGrid>
      <w:tr w:rsidR="00091C62" w:rsidRPr="00F827DD" w:rsidTr="00CA7CCB">
        <w:trPr>
          <w:trHeight w:val="600"/>
        </w:trPr>
        <w:tc>
          <w:tcPr>
            <w:tcW w:w="9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Spatial level</w:t>
            </w:r>
          </w:p>
        </w:tc>
        <w:tc>
          <w:tcPr>
            <w:tcW w:w="537" w:type="pct"/>
            <w:tcBorders>
              <w:top w:val="single" w:sz="4" w:space="0" w:color="auto"/>
              <w:left w:val="nil"/>
              <w:bottom w:val="single" w:sz="4" w:space="0" w:color="auto"/>
              <w:right w:val="single" w:sz="4" w:space="0" w:color="auto"/>
            </w:tcBorders>
            <w:shd w:val="clear" w:color="auto" w:fill="auto"/>
            <w:vAlign w:val="center"/>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Global</w:t>
            </w:r>
          </w:p>
        </w:tc>
        <w:tc>
          <w:tcPr>
            <w:tcW w:w="770" w:type="pct"/>
            <w:tcBorders>
              <w:top w:val="single" w:sz="4" w:space="0" w:color="auto"/>
              <w:left w:val="nil"/>
              <w:bottom w:val="single" w:sz="4" w:space="0" w:color="auto"/>
              <w:right w:val="single" w:sz="4" w:space="0" w:color="auto"/>
            </w:tcBorders>
            <w:shd w:val="clear" w:color="auto" w:fill="auto"/>
            <w:vAlign w:val="center"/>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Continent</w:t>
            </w:r>
          </w:p>
        </w:tc>
        <w:tc>
          <w:tcPr>
            <w:tcW w:w="870" w:type="pct"/>
            <w:tcBorders>
              <w:top w:val="single" w:sz="4" w:space="0" w:color="auto"/>
              <w:left w:val="nil"/>
              <w:bottom w:val="single" w:sz="4" w:space="0" w:color="auto"/>
              <w:right w:val="single" w:sz="4" w:space="0" w:color="auto"/>
            </w:tcBorders>
            <w:shd w:val="clear" w:color="auto" w:fill="auto"/>
            <w:vAlign w:val="center"/>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Country or territory</w:t>
            </w:r>
          </w:p>
        </w:tc>
        <w:tc>
          <w:tcPr>
            <w:tcW w:w="537" w:type="pct"/>
            <w:tcBorders>
              <w:top w:val="single" w:sz="4" w:space="0" w:color="auto"/>
              <w:left w:val="nil"/>
              <w:bottom w:val="single" w:sz="4" w:space="0" w:color="auto"/>
              <w:right w:val="single" w:sz="4" w:space="0" w:color="auto"/>
            </w:tcBorders>
            <w:shd w:val="clear" w:color="auto" w:fill="auto"/>
            <w:vAlign w:val="center"/>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City</w:t>
            </w:r>
          </w:p>
        </w:tc>
        <w:tc>
          <w:tcPr>
            <w:tcW w:w="924" w:type="pct"/>
            <w:tcBorders>
              <w:top w:val="single" w:sz="4" w:space="0" w:color="auto"/>
              <w:left w:val="nil"/>
              <w:bottom w:val="single" w:sz="4" w:space="0" w:color="auto"/>
              <w:right w:val="single" w:sz="4" w:space="0" w:color="auto"/>
            </w:tcBorders>
            <w:shd w:val="clear" w:color="auto" w:fill="auto"/>
            <w:vAlign w:val="center"/>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River basin</w:t>
            </w:r>
          </w:p>
        </w:tc>
        <w:tc>
          <w:tcPr>
            <w:tcW w:w="453" w:type="pct"/>
            <w:tcBorders>
              <w:top w:val="single" w:sz="4" w:space="0" w:color="auto"/>
              <w:left w:val="nil"/>
              <w:bottom w:val="single" w:sz="4" w:space="0" w:color="auto"/>
              <w:right w:val="single" w:sz="4" w:space="0" w:color="auto"/>
            </w:tcBorders>
            <w:shd w:val="clear" w:color="auto" w:fill="auto"/>
            <w:vAlign w:val="center"/>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Total</w:t>
            </w:r>
          </w:p>
        </w:tc>
      </w:tr>
      <w:tr w:rsidR="00091C62" w:rsidRPr="00F827DD" w:rsidTr="00CA7CCB">
        <w:trPr>
          <w:trHeight w:val="300"/>
        </w:trPr>
        <w:tc>
          <w:tcPr>
            <w:tcW w:w="909" w:type="pct"/>
            <w:tcBorders>
              <w:top w:val="nil"/>
              <w:left w:val="single" w:sz="4" w:space="0" w:color="auto"/>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Static</w:t>
            </w:r>
          </w:p>
        </w:tc>
        <w:tc>
          <w:tcPr>
            <w:tcW w:w="537"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47</w:t>
            </w:r>
          </w:p>
        </w:tc>
        <w:tc>
          <w:tcPr>
            <w:tcW w:w="770"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105</w:t>
            </w:r>
          </w:p>
        </w:tc>
        <w:tc>
          <w:tcPr>
            <w:tcW w:w="870"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791</w:t>
            </w:r>
          </w:p>
        </w:tc>
        <w:tc>
          <w:tcPr>
            <w:tcW w:w="537"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28</w:t>
            </w:r>
          </w:p>
        </w:tc>
        <w:tc>
          <w:tcPr>
            <w:tcW w:w="924"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18</w:t>
            </w:r>
          </w:p>
        </w:tc>
        <w:tc>
          <w:tcPr>
            <w:tcW w:w="453"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989</w:t>
            </w:r>
          </w:p>
        </w:tc>
      </w:tr>
      <w:tr w:rsidR="00091C62" w:rsidRPr="00F827DD" w:rsidTr="00CA7CCB">
        <w:trPr>
          <w:trHeight w:val="300"/>
        </w:trPr>
        <w:tc>
          <w:tcPr>
            <w:tcW w:w="909" w:type="pct"/>
            <w:tcBorders>
              <w:top w:val="nil"/>
              <w:left w:val="single" w:sz="4" w:space="0" w:color="auto"/>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 xml:space="preserve">Dynamic </w:t>
            </w:r>
          </w:p>
        </w:tc>
        <w:tc>
          <w:tcPr>
            <w:tcW w:w="537"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9</w:t>
            </w:r>
          </w:p>
        </w:tc>
        <w:tc>
          <w:tcPr>
            <w:tcW w:w="770"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7</w:t>
            </w:r>
          </w:p>
        </w:tc>
        <w:tc>
          <w:tcPr>
            <w:tcW w:w="870"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60</w:t>
            </w:r>
          </w:p>
        </w:tc>
        <w:tc>
          <w:tcPr>
            <w:tcW w:w="537"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9</w:t>
            </w:r>
          </w:p>
        </w:tc>
        <w:tc>
          <w:tcPr>
            <w:tcW w:w="924"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0</w:t>
            </w:r>
          </w:p>
        </w:tc>
        <w:tc>
          <w:tcPr>
            <w:tcW w:w="453"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85</w:t>
            </w:r>
          </w:p>
        </w:tc>
      </w:tr>
      <w:tr w:rsidR="00091C62" w:rsidRPr="00F827DD" w:rsidTr="00CA7CCB">
        <w:trPr>
          <w:trHeight w:val="300"/>
        </w:trPr>
        <w:tc>
          <w:tcPr>
            <w:tcW w:w="909" w:type="pct"/>
            <w:tcBorders>
              <w:top w:val="nil"/>
              <w:left w:val="single" w:sz="4" w:space="0" w:color="auto"/>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Total</w:t>
            </w:r>
          </w:p>
        </w:tc>
        <w:tc>
          <w:tcPr>
            <w:tcW w:w="537"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56</w:t>
            </w:r>
          </w:p>
        </w:tc>
        <w:tc>
          <w:tcPr>
            <w:tcW w:w="770"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112</w:t>
            </w:r>
          </w:p>
        </w:tc>
        <w:tc>
          <w:tcPr>
            <w:tcW w:w="870"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851</w:t>
            </w:r>
          </w:p>
        </w:tc>
        <w:tc>
          <w:tcPr>
            <w:tcW w:w="537"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37</w:t>
            </w:r>
          </w:p>
        </w:tc>
        <w:tc>
          <w:tcPr>
            <w:tcW w:w="924"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18</w:t>
            </w:r>
          </w:p>
        </w:tc>
        <w:tc>
          <w:tcPr>
            <w:tcW w:w="453" w:type="pct"/>
            <w:tcBorders>
              <w:top w:val="nil"/>
              <w:left w:val="nil"/>
              <w:bottom w:val="single" w:sz="4" w:space="0" w:color="auto"/>
              <w:right w:val="single" w:sz="4" w:space="0" w:color="auto"/>
            </w:tcBorders>
            <w:shd w:val="clear" w:color="auto" w:fill="auto"/>
            <w:vAlign w:val="bottom"/>
            <w:hideMark/>
          </w:tcPr>
          <w:p w:rsidR="00091C62" w:rsidRPr="006440B9" w:rsidRDefault="00091C62" w:rsidP="00091C62">
            <w:pPr>
              <w:spacing w:after="0" w:line="240" w:lineRule="auto"/>
              <w:jc w:val="center"/>
              <w:rPr>
                <w:rFonts w:ascii="Times New Roman" w:eastAsia="Times New Roman" w:hAnsi="Times New Roman" w:cs="Times New Roman"/>
              </w:rPr>
            </w:pPr>
            <w:r w:rsidRPr="006440B9">
              <w:rPr>
                <w:rFonts w:ascii="Times New Roman" w:eastAsia="Times New Roman" w:hAnsi="Times New Roman" w:cs="Times New Roman"/>
              </w:rPr>
              <w:t>1074</w:t>
            </w:r>
          </w:p>
        </w:tc>
      </w:tr>
    </w:tbl>
    <w:p w:rsidR="00255DBB" w:rsidRPr="00F827DD" w:rsidRDefault="00255DBB" w:rsidP="00933C68">
      <w:pPr>
        <w:autoSpaceDE w:val="0"/>
        <w:autoSpaceDN w:val="0"/>
        <w:adjustRightInd w:val="0"/>
        <w:spacing w:after="0" w:line="360" w:lineRule="auto"/>
        <w:ind w:firstLine="720"/>
        <w:contextualSpacing/>
        <w:jc w:val="both"/>
        <w:rPr>
          <w:rFonts w:ascii="Times New Roman" w:eastAsiaTheme="minorHAnsi" w:hAnsi="Times New Roman" w:cs="Times New Roman"/>
          <w:lang w:eastAsia="en-US"/>
        </w:rPr>
      </w:pPr>
    </w:p>
    <w:p w:rsidR="001D5FB7" w:rsidRPr="00F827DD" w:rsidRDefault="001D5FB7" w:rsidP="00C1117D">
      <w:pPr>
        <w:autoSpaceDE w:val="0"/>
        <w:autoSpaceDN w:val="0"/>
        <w:adjustRightInd w:val="0"/>
        <w:spacing w:after="0" w:line="360" w:lineRule="auto"/>
        <w:ind w:firstLine="720"/>
        <w:contextualSpacing/>
        <w:jc w:val="both"/>
        <w:rPr>
          <w:rFonts w:ascii="Times New Roman" w:eastAsiaTheme="minorHAnsi" w:hAnsi="Times New Roman" w:cs="Times New Roman"/>
          <w:lang w:eastAsia="en-US"/>
        </w:rPr>
      </w:pPr>
      <w:r w:rsidRPr="00F827DD">
        <w:rPr>
          <w:rFonts w:ascii="Times New Roman" w:eastAsiaTheme="minorHAnsi" w:hAnsi="Times New Roman" w:cs="Times New Roman"/>
          <w:lang w:eastAsia="en-US"/>
        </w:rPr>
        <w:t>For global level elemental cycles</w:t>
      </w:r>
      <w:r w:rsidR="00C1117D" w:rsidRPr="00F827DD">
        <w:rPr>
          <w:rFonts w:ascii="Times New Roman" w:eastAsiaTheme="minorHAnsi" w:hAnsi="Times New Roman" w:cs="Times New Roman"/>
          <w:lang w:eastAsia="en-US"/>
        </w:rPr>
        <w:t>, the study by</w:t>
      </w:r>
      <w:r w:rsidRPr="00F827DD">
        <w:rPr>
          <w:rFonts w:ascii="Times New Roman" w:eastAsiaTheme="minorHAnsi" w:hAnsi="Times New Roman" w:cs="Times New Roman"/>
          <w:lang w:eastAsia="en-US"/>
        </w:rPr>
        <w:t xml:space="preserve"> </w:t>
      </w:r>
      <w:r w:rsidR="00210C6E" w:rsidRPr="00F827DD">
        <w:rPr>
          <w:rFonts w:ascii="Times New Roman" w:eastAsiaTheme="minorHAnsi" w:hAnsi="Times New Roman" w:cs="Times New Roman"/>
          <w:noProof/>
          <w:lang w:eastAsia="en-US"/>
        </w:rPr>
        <w:t>(Chen &amp; Graedel 2012)</w:t>
      </w:r>
      <w:r w:rsidRPr="00F827DD">
        <w:rPr>
          <w:rFonts w:ascii="Times New Roman" w:eastAsiaTheme="minorHAnsi" w:hAnsi="Times New Roman" w:cs="Times New Roman"/>
          <w:lang w:eastAsia="en-US"/>
        </w:rPr>
        <w:t xml:space="preserve"> identified cycles for 30 element</w:t>
      </w:r>
      <w:r w:rsidR="00597DCA" w:rsidRPr="00F827DD">
        <w:rPr>
          <w:rFonts w:ascii="Times New Roman" w:eastAsiaTheme="minorHAnsi" w:hAnsi="Times New Roman" w:cs="Times New Roman"/>
          <w:lang w:eastAsia="en-US"/>
        </w:rPr>
        <w:t>s</w:t>
      </w:r>
      <w:r w:rsidR="00C1117D" w:rsidRPr="00F827DD">
        <w:rPr>
          <w:rFonts w:ascii="Times New Roman" w:eastAsiaTheme="minorHAnsi" w:hAnsi="Times New Roman" w:cs="Times New Roman"/>
          <w:lang w:eastAsia="en-US"/>
        </w:rPr>
        <w:t>,</w:t>
      </w:r>
      <w:r w:rsidR="00597DCA" w:rsidRPr="00F827DD">
        <w:rPr>
          <w:rFonts w:ascii="Times New Roman" w:eastAsiaTheme="minorHAnsi" w:hAnsi="Times New Roman" w:cs="Times New Roman"/>
          <w:lang w:eastAsia="en-US"/>
        </w:rPr>
        <w:t xml:space="preserve"> representing 47 static </w:t>
      </w:r>
      <w:r w:rsidRPr="00F827DD">
        <w:rPr>
          <w:rFonts w:ascii="Times New Roman" w:eastAsiaTheme="minorHAnsi" w:hAnsi="Times New Roman" w:cs="Times New Roman"/>
          <w:lang w:eastAsia="en-US"/>
        </w:rPr>
        <w:t>and 9 dyna</w:t>
      </w:r>
      <w:r w:rsidR="0094728F" w:rsidRPr="00F827DD">
        <w:rPr>
          <w:rFonts w:ascii="Times New Roman" w:eastAsiaTheme="minorHAnsi" w:hAnsi="Times New Roman" w:cs="Times New Roman"/>
          <w:lang w:eastAsia="en-US"/>
        </w:rPr>
        <w:t>mic cycles.</w:t>
      </w:r>
      <w:r w:rsidR="00C1117D" w:rsidRPr="00F827DD">
        <w:rPr>
          <w:rFonts w:ascii="Times New Roman" w:eastAsiaTheme="minorHAnsi" w:hAnsi="Times New Roman" w:cs="Times New Roman"/>
          <w:lang w:eastAsia="en-US"/>
        </w:rPr>
        <w:t xml:space="preserve"> With respect to dynamic cycles, they were represented by the following elements: </w:t>
      </w:r>
      <w:r w:rsidR="00C472E1" w:rsidRPr="00F827DD">
        <w:rPr>
          <w:rFonts w:ascii="Times New Roman" w:eastAsiaTheme="minorHAnsi" w:hAnsi="Times New Roman" w:cs="Times New Roman"/>
          <w:lang w:eastAsia="en-US"/>
        </w:rPr>
        <w:t xml:space="preserve">aluminium </w:t>
      </w:r>
      <w:r w:rsidR="00C472E1" w:rsidRPr="00F827DD">
        <w:rPr>
          <w:rFonts w:ascii="Times New Roman" w:eastAsiaTheme="minorHAnsi" w:hAnsi="Times New Roman" w:cs="Times New Roman"/>
          <w:noProof/>
          <w:lang w:eastAsia="en-US"/>
        </w:rPr>
        <w:t>(Martchek 2006)</w:t>
      </w:r>
      <w:r w:rsidR="00C472E1" w:rsidRPr="00F827DD">
        <w:rPr>
          <w:rFonts w:ascii="Times New Roman" w:eastAsiaTheme="minorHAnsi" w:hAnsi="Times New Roman" w:cs="Times New Roman"/>
          <w:lang w:eastAsia="en-US"/>
        </w:rPr>
        <w:t xml:space="preserve">, cobalt </w:t>
      </w:r>
      <w:r w:rsidR="00C472E1" w:rsidRPr="00F827DD">
        <w:rPr>
          <w:rFonts w:ascii="Times New Roman" w:eastAsiaTheme="minorHAnsi" w:hAnsi="Times New Roman" w:cs="Times New Roman"/>
          <w:noProof/>
          <w:lang w:eastAsia="en-US"/>
        </w:rPr>
        <w:t>(Harper &amp; Graedel 2008)</w:t>
      </w:r>
      <w:r w:rsidR="00C472E1" w:rsidRPr="00F827DD">
        <w:rPr>
          <w:rFonts w:ascii="Times New Roman" w:eastAsiaTheme="minorHAnsi" w:hAnsi="Times New Roman" w:cs="Times New Roman"/>
          <w:lang w:eastAsia="en-US"/>
        </w:rPr>
        <w:t xml:space="preserve">, iron </w:t>
      </w:r>
      <w:r w:rsidR="00D41591" w:rsidRPr="00F827DD">
        <w:rPr>
          <w:rFonts w:ascii="Times New Roman" w:eastAsiaTheme="minorHAnsi" w:hAnsi="Times New Roman" w:cs="Times New Roman"/>
          <w:noProof/>
          <w:lang w:eastAsia="en-US"/>
        </w:rPr>
        <w:t>(Hatayama et al. 2010)</w:t>
      </w:r>
      <w:r w:rsidR="00C472E1" w:rsidRPr="00F827DD">
        <w:rPr>
          <w:rFonts w:ascii="Times New Roman" w:eastAsiaTheme="minorHAnsi" w:hAnsi="Times New Roman" w:cs="Times New Roman"/>
          <w:lang w:eastAsia="en-US"/>
        </w:rPr>
        <w:t xml:space="preserve">, lead </w:t>
      </w:r>
      <w:r w:rsidR="001137C2" w:rsidRPr="00F827DD">
        <w:rPr>
          <w:rFonts w:ascii="Times New Roman" w:eastAsiaTheme="minorHAnsi" w:hAnsi="Times New Roman" w:cs="Times New Roman"/>
          <w:noProof/>
          <w:lang w:eastAsia="en-US"/>
        </w:rPr>
        <w:t>(Mao &amp; Graedel 2009)</w:t>
      </w:r>
      <w:r w:rsidR="00C472E1" w:rsidRPr="00F827DD">
        <w:rPr>
          <w:rFonts w:ascii="Times New Roman" w:eastAsiaTheme="minorHAnsi" w:hAnsi="Times New Roman" w:cs="Times New Roman"/>
          <w:lang w:eastAsia="en-US"/>
        </w:rPr>
        <w:t xml:space="preserve">, phosphorus </w:t>
      </w:r>
      <w:r w:rsidR="00D41591" w:rsidRPr="00F827DD">
        <w:rPr>
          <w:rFonts w:ascii="Times New Roman" w:eastAsiaTheme="minorHAnsi" w:hAnsi="Times New Roman" w:cs="Times New Roman"/>
          <w:noProof/>
          <w:lang w:eastAsia="en-US"/>
        </w:rPr>
        <w:t>(Vuuren et al. 2010)</w:t>
      </w:r>
      <w:r w:rsidR="00C472E1" w:rsidRPr="00F827DD">
        <w:rPr>
          <w:rFonts w:ascii="Times New Roman" w:eastAsiaTheme="minorHAnsi" w:hAnsi="Times New Roman" w:cs="Times New Roman"/>
          <w:lang w:eastAsia="en-US"/>
        </w:rPr>
        <w:t>, platinum</w:t>
      </w:r>
      <w:r w:rsidR="001137C2" w:rsidRPr="00F827DD">
        <w:rPr>
          <w:rFonts w:ascii="Times New Roman" w:eastAsiaTheme="minorHAnsi" w:hAnsi="Times New Roman" w:cs="Times New Roman"/>
          <w:lang w:eastAsia="en-US"/>
        </w:rPr>
        <w:t xml:space="preserve"> </w:t>
      </w:r>
      <w:r w:rsidR="001137C2" w:rsidRPr="00F827DD">
        <w:rPr>
          <w:rFonts w:ascii="Times New Roman" w:eastAsiaTheme="minorHAnsi" w:hAnsi="Times New Roman" w:cs="Times New Roman"/>
          <w:noProof/>
          <w:lang w:eastAsia="en-US"/>
        </w:rPr>
        <w:t>(Elshkaki &amp; Van der Voet 2006)</w:t>
      </w:r>
      <w:r w:rsidR="00C472E1" w:rsidRPr="00F827DD">
        <w:rPr>
          <w:rFonts w:ascii="Times New Roman" w:eastAsiaTheme="minorHAnsi" w:hAnsi="Times New Roman" w:cs="Times New Roman"/>
          <w:lang w:eastAsia="en-US"/>
        </w:rPr>
        <w:t xml:space="preserve">, silicon </w:t>
      </w:r>
      <w:r w:rsidR="00D41591" w:rsidRPr="00F827DD">
        <w:rPr>
          <w:rFonts w:ascii="Times New Roman" w:eastAsiaTheme="minorHAnsi" w:hAnsi="Times New Roman" w:cs="Times New Roman"/>
          <w:noProof/>
          <w:lang w:eastAsia="en-US"/>
        </w:rPr>
        <w:t>(Williams 2003)</w:t>
      </w:r>
      <w:r w:rsidR="00F155B4" w:rsidRPr="00F827DD">
        <w:rPr>
          <w:rFonts w:ascii="Times New Roman" w:eastAsiaTheme="minorHAnsi" w:hAnsi="Times New Roman" w:cs="Times New Roman"/>
          <w:lang w:eastAsia="en-US"/>
        </w:rPr>
        <w:t xml:space="preserve">, tin </w:t>
      </w:r>
      <w:r w:rsidR="00F155B4" w:rsidRPr="00F827DD">
        <w:rPr>
          <w:rFonts w:ascii="Times New Roman" w:eastAsiaTheme="minorHAnsi" w:hAnsi="Times New Roman" w:cs="Times New Roman"/>
          <w:noProof/>
          <w:lang w:eastAsia="en-US"/>
        </w:rPr>
        <w:t>(Izard &amp; Müller 2010)</w:t>
      </w:r>
      <w:r w:rsidR="008227C6" w:rsidRPr="00F827DD">
        <w:rPr>
          <w:rFonts w:ascii="Times New Roman" w:hAnsi="Times New Roman" w:cs="Times New Roman"/>
        </w:rPr>
        <w:t xml:space="preserve"> </w:t>
      </w:r>
      <w:r w:rsidR="00C472E1" w:rsidRPr="00F827DD">
        <w:rPr>
          <w:rFonts w:ascii="Times New Roman" w:hAnsi="Times New Roman" w:cs="Times New Roman"/>
        </w:rPr>
        <w:t xml:space="preserve">and </w:t>
      </w:r>
      <w:r w:rsidRPr="00F827DD">
        <w:rPr>
          <w:rFonts w:ascii="Times New Roman" w:eastAsiaTheme="minorHAnsi" w:hAnsi="Times New Roman" w:cs="Times New Roman"/>
          <w:lang w:eastAsia="en-US"/>
        </w:rPr>
        <w:t xml:space="preserve">vanadium </w:t>
      </w:r>
      <w:r w:rsidR="001137C2" w:rsidRPr="00F827DD">
        <w:rPr>
          <w:rFonts w:ascii="Times New Roman" w:eastAsiaTheme="minorHAnsi" w:hAnsi="Times New Roman" w:cs="Times New Roman"/>
          <w:noProof/>
          <w:lang w:eastAsia="en-US"/>
        </w:rPr>
        <w:t>(Hope 2008)</w:t>
      </w:r>
      <w:r w:rsidR="00C472E1" w:rsidRPr="00F827DD">
        <w:rPr>
          <w:rFonts w:ascii="Times New Roman" w:eastAsiaTheme="minorHAnsi" w:hAnsi="Times New Roman" w:cs="Times New Roman"/>
          <w:lang w:eastAsia="en-US"/>
        </w:rPr>
        <w:t>.</w:t>
      </w:r>
      <w:r w:rsidR="00C1117D" w:rsidRPr="00F827DD">
        <w:rPr>
          <w:rFonts w:ascii="Times New Roman" w:eastAsiaTheme="minorHAnsi" w:hAnsi="Times New Roman" w:cs="Times New Roman"/>
          <w:lang w:eastAsia="en-US"/>
        </w:rPr>
        <w:t xml:space="preserve"> N</w:t>
      </w:r>
      <w:r w:rsidRPr="00F827DD">
        <w:rPr>
          <w:rFonts w:ascii="Times New Roman" w:eastAsiaTheme="minorHAnsi" w:hAnsi="Times New Roman" w:cs="Times New Roman"/>
          <w:lang w:eastAsia="en-US"/>
        </w:rPr>
        <w:t>otable</w:t>
      </w:r>
      <w:r w:rsidR="0094728F" w:rsidRPr="00F827DD">
        <w:rPr>
          <w:rFonts w:ascii="Times New Roman" w:eastAsiaTheme="minorHAnsi" w:hAnsi="Times New Roman" w:cs="Times New Roman"/>
          <w:lang w:eastAsia="en-US"/>
        </w:rPr>
        <w:t xml:space="preserve"> </w:t>
      </w:r>
      <w:r w:rsidR="00C1117D" w:rsidRPr="00F827DD">
        <w:rPr>
          <w:rFonts w:ascii="Times New Roman" w:eastAsiaTheme="minorHAnsi" w:hAnsi="Times New Roman" w:cs="Times New Roman"/>
          <w:lang w:eastAsia="en-US"/>
        </w:rPr>
        <w:t>exclusions</w:t>
      </w:r>
      <w:r w:rsidR="0094728F" w:rsidRPr="00F827DD">
        <w:rPr>
          <w:rFonts w:ascii="Times New Roman" w:eastAsiaTheme="minorHAnsi" w:hAnsi="Times New Roman" w:cs="Times New Roman"/>
          <w:lang w:eastAsia="en-US"/>
        </w:rPr>
        <w:t xml:space="preserve"> include</w:t>
      </w:r>
      <w:r w:rsidR="00C1117D" w:rsidRPr="00F827DD">
        <w:rPr>
          <w:rFonts w:ascii="Times New Roman" w:eastAsiaTheme="minorHAnsi" w:hAnsi="Times New Roman" w:cs="Times New Roman"/>
          <w:lang w:eastAsia="en-US"/>
        </w:rPr>
        <w:t>d</w:t>
      </w:r>
      <w:r w:rsidR="0094728F" w:rsidRPr="00F827DD">
        <w:rPr>
          <w:rFonts w:ascii="Times New Roman" w:eastAsiaTheme="minorHAnsi" w:hAnsi="Times New Roman" w:cs="Times New Roman"/>
          <w:lang w:eastAsia="en-US"/>
        </w:rPr>
        <w:t>, metalloids</w:t>
      </w:r>
      <w:r w:rsidRPr="00F827DD">
        <w:rPr>
          <w:rFonts w:ascii="Times New Roman" w:eastAsiaTheme="minorHAnsi" w:hAnsi="Times New Roman" w:cs="Times New Roman"/>
          <w:lang w:eastAsia="en-US"/>
        </w:rPr>
        <w:t xml:space="preserve">, non-metal elements, PGM (excluding platinum) and a number of </w:t>
      </w:r>
      <w:r w:rsidR="00C1117D" w:rsidRPr="00F827DD">
        <w:rPr>
          <w:rFonts w:ascii="Times New Roman" w:eastAsiaTheme="minorHAnsi" w:hAnsi="Times New Roman" w:cs="Times New Roman"/>
          <w:lang w:eastAsia="en-US"/>
        </w:rPr>
        <w:t xml:space="preserve">individual </w:t>
      </w:r>
      <w:r w:rsidRPr="00F827DD">
        <w:rPr>
          <w:rFonts w:ascii="Times New Roman" w:eastAsiaTheme="minorHAnsi" w:hAnsi="Times New Roman" w:cs="Times New Roman"/>
          <w:lang w:eastAsia="en-US"/>
        </w:rPr>
        <w:t>me</w:t>
      </w:r>
      <w:r w:rsidR="008227C6" w:rsidRPr="00F827DD">
        <w:rPr>
          <w:rFonts w:ascii="Times New Roman" w:eastAsiaTheme="minorHAnsi" w:hAnsi="Times New Roman" w:cs="Times New Roman"/>
          <w:lang w:eastAsia="en-US"/>
        </w:rPr>
        <w:t>tals</w:t>
      </w:r>
      <w:r w:rsidR="0094728F" w:rsidRPr="00F827DD">
        <w:rPr>
          <w:rFonts w:ascii="Times New Roman" w:eastAsiaTheme="minorHAnsi" w:hAnsi="Times New Roman" w:cs="Times New Roman"/>
          <w:lang w:eastAsia="en-US"/>
        </w:rPr>
        <w:t xml:space="preserve"> e.g. niobium and molybdenum</w:t>
      </w:r>
      <w:r w:rsidR="008227C6" w:rsidRPr="00F827DD">
        <w:rPr>
          <w:rFonts w:ascii="Times New Roman" w:eastAsiaTheme="minorHAnsi" w:hAnsi="Times New Roman" w:cs="Times New Roman"/>
          <w:lang w:eastAsia="en-US"/>
        </w:rPr>
        <w:t xml:space="preserve"> used to form super-alloys</w:t>
      </w:r>
      <w:r w:rsidR="0094728F" w:rsidRPr="00F827DD">
        <w:rPr>
          <w:rFonts w:ascii="Times New Roman" w:eastAsiaTheme="minorHAnsi" w:hAnsi="Times New Roman" w:cs="Times New Roman"/>
          <w:lang w:eastAsia="en-US"/>
        </w:rPr>
        <w:t>.</w:t>
      </w:r>
      <w:r w:rsidR="008227C6" w:rsidRPr="00F827DD">
        <w:rPr>
          <w:rFonts w:ascii="Times New Roman" w:eastAsiaTheme="minorHAnsi" w:hAnsi="Times New Roman" w:cs="Times New Roman"/>
          <w:lang w:eastAsia="en-US"/>
        </w:rPr>
        <w:t xml:space="preserve"> </w:t>
      </w:r>
      <w:r w:rsidR="00210C6E" w:rsidRPr="00F827DD">
        <w:rPr>
          <w:rFonts w:ascii="Times New Roman" w:eastAsiaTheme="minorHAnsi" w:hAnsi="Times New Roman" w:cs="Times New Roman"/>
          <w:noProof/>
          <w:lang w:eastAsia="en-US"/>
        </w:rPr>
        <w:t>(Chen &amp; Graedel 2012)</w:t>
      </w:r>
      <w:r w:rsidR="008227C6" w:rsidRPr="00F827DD">
        <w:rPr>
          <w:rFonts w:ascii="Times New Roman" w:eastAsiaTheme="minorHAnsi" w:hAnsi="Times New Roman" w:cs="Times New Roman"/>
          <w:lang w:eastAsia="en-US"/>
        </w:rPr>
        <w:t>.</w:t>
      </w:r>
    </w:p>
    <w:p w:rsidR="008227C6" w:rsidRPr="00F827DD" w:rsidRDefault="008227C6" w:rsidP="00E64ED0">
      <w:pPr>
        <w:autoSpaceDE w:val="0"/>
        <w:autoSpaceDN w:val="0"/>
        <w:adjustRightInd w:val="0"/>
        <w:spacing w:after="0" w:line="360" w:lineRule="auto"/>
        <w:ind w:firstLine="720"/>
        <w:contextualSpacing/>
        <w:jc w:val="both"/>
        <w:rPr>
          <w:rFonts w:ascii="Times New Roman" w:eastAsiaTheme="minorHAnsi" w:hAnsi="Times New Roman" w:cs="Times New Roman"/>
          <w:lang w:eastAsia="en-US"/>
        </w:rPr>
      </w:pPr>
      <w:r w:rsidRPr="00F827DD">
        <w:rPr>
          <w:rFonts w:ascii="Times New Roman" w:eastAsiaTheme="minorHAnsi" w:hAnsi="Times New Roman" w:cs="Times New Roman"/>
          <w:lang w:eastAsia="en-US"/>
        </w:rPr>
        <w:t xml:space="preserve">A similar </w:t>
      </w:r>
      <w:r w:rsidR="00597DCA" w:rsidRPr="00F827DD">
        <w:rPr>
          <w:rFonts w:ascii="Times New Roman" w:eastAsiaTheme="minorHAnsi" w:hAnsi="Times New Roman" w:cs="Times New Roman"/>
          <w:lang w:eastAsia="en-US"/>
        </w:rPr>
        <w:t>pattern</w:t>
      </w:r>
      <w:r w:rsidR="00C1117D" w:rsidRPr="00F827DD">
        <w:rPr>
          <w:rFonts w:ascii="Times New Roman" w:eastAsiaTheme="minorHAnsi" w:hAnsi="Times New Roman" w:cs="Times New Roman"/>
          <w:lang w:eastAsia="en-US"/>
        </w:rPr>
        <w:t xml:space="preserve"> of ratio of dynamic to static studies was observed for cycles at the continent-level. The bulk of studies, approximately 94%, being characterised via static cycles.</w:t>
      </w:r>
      <w:r w:rsidR="00E64ED0" w:rsidRPr="00F827DD">
        <w:rPr>
          <w:rFonts w:ascii="Times New Roman" w:eastAsiaTheme="minorHAnsi" w:hAnsi="Times New Roman" w:cs="Times New Roman"/>
          <w:lang w:eastAsia="en-US"/>
        </w:rPr>
        <w:t xml:space="preserve"> </w:t>
      </w:r>
      <w:r w:rsidR="00C1117D" w:rsidRPr="00F827DD">
        <w:rPr>
          <w:rFonts w:ascii="Times New Roman" w:eastAsiaTheme="minorHAnsi" w:hAnsi="Times New Roman" w:cs="Times New Roman"/>
          <w:lang w:eastAsia="en-US"/>
        </w:rPr>
        <w:t>Furthermore</w:t>
      </w:r>
      <w:r w:rsidR="00EE504F" w:rsidRPr="00F827DD">
        <w:rPr>
          <w:rFonts w:ascii="Times New Roman" w:eastAsiaTheme="minorHAnsi" w:hAnsi="Times New Roman" w:cs="Times New Roman"/>
          <w:lang w:eastAsia="en-US"/>
        </w:rPr>
        <w:t>,</w:t>
      </w:r>
      <w:r w:rsidRPr="00F827DD">
        <w:rPr>
          <w:rFonts w:ascii="Times New Roman" w:eastAsiaTheme="minorHAnsi" w:hAnsi="Times New Roman" w:cs="Times New Roman"/>
          <w:lang w:eastAsia="en-US"/>
        </w:rPr>
        <w:t xml:space="preserve"> all continent</w:t>
      </w:r>
      <w:r w:rsidR="00EE504F" w:rsidRPr="00F827DD">
        <w:rPr>
          <w:rFonts w:ascii="Times New Roman" w:eastAsiaTheme="minorHAnsi" w:hAnsi="Times New Roman" w:cs="Times New Roman"/>
          <w:lang w:eastAsia="en-US"/>
        </w:rPr>
        <w:t>-</w:t>
      </w:r>
      <w:r w:rsidR="00C1117D" w:rsidRPr="00F827DD">
        <w:rPr>
          <w:rFonts w:ascii="Times New Roman" w:eastAsiaTheme="minorHAnsi" w:hAnsi="Times New Roman" w:cs="Times New Roman"/>
          <w:lang w:eastAsia="en-US"/>
        </w:rPr>
        <w:t>level cycles were</w:t>
      </w:r>
      <w:r w:rsidRPr="00F827DD">
        <w:rPr>
          <w:rFonts w:ascii="Times New Roman" w:eastAsiaTheme="minorHAnsi" w:hAnsi="Times New Roman" w:cs="Times New Roman"/>
          <w:lang w:eastAsia="en-US"/>
        </w:rPr>
        <w:t xml:space="preserve"> representative of cycle</w:t>
      </w:r>
      <w:r w:rsidR="00A376CB" w:rsidRPr="00F827DD">
        <w:rPr>
          <w:rFonts w:ascii="Times New Roman" w:eastAsiaTheme="minorHAnsi" w:hAnsi="Times New Roman" w:cs="Times New Roman"/>
          <w:lang w:eastAsia="en-US"/>
        </w:rPr>
        <w:t>s in Europe, apart from cycles</w:t>
      </w:r>
      <w:r w:rsidRPr="00F827DD">
        <w:rPr>
          <w:rFonts w:ascii="Times New Roman" w:eastAsiaTheme="minorHAnsi" w:hAnsi="Times New Roman" w:cs="Times New Roman"/>
          <w:lang w:eastAsia="en-US"/>
        </w:rPr>
        <w:t xml:space="preserve"> from the</w:t>
      </w:r>
      <w:r w:rsidR="00D4406E" w:rsidRPr="00F827DD">
        <w:rPr>
          <w:rFonts w:ascii="Times New Roman" w:eastAsiaTheme="minorHAnsi" w:hAnsi="Times New Roman" w:cs="Times New Roman"/>
          <w:lang w:eastAsia="en-US"/>
        </w:rPr>
        <w:t xml:space="preserve"> </w:t>
      </w:r>
      <w:r w:rsidR="00E64ED0" w:rsidRPr="00F827DD">
        <w:rPr>
          <w:rFonts w:ascii="Times New Roman" w:eastAsiaTheme="minorHAnsi" w:hAnsi="Times New Roman" w:cs="Times New Roman"/>
          <w:lang w:eastAsia="en-US"/>
        </w:rPr>
        <w:t xml:space="preserve">Yale Centre of Industrial Ecology </w:t>
      </w:r>
      <w:r w:rsidR="00EE504F" w:rsidRPr="00F827DD">
        <w:rPr>
          <w:rFonts w:ascii="Times New Roman" w:eastAsiaTheme="minorHAnsi" w:hAnsi="Times New Roman" w:cs="Times New Roman"/>
          <w:lang w:eastAsia="en-US"/>
        </w:rPr>
        <w:t xml:space="preserve">as mentioned in </w:t>
      </w:r>
      <w:r w:rsidR="00EE504F" w:rsidRPr="00F827DD">
        <w:rPr>
          <w:rFonts w:ascii="Times New Roman" w:eastAsiaTheme="minorHAnsi" w:hAnsi="Times New Roman" w:cs="Times New Roman"/>
          <w:noProof/>
          <w:lang w:eastAsia="en-US"/>
        </w:rPr>
        <w:t>(Johnson et al. 2006)</w:t>
      </w:r>
      <w:r w:rsidR="00EE504F" w:rsidRPr="00F827DD">
        <w:rPr>
          <w:rFonts w:ascii="Times New Roman" w:eastAsiaTheme="minorHAnsi" w:hAnsi="Times New Roman" w:cs="Times New Roman"/>
          <w:lang w:eastAsia="en-US"/>
        </w:rPr>
        <w:t>.</w:t>
      </w:r>
    </w:p>
    <w:p w:rsidR="001E026B" w:rsidRPr="00F827DD" w:rsidRDefault="00597DCA" w:rsidP="00933C68">
      <w:pPr>
        <w:autoSpaceDE w:val="0"/>
        <w:autoSpaceDN w:val="0"/>
        <w:adjustRightInd w:val="0"/>
        <w:spacing w:after="0" w:line="360" w:lineRule="auto"/>
        <w:ind w:firstLine="720"/>
        <w:contextualSpacing/>
        <w:jc w:val="both"/>
        <w:rPr>
          <w:rFonts w:ascii="Times New Roman" w:eastAsiaTheme="minorHAnsi" w:hAnsi="Times New Roman" w:cs="Times New Roman"/>
          <w:lang w:eastAsia="en-US"/>
        </w:rPr>
      </w:pPr>
      <w:r w:rsidRPr="00F827DD">
        <w:rPr>
          <w:rFonts w:ascii="Times New Roman" w:eastAsiaTheme="minorHAnsi" w:hAnsi="Times New Roman" w:cs="Times New Roman"/>
          <w:lang w:eastAsia="en-US"/>
        </w:rPr>
        <w:t>As regards to c</w:t>
      </w:r>
      <w:r w:rsidR="001D5FB7" w:rsidRPr="00F827DD">
        <w:rPr>
          <w:rFonts w:ascii="Times New Roman" w:eastAsiaTheme="minorHAnsi" w:hAnsi="Times New Roman" w:cs="Times New Roman"/>
          <w:lang w:eastAsia="en-US"/>
        </w:rPr>
        <w:t>ountry</w:t>
      </w:r>
      <w:r w:rsidRPr="00F827DD">
        <w:rPr>
          <w:rFonts w:ascii="Times New Roman" w:eastAsiaTheme="minorHAnsi" w:hAnsi="Times New Roman" w:cs="Times New Roman"/>
          <w:lang w:eastAsia="en-US"/>
        </w:rPr>
        <w:t>-</w:t>
      </w:r>
      <w:r w:rsidR="001D5FB7" w:rsidRPr="00F827DD">
        <w:rPr>
          <w:rFonts w:ascii="Times New Roman" w:eastAsiaTheme="minorHAnsi" w:hAnsi="Times New Roman" w:cs="Times New Roman"/>
          <w:lang w:eastAsia="en-US"/>
        </w:rPr>
        <w:t>level cycles</w:t>
      </w:r>
      <w:r w:rsidRPr="00F827DD">
        <w:rPr>
          <w:rFonts w:ascii="Times New Roman" w:eastAsiaTheme="minorHAnsi" w:hAnsi="Times New Roman" w:cs="Times New Roman"/>
          <w:lang w:eastAsia="en-US"/>
        </w:rPr>
        <w:t>, 45 elements were covered for</w:t>
      </w:r>
      <w:r w:rsidR="00E73A40" w:rsidRPr="00F827DD">
        <w:rPr>
          <w:rFonts w:ascii="Times New Roman" w:eastAsiaTheme="minorHAnsi" w:hAnsi="Times New Roman" w:cs="Times New Roman"/>
          <w:lang w:eastAsia="en-US"/>
        </w:rPr>
        <w:t xml:space="preserve"> a total of</w:t>
      </w:r>
      <w:r w:rsidRPr="00F827DD">
        <w:rPr>
          <w:rFonts w:ascii="Times New Roman" w:eastAsiaTheme="minorHAnsi" w:hAnsi="Times New Roman" w:cs="Times New Roman"/>
          <w:lang w:eastAsia="en-US"/>
        </w:rPr>
        <w:t xml:space="preserve"> 791 static and 60 dynamic cycles.</w:t>
      </w:r>
      <w:r w:rsidR="00E73A40" w:rsidRPr="00F827DD">
        <w:rPr>
          <w:rFonts w:ascii="Times New Roman" w:eastAsiaTheme="minorHAnsi" w:hAnsi="Times New Roman" w:cs="Times New Roman"/>
          <w:lang w:eastAsia="en-US"/>
        </w:rPr>
        <w:t xml:space="preserve"> Breakdown of the results in terms of geographical areas, from </w:t>
      </w:r>
      <w:r w:rsidR="00E64ED0" w:rsidRPr="00F827DD">
        <w:rPr>
          <w:rFonts w:ascii="Times New Roman" w:eastAsiaTheme="minorHAnsi" w:hAnsi="Times New Roman" w:cs="Times New Roman"/>
          <w:lang w:eastAsia="en-US"/>
        </w:rPr>
        <w:t>highest to lowest, depicts</w:t>
      </w:r>
      <w:r w:rsidR="00A376CB" w:rsidRPr="00F827DD">
        <w:rPr>
          <w:rFonts w:ascii="Times New Roman" w:eastAsiaTheme="minorHAnsi" w:hAnsi="Times New Roman" w:cs="Times New Roman"/>
          <w:lang w:eastAsia="en-US"/>
        </w:rPr>
        <w:t xml:space="preserve"> the following:</w:t>
      </w:r>
      <w:r w:rsidR="00E73A40" w:rsidRPr="00F827DD">
        <w:rPr>
          <w:rFonts w:ascii="Times New Roman" w:eastAsiaTheme="minorHAnsi" w:hAnsi="Times New Roman" w:cs="Times New Roman"/>
          <w:lang w:eastAsia="en-US"/>
        </w:rPr>
        <w:t xml:space="preserve"> Japan (42 elements, 97 static cycles and 26 dynamic cycles) &gt; USA (31 elements, 57 static cycles and 8 dynamic cycles) &gt; Europe (20 elements, 223 static cycles and 12 dynamic cycles). </w:t>
      </w:r>
      <w:r w:rsidR="00E64ED0" w:rsidRPr="00F827DD">
        <w:rPr>
          <w:rFonts w:ascii="Times New Roman" w:eastAsiaTheme="minorHAnsi" w:hAnsi="Times New Roman" w:cs="Times New Roman"/>
          <w:lang w:eastAsia="en-US"/>
        </w:rPr>
        <w:t>To summarise, J</w:t>
      </w:r>
      <w:r w:rsidR="00E73A40" w:rsidRPr="00F827DD">
        <w:rPr>
          <w:rFonts w:ascii="Times New Roman" w:eastAsiaTheme="minorHAnsi" w:hAnsi="Times New Roman" w:cs="Times New Roman"/>
          <w:lang w:eastAsia="en-US"/>
        </w:rPr>
        <w:t>apan investigated the most number of elements but Europe produced th</w:t>
      </w:r>
      <w:r w:rsidR="00E64ED0" w:rsidRPr="00F827DD">
        <w:rPr>
          <w:rFonts w:ascii="Times New Roman" w:eastAsiaTheme="minorHAnsi" w:hAnsi="Times New Roman" w:cs="Times New Roman"/>
          <w:lang w:eastAsia="en-US"/>
        </w:rPr>
        <w:t xml:space="preserve">e largest number of </w:t>
      </w:r>
      <w:r w:rsidR="00E73A40" w:rsidRPr="00F827DD">
        <w:rPr>
          <w:rFonts w:ascii="Times New Roman" w:eastAsiaTheme="minorHAnsi" w:hAnsi="Times New Roman" w:cs="Times New Roman"/>
          <w:lang w:eastAsia="en-US"/>
        </w:rPr>
        <w:t>cycles</w:t>
      </w:r>
      <w:r w:rsidR="00E64ED0" w:rsidRPr="00F827DD">
        <w:rPr>
          <w:rFonts w:ascii="Times New Roman" w:eastAsiaTheme="minorHAnsi" w:hAnsi="Times New Roman" w:cs="Times New Roman"/>
          <w:lang w:eastAsia="en-US"/>
        </w:rPr>
        <w:t>, especially in regards to static</w:t>
      </w:r>
      <w:r w:rsidR="00E73A40" w:rsidRPr="00F827DD">
        <w:rPr>
          <w:rFonts w:ascii="Times New Roman" w:eastAsiaTheme="minorHAnsi" w:hAnsi="Times New Roman" w:cs="Times New Roman"/>
          <w:lang w:eastAsia="en-US"/>
        </w:rPr>
        <w:t>. In terms of the rest of the world, excluding China, elemental cycles for 7 metals (chromium, iron, nickel, copper, zinc, silver and l</w:t>
      </w:r>
      <w:r w:rsidR="00E64ED0" w:rsidRPr="00F827DD">
        <w:rPr>
          <w:rFonts w:ascii="Times New Roman" w:eastAsiaTheme="minorHAnsi" w:hAnsi="Times New Roman" w:cs="Times New Roman"/>
          <w:lang w:eastAsia="en-US"/>
        </w:rPr>
        <w:t xml:space="preserve">ead) have been characterised </w:t>
      </w:r>
      <w:r w:rsidR="00E64ED0" w:rsidRPr="00F827DD">
        <w:rPr>
          <w:rFonts w:ascii="Times New Roman" w:hAnsi="Times New Roman" w:cs="Times New Roman"/>
        </w:rPr>
        <w:t xml:space="preserve">by </w:t>
      </w:r>
      <w:r w:rsidR="00E64ED0" w:rsidRPr="00F827DD">
        <w:rPr>
          <w:rFonts w:ascii="Times New Roman" w:hAnsi="Times New Roman" w:cs="Times New Roman"/>
        </w:rPr>
        <w:lastRenderedPageBreak/>
        <w:t>the</w:t>
      </w:r>
      <w:r w:rsidR="00D4406E" w:rsidRPr="00F827DD">
        <w:rPr>
          <w:rFonts w:ascii="Times New Roman" w:hAnsi="Times New Roman" w:cs="Times New Roman"/>
        </w:rPr>
        <w:t xml:space="preserve"> </w:t>
      </w:r>
      <w:r w:rsidR="00E64ED0" w:rsidRPr="00F827DD">
        <w:rPr>
          <w:rFonts w:ascii="Times New Roman" w:hAnsi="Times New Roman" w:cs="Times New Roman"/>
        </w:rPr>
        <w:t>Yale Centre</w:t>
      </w:r>
      <w:r w:rsidR="00D4406E" w:rsidRPr="00F827DD">
        <w:rPr>
          <w:rFonts w:ascii="Times New Roman" w:hAnsi="Times New Roman" w:cs="Times New Roman"/>
        </w:rPr>
        <w:t xml:space="preserve"> </w:t>
      </w:r>
      <w:r w:rsidR="00E73A40" w:rsidRPr="00F827DD">
        <w:rPr>
          <w:rFonts w:ascii="Times New Roman" w:eastAsiaTheme="minorHAnsi" w:hAnsi="Times New Roman" w:cs="Times New Roman"/>
          <w:lang w:eastAsia="en-US"/>
        </w:rPr>
        <w:t>for 5 nations (Australia, Brazil, South Korea, Taiwan and Turkey).</w:t>
      </w:r>
      <w:r w:rsidR="001E026B" w:rsidRPr="00F827DD">
        <w:rPr>
          <w:rFonts w:ascii="Times New Roman" w:eastAsiaTheme="minorHAnsi" w:hAnsi="Times New Roman" w:cs="Times New Roman"/>
          <w:lang w:eastAsia="en-US"/>
        </w:rPr>
        <w:t xml:space="preserve"> Example</w:t>
      </w:r>
      <w:r w:rsidR="00A376CB" w:rsidRPr="00F827DD">
        <w:rPr>
          <w:rFonts w:ascii="Times New Roman" w:eastAsiaTheme="minorHAnsi" w:hAnsi="Times New Roman" w:cs="Times New Roman"/>
          <w:lang w:eastAsia="en-US"/>
        </w:rPr>
        <w:t xml:space="preserve">s related to specific elements conducted by </w:t>
      </w:r>
      <w:r w:rsidR="001E026B" w:rsidRPr="00F827DD">
        <w:rPr>
          <w:rFonts w:ascii="Times New Roman" w:eastAsiaTheme="minorHAnsi" w:hAnsi="Times New Roman" w:cs="Times New Roman"/>
          <w:lang w:eastAsia="en-US"/>
        </w:rPr>
        <w:t>the Yale Centre</w:t>
      </w:r>
      <w:r w:rsidR="00A376CB" w:rsidRPr="00F827DD">
        <w:rPr>
          <w:rFonts w:ascii="Times New Roman" w:eastAsiaTheme="minorHAnsi" w:hAnsi="Times New Roman" w:cs="Times New Roman"/>
          <w:lang w:eastAsia="en-US"/>
        </w:rPr>
        <w:t xml:space="preserve"> </w:t>
      </w:r>
      <w:r w:rsidR="00E64ED0" w:rsidRPr="00F827DD">
        <w:rPr>
          <w:rFonts w:ascii="Times New Roman" w:eastAsiaTheme="minorHAnsi" w:hAnsi="Times New Roman" w:cs="Times New Roman"/>
          <w:lang w:eastAsia="en-US"/>
        </w:rPr>
        <w:t>are</w:t>
      </w:r>
      <w:r w:rsidR="001E026B" w:rsidRPr="00F827DD">
        <w:rPr>
          <w:rFonts w:ascii="Times New Roman" w:eastAsiaTheme="minorHAnsi" w:hAnsi="Times New Roman" w:cs="Times New Roman"/>
          <w:lang w:eastAsia="en-US"/>
        </w:rPr>
        <w:t xml:space="preserve"> mentioned later on.</w:t>
      </w:r>
    </w:p>
    <w:p w:rsidR="003F475B" w:rsidRPr="00F827DD" w:rsidRDefault="00A376CB" w:rsidP="00933C68">
      <w:pPr>
        <w:autoSpaceDE w:val="0"/>
        <w:autoSpaceDN w:val="0"/>
        <w:adjustRightInd w:val="0"/>
        <w:spacing w:after="0" w:line="360" w:lineRule="auto"/>
        <w:ind w:firstLine="720"/>
        <w:contextualSpacing/>
        <w:jc w:val="both"/>
        <w:rPr>
          <w:rFonts w:ascii="Times New Roman" w:eastAsiaTheme="minorHAnsi" w:hAnsi="Times New Roman" w:cs="Times New Roman"/>
          <w:lang w:eastAsia="en-US"/>
        </w:rPr>
      </w:pPr>
      <w:r w:rsidRPr="00F827DD">
        <w:rPr>
          <w:rFonts w:ascii="Times New Roman" w:eastAsiaTheme="minorHAnsi" w:hAnsi="Times New Roman" w:cs="Times New Roman"/>
          <w:lang w:eastAsia="en-US"/>
        </w:rPr>
        <w:t>With respect to c</w:t>
      </w:r>
      <w:r w:rsidR="003F475B" w:rsidRPr="00F827DD">
        <w:rPr>
          <w:rFonts w:ascii="Times New Roman" w:eastAsiaTheme="minorHAnsi" w:hAnsi="Times New Roman" w:cs="Times New Roman"/>
          <w:lang w:eastAsia="en-US"/>
        </w:rPr>
        <w:t>ity and</w:t>
      </w:r>
      <w:r w:rsidR="00825F49" w:rsidRPr="00F827DD">
        <w:rPr>
          <w:rFonts w:ascii="Times New Roman" w:eastAsiaTheme="minorHAnsi" w:hAnsi="Times New Roman" w:cs="Times New Roman"/>
          <w:lang w:eastAsia="en-US"/>
        </w:rPr>
        <w:t xml:space="preserve"> river basin level cycles</w:t>
      </w:r>
      <w:r w:rsidRPr="00F827DD">
        <w:rPr>
          <w:rFonts w:ascii="Times New Roman" w:eastAsiaTheme="minorHAnsi" w:hAnsi="Times New Roman" w:cs="Times New Roman"/>
          <w:lang w:eastAsia="en-US"/>
        </w:rPr>
        <w:t xml:space="preserve">, </w:t>
      </w:r>
      <w:r w:rsidR="00825F49" w:rsidRPr="00F827DD">
        <w:rPr>
          <w:rFonts w:ascii="Times New Roman" w:eastAsiaTheme="minorHAnsi" w:hAnsi="Times New Roman" w:cs="Times New Roman"/>
          <w:lang w:eastAsia="en-US"/>
        </w:rPr>
        <w:t>the amount of studies are</w:t>
      </w:r>
      <w:r w:rsidRPr="00F827DD">
        <w:rPr>
          <w:rFonts w:ascii="Times New Roman" w:eastAsiaTheme="minorHAnsi" w:hAnsi="Times New Roman" w:cs="Times New Roman"/>
          <w:lang w:eastAsia="en-US"/>
        </w:rPr>
        <w:t xml:space="preserve"> minute</w:t>
      </w:r>
      <w:r w:rsidR="00825F49" w:rsidRPr="00F827DD">
        <w:rPr>
          <w:rFonts w:ascii="Times New Roman" w:eastAsiaTheme="minorHAnsi" w:hAnsi="Times New Roman" w:cs="Times New Roman"/>
          <w:lang w:eastAsia="en-US"/>
        </w:rPr>
        <w:t xml:space="preserve"> especially compared to country-level cycles</w:t>
      </w:r>
      <w:r w:rsidRPr="00F827DD">
        <w:rPr>
          <w:rFonts w:ascii="Times New Roman" w:eastAsiaTheme="minorHAnsi" w:hAnsi="Times New Roman" w:cs="Times New Roman"/>
          <w:lang w:eastAsia="en-US"/>
        </w:rPr>
        <w:t>.</w:t>
      </w:r>
      <w:r w:rsidR="00825F49" w:rsidRPr="00F827DD">
        <w:rPr>
          <w:rFonts w:ascii="Times New Roman" w:eastAsiaTheme="minorHAnsi" w:hAnsi="Times New Roman" w:cs="Times New Roman"/>
          <w:lang w:eastAsia="en-US"/>
        </w:rPr>
        <w:t xml:space="preserve"> Nearly all</w:t>
      </w:r>
      <w:r w:rsidRPr="00F827DD">
        <w:rPr>
          <w:rFonts w:ascii="Times New Roman" w:eastAsiaTheme="minorHAnsi" w:hAnsi="Times New Roman" w:cs="Times New Roman"/>
          <w:lang w:eastAsia="en-US"/>
        </w:rPr>
        <w:t xml:space="preserve"> </w:t>
      </w:r>
      <w:r w:rsidR="00825F49" w:rsidRPr="00F827DD">
        <w:rPr>
          <w:rFonts w:ascii="Times New Roman" w:eastAsiaTheme="minorHAnsi" w:hAnsi="Times New Roman" w:cs="Times New Roman"/>
          <w:lang w:eastAsia="en-US"/>
        </w:rPr>
        <w:t xml:space="preserve">city-level cycles focus on inputs, emissions and in-use stock for heavy metals. In particular studies such as those from </w:t>
      </w:r>
      <w:r w:rsidR="00825F49" w:rsidRPr="00F827DD">
        <w:rPr>
          <w:rFonts w:ascii="Times New Roman" w:eastAsiaTheme="minorHAnsi" w:hAnsi="Times New Roman" w:cs="Times New Roman"/>
          <w:noProof/>
          <w:lang w:eastAsia="en-US"/>
        </w:rPr>
        <w:t>(Bergback et al. 2000)</w:t>
      </w:r>
      <w:r w:rsidR="00825F49" w:rsidRPr="00F827DD">
        <w:rPr>
          <w:rFonts w:ascii="Times New Roman" w:eastAsiaTheme="minorHAnsi" w:hAnsi="Times New Roman" w:cs="Times New Roman"/>
          <w:lang w:eastAsia="en-US"/>
        </w:rPr>
        <w:t>, sponsored by the Swedish Environmental Protection Agency, have been conducted in Stockholm on this exact topic</w:t>
      </w:r>
      <w:r w:rsidR="003F475B" w:rsidRPr="00F827DD">
        <w:rPr>
          <w:rFonts w:ascii="Times New Roman" w:eastAsiaTheme="minorHAnsi" w:hAnsi="Times New Roman" w:cs="Times New Roman"/>
          <w:lang w:eastAsia="en-US"/>
        </w:rPr>
        <w:t>.</w:t>
      </w:r>
    </w:p>
    <w:p w:rsidR="003F475B" w:rsidRPr="00F827DD" w:rsidRDefault="003F475B" w:rsidP="00933C68">
      <w:pPr>
        <w:autoSpaceDE w:val="0"/>
        <w:autoSpaceDN w:val="0"/>
        <w:adjustRightInd w:val="0"/>
        <w:spacing w:after="0" w:line="360" w:lineRule="auto"/>
        <w:ind w:firstLine="720"/>
        <w:contextualSpacing/>
        <w:jc w:val="both"/>
        <w:rPr>
          <w:rFonts w:ascii="Times New Roman" w:eastAsiaTheme="minorHAnsi" w:hAnsi="Times New Roman" w:cs="Times New Roman"/>
          <w:lang w:eastAsia="en-US"/>
        </w:rPr>
      </w:pPr>
      <w:r w:rsidRPr="00F827DD">
        <w:rPr>
          <w:rFonts w:ascii="Times New Roman" w:eastAsiaTheme="minorHAnsi" w:hAnsi="Times New Roman" w:cs="Times New Roman"/>
          <w:lang w:eastAsia="en-US"/>
        </w:rPr>
        <w:t>On the other hand, c</w:t>
      </w:r>
      <w:r w:rsidR="004A450B" w:rsidRPr="00F827DD">
        <w:rPr>
          <w:rFonts w:ascii="Times New Roman" w:eastAsiaTheme="minorHAnsi" w:hAnsi="Times New Roman" w:cs="Times New Roman"/>
          <w:lang w:eastAsia="en-US"/>
        </w:rPr>
        <w:t xml:space="preserve">ycles first reported on river basins were from </w:t>
      </w:r>
      <w:r w:rsidR="00351929" w:rsidRPr="00F827DD">
        <w:rPr>
          <w:rFonts w:ascii="Times New Roman" w:eastAsiaTheme="minorHAnsi" w:hAnsi="Times New Roman" w:cs="Times New Roman"/>
          <w:noProof/>
          <w:lang w:eastAsia="en-US"/>
        </w:rPr>
        <w:t>(Brunner et al. 1994)</w:t>
      </w:r>
      <w:r w:rsidR="004A450B" w:rsidRPr="00F827DD">
        <w:rPr>
          <w:rFonts w:ascii="Times New Roman" w:eastAsiaTheme="minorHAnsi" w:hAnsi="Times New Roman" w:cs="Times New Roman"/>
          <w:lang w:eastAsia="en-US"/>
        </w:rPr>
        <w:t xml:space="preserve"> a</w:t>
      </w:r>
      <w:r w:rsidR="00A553A6" w:rsidRPr="00F827DD">
        <w:rPr>
          <w:rFonts w:ascii="Times New Roman" w:eastAsiaTheme="minorHAnsi" w:hAnsi="Times New Roman" w:cs="Times New Roman"/>
          <w:lang w:eastAsia="en-US"/>
        </w:rPr>
        <w:t>nd mainly</w:t>
      </w:r>
      <w:r w:rsidR="004A450B" w:rsidRPr="00F827DD">
        <w:rPr>
          <w:rFonts w:ascii="Times New Roman" w:eastAsiaTheme="minorHAnsi" w:hAnsi="Times New Roman" w:cs="Times New Roman"/>
          <w:lang w:eastAsia="en-US"/>
        </w:rPr>
        <w:t xml:space="preserve"> involved two elements, nitrogen and phosphorus. Nitrogen because of water eutrophication</w:t>
      </w:r>
      <w:r w:rsidRPr="00F827DD">
        <w:rPr>
          <w:rFonts w:ascii="Times New Roman" w:eastAsiaTheme="minorHAnsi" w:hAnsi="Times New Roman" w:cs="Times New Roman"/>
          <w:lang w:eastAsia="en-US"/>
        </w:rPr>
        <w:t xml:space="preserve"> issues</w:t>
      </w:r>
      <w:r w:rsidR="004A450B" w:rsidRPr="00F827DD">
        <w:rPr>
          <w:rFonts w:ascii="Times New Roman" w:eastAsiaTheme="minorHAnsi" w:hAnsi="Times New Roman" w:cs="Times New Roman"/>
          <w:lang w:eastAsia="en-US"/>
        </w:rPr>
        <w:t xml:space="preserve"> and phosphorus</w:t>
      </w:r>
      <w:r w:rsidR="00A553A6" w:rsidRPr="00F827DD">
        <w:rPr>
          <w:rFonts w:ascii="Times New Roman" w:eastAsiaTheme="minorHAnsi" w:hAnsi="Times New Roman" w:cs="Times New Roman"/>
          <w:lang w:eastAsia="en-US"/>
        </w:rPr>
        <w:t xml:space="preserve"> mainly due to emission and toxicity concerns.</w:t>
      </w:r>
    </w:p>
    <w:p w:rsidR="001D4D87" w:rsidRPr="00F827DD" w:rsidRDefault="00F155B4" w:rsidP="00E64ED0">
      <w:pPr>
        <w:autoSpaceDE w:val="0"/>
        <w:autoSpaceDN w:val="0"/>
        <w:adjustRightInd w:val="0"/>
        <w:spacing w:after="0" w:line="360" w:lineRule="auto"/>
        <w:ind w:firstLine="720"/>
        <w:contextualSpacing/>
        <w:jc w:val="both"/>
        <w:rPr>
          <w:rFonts w:ascii="Times New Roman" w:eastAsiaTheme="minorHAnsi" w:hAnsi="Times New Roman" w:cs="Times New Roman"/>
          <w:lang w:eastAsia="en-US"/>
        </w:rPr>
      </w:pPr>
      <w:r w:rsidRPr="00F827DD">
        <w:rPr>
          <w:rFonts w:ascii="Times New Roman" w:eastAsiaTheme="minorHAnsi" w:hAnsi="Times New Roman" w:cs="Times New Roman"/>
          <w:lang w:eastAsia="en-US"/>
        </w:rPr>
        <w:t xml:space="preserve">Summarising, </w:t>
      </w:r>
      <w:r w:rsidR="001E026B" w:rsidRPr="00F827DD">
        <w:rPr>
          <w:rFonts w:ascii="Times New Roman" w:eastAsiaTheme="minorHAnsi" w:hAnsi="Times New Roman" w:cs="Times New Roman"/>
          <w:lang w:eastAsia="en-US"/>
        </w:rPr>
        <w:t>static cyc</w:t>
      </w:r>
      <w:r w:rsidR="00A553A6" w:rsidRPr="00F827DD">
        <w:rPr>
          <w:rFonts w:ascii="Times New Roman" w:eastAsiaTheme="minorHAnsi" w:hAnsi="Times New Roman" w:cs="Times New Roman"/>
          <w:lang w:eastAsia="en-US"/>
        </w:rPr>
        <w:t xml:space="preserve">les outnumber dynamic cycles </w:t>
      </w:r>
      <w:r w:rsidR="001E026B" w:rsidRPr="00F827DD">
        <w:rPr>
          <w:rFonts w:ascii="Times New Roman" w:eastAsiaTheme="minorHAnsi" w:hAnsi="Times New Roman" w:cs="Times New Roman"/>
          <w:lang w:eastAsia="en-US"/>
        </w:rPr>
        <w:t>approximately 12:1</w:t>
      </w:r>
      <w:r w:rsidR="00A553A6" w:rsidRPr="00F827DD">
        <w:rPr>
          <w:rFonts w:ascii="Times New Roman" w:eastAsiaTheme="minorHAnsi" w:hAnsi="Times New Roman" w:cs="Times New Roman"/>
          <w:lang w:eastAsia="en-US"/>
        </w:rPr>
        <w:t>,</w:t>
      </w:r>
      <w:r w:rsidR="001E026B" w:rsidRPr="00F827DD">
        <w:rPr>
          <w:rFonts w:ascii="Times New Roman" w:eastAsiaTheme="minorHAnsi" w:hAnsi="Times New Roman" w:cs="Times New Roman"/>
          <w:lang w:eastAsia="en-US"/>
        </w:rPr>
        <w:t xml:space="preserve"> with the majority of</w:t>
      </w:r>
      <w:r w:rsidRPr="00F827DD">
        <w:rPr>
          <w:rFonts w:ascii="Times New Roman" w:eastAsiaTheme="minorHAnsi" w:hAnsi="Times New Roman" w:cs="Times New Roman"/>
          <w:lang w:eastAsia="en-US"/>
        </w:rPr>
        <w:t xml:space="preserve"> geographical stu</w:t>
      </w:r>
      <w:r w:rsidR="00EF6EB6" w:rsidRPr="00F827DD">
        <w:rPr>
          <w:rFonts w:ascii="Times New Roman" w:eastAsiaTheme="minorHAnsi" w:hAnsi="Times New Roman" w:cs="Times New Roman"/>
          <w:lang w:eastAsia="en-US"/>
        </w:rPr>
        <w:t xml:space="preserve">dies being country-level based. According to existing literature, </w:t>
      </w:r>
      <w:r w:rsidR="00EF6EB6" w:rsidRPr="00F827DD">
        <w:rPr>
          <w:rFonts w:ascii="Times New Roman" w:hAnsi="Times New Roman" w:cs="Times New Roman"/>
        </w:rPr>
        <w:t xml:space="preserve">anthropogenic cycles for 33 of the first 92 </w:t>
      </w:r>
      <w:r w:rsidR="00EF6EB6" w:rsidRPr="00F827DD">
        <w:rPr>
          <w:rFonts w:ascii="Times New Roman" w:eastAsiaTheme="minorHAnsi" w:hAnsi="Times New Roman" w:cs="Times New Roman"/>
          <w:lang w:eastAsia="en-US"/>
        </w:rPr>
        <w:t>elements of the periodic table, do not exist.</w:t>
      </w:r>
      <w:r w:rsidR="00CE4A14" w:rsidRPr="00F827DD">
        <w:rPr>
          <w:rFonts w:ascii="Times New Roman" w:eastAsiaTheme="minorHAnsi" w:hAnsi="Times New Roman" w:cs="Times New Roman"/>
          <w:lang w:eastAsia="en-US"/>
        </w:rPr>
        <w:t xml:space="preserve"> Dynamic cycles exist mostly for major metals such as aluminium, copper and iron as well as a range of other elements mentioned previously.</w:t>
      </w:r>
      <w:r w:rsidR="00E64ED0" w:rsidRPr="00F827DD">
        <w:rPr>
          <w:rFonts w:ascii="Times New Roman" w:eastAsiaTheme="minorHAnsi" w:hAnsi="Times New Roman" w:cs="Times New Roman"/>
          <w:lang w:eastAsia="en-US"/>
        </w:rPr>
        <w:t xml:space="preserve"> </w:t>
      </w:r>
      <w:r w:rsidR="00A6415F" w:rsidRPr="00F827DD">
        <w:fldChar w:fldCharType="begin"/>
      </w:r>
      <w:r w:rsidR="00A6415F" w:rsidRPr="00F827DD">
        <w:instrText xml:space="preserve"> REF _Ref475048928 \h  \* MERGEFORMAT </w:instrText>
      </w:r>
      <w:r w:rsidR="00A6415F" w:rsidRPr="00F827DD">
        <w:fldChar w:fldCharType="separate"/>
      </w:r>
      <w:r w:rsidR="009F5483" w:rsidRPr="009F5483">
        <w:rPr>
          <w:rStyle w:val="FiguresChar"/>
          <w:color w:val="auto"/>
        </w:rPr>
        <w:t>Table 5</w:t>
      </w:r>
      <w:r w:rsidR="00A6415F" w:rsidRPr="00F827DD">
        <w:fldChar w:fldCharType="end"/>
      </w:r>
      <w:r w:rsidR="00E64ED0" w:rsidRPr="00F827DD">
        <w:rPr>
          <w:rFonts w:ascii="Times New Roman" w:eastAsiaTheme="minorHAnsi" w:hAnsi="Times New Roman" w:cs="Times New Roman"/>
          <w:lang w:eastAsia="en-US"/>
        </w:rPr>
        <w:t xml:space="preserve"> </w:t>
      </w:r>
      <w:r w:rsidR="001D4D87" w:rsidRPr="00F827DD">
        <w:rPr>
          <w:rFonts w:ascii="Times New Roman" w:eastAsiaTheme="minorHAnsi" w:hAnsi="Times New Roman" w:cs="Times New Roman"/>
          <w:lang w:eastAsia="en-US"/>
        </w:rPr>
        <w:t xml:space="preserve">best summarises the number of cycles </w:t>
      </w:r>
      <w:r w:rsidR="00D4406E" w:rsidRPr="00F827DD">
        <w:rPr>
          <w:rFonts w:ascii="Times New Roman" w:eastAsiaTheme="minorHAnsi" w:hAnsi="Times New Roman" w:cs="Times New Roman"/>
          <w:lang w:eastAsia="en-US"/>
        </w:rPr>
        <w:t>per element, and identifies 33 elements currently with no cycles and 19 elements with a single cycle.</w:t>
      </w:r>
    </w:p>
    <w:p w:rsidR="00351929" w:rsidRPr="00F827DD" w:rsidRDefault="00E64ED0" w:rsidP="00E64ED0">
      <w:pPr>
        <w:pStyle w:val="Figures"/>
        <w:rPr>
          <w:rStyle w:val="ReferenceChar"/>
          <w:color w:val="auto"/>
        </w:rPr>
      </w:pPr>
      <w:bookmarkStart w:id="43" w:name="_Ref475048928"/>
      <w:bookmarkStart w:id="44" w:name="_Toc495852683"/>
      <w:r w:rsidRPr="00F827DD">
        <w:rPr>
          <w:color w:val="auto"/>
        </w:rPr>
        <w:t xml:space="preserve">Table </w:t>
      </w:r>
      <w:r w:rsidR="009A0ED7" w:rsidRPr="00F827DD">
        <w:rPr>
          <w:color w:val="auto"/>
        </w:rPr>
        <w:fldChar w:fldCharType="begin"/>
      </w:r>
      <w:r w:rsidRPr="00F827DD">
        <w:rPr>
          <w:color w:val="auto"/>
        </w:rPr>
        <w:instrText xml:space="preserve"> SEQ Table \* ARABIC </w:instrText>
      </w:r>
      <w:r w:rsidR="009A0ED7" w:rsidRPr="00F827DD">
        <w:rPr>
          <w:color w:val="auto"/>
        </w:rPr>
        <w:fldChar w:fldCharType="separate"/>
      </w:r>
      <w:r w:rsidR="009F5483">
        <w:rPr>
          <w:noProof/>
          <w:color w:val="auto"/>
        </w:rPr>
        <w:t>5</w:t>
      </w:r>
      <w:r w:rsidR="009A0ED7" w:rsidRPr="00F827DD">
        <w:rPr>
          <w:color w:val="auto"/>
        </w:rPr>
        <w:fldChar w:fldCharType="end"/>
      </w:r>
      <w:bookmarkEnd w:id="43"/>
      <w:r w:rsidRPr="00F827DD">
        <w:rPr>
          <w:color w:val="auto"/>
        </w:rPr>
        <w:t>. Summary of elements with different number</w:t>
      </w:r>
      <w:r w:rsidR="005003E9" w:rsidRPr="00F827DD">
        <w:rPr>
          <w:color w:val="auto"/>
        </w:rPr>
        <w:t>s</w:t>
      </w:r>
      <w:r w:rsidRPr="00F827DD">
        <w:rPr>
          <w:color w:val="auto"/>
        </w:rPr>
        <w:t xml:space="preserve"> of anthropogenic c</w:t>
      </w:r>
      <w:r w:rsidR="00255DBB" w:rsidRPr="00F827DD">
        <w:rPr>
          <w:color w:val="auto"/>
        </w:rPr>
        <w:t>ycles</w:t>
      </w:r>
      <w:r w:rsidRPr="00F827DD">
        <w:rPr>
          <w:color w:val="auto"/>
        </w:rPr>
        <w:t>.</w:t>
      </w:r>
      <w:r w:rsidR="00F827DD">
        <w:rPr>
          <w:color w:val="auto"/>
        </w:rPr>
        <w:t xml:space="preserve"> </w:t>
      </w:r>
      <w:r w:rsidR="00255DBB" w:rsidRPr="00F827DD">
        <w:rPr>
          <w:rStyle w:val="ReferenceChar"/>
          <w:noProof/>
          <w:color w:val="auto"/>
        </w:rPr>
        <w:t>(Chen &amp; Graedel 2012)</w:t>
      </w:r>
      <w:bookmarkEnd w:id="44"/>
    </w:p>
    <w:tbl>
      <w:tblPr>
        <w:tblW w:w="5000" w:type="pct"/>
        <w:tblLook w:val="04A0" w:firstRow="1" w:lastRow="0" w:firstColumn="1" w:lastColumn="0" w:noHBand="0" w:noVBand="1"/>
      </w:tblPr>
      <w:tblGrid>
        <w:gridCol w:w="1239"/>
        <w:gridCol w:w="6251"/>
        <w:gridCol w:w="1526"/>
      </w:tblGrid>
      <w:tr w:rsidR="00831DD2" w:rsidRPr="00F827DD" w:rsidTr="00E64ED0">
        <w:trPr>
          <w:trHeight w:val="300"/>
        </w:trPr>
        <w:tc>
          <w:tcPr>
            <w:tcW w:w="6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b/>
                <w:bCs/>
              </w:rPr>
            </w:pPr>
            <w:r w:rsidRPr="00F827DD">
              <w:rPr>
                <w:rFonts w:ascii="Calibri" w:eastAsia="Times New Roman" w:hAnsi="Calibri" w:cs="Times New Roman"/>
                <w:b/>
                <w:bCs/>
              </w:rPr>
              <w:t>No of cycles</w:t>
            </w:r>
          </w:p>
        </w:tc>
        <w:tc>
          <w:tcPr>
            <w:tcW w:w="3467" w:type="pct"/>
            <w:tcBorders>
              <w:top w:val="single" w:sz="4" w:space="0" w:color="auto"/>
              <w:left w:val="nil"/>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b/>
                <w:bCs/>
              </w:rPr>
            </w:pPr>
            <w:r w:rsidRPr="00F827DD">
              <w:rPr>
                <w:rFonts w:ascii="Calibri" w:eastAsia="Times New Roman" w:hAnsi="Calibri" w:cs="Times New Roman"/>
                <w:b/>
                <w:bCs/>
              </w:rPr>
              <w:t>Elements</w:t>
            </w:r>
          </w:p>
        </w:tc>
        <w:tc>
          <w:tcPr>
            <w:tcW w:w="846" w:type="pct"/>
            <w:tcBorders>
              <w:top w:val="single" w:sz="4" w:space="0" w:color="auto"/>
              <w:left w:val="nil"/>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b/>
                <w:bCs/>
              </w:rPr>
            </w:pPr>
            <w:r w:rsidRPr="00F827DD">
              <w:rPr>
                <w:rFonts w:ascii="Calibri" w:eastAsia="Times New Roman" w:hAnsi="Calibri" w:cs="Times New Roman"/>
                <w:b/>
                <w:bCs/>
              </w:rPr>
              <w:t>No of elements</w:t>
            </w:r>
          </w:p>
        </w:tc>
      </w:tr>
      <w:tr w:rsidR="00831DD2" w:rsidRPr="00F827DD" w:rsidTr="00E64ED0">
        <w:trPr>
          <w:trHeight w:val="300"/>
        </w:trPr>
        <w:tc>
          <w:tcPr>
            <w:tcW w:w="687" w:type="pct"/>
            <w:tcBorders>
              <w:top w:val="nil"/>
              <w:left w:val="single" w:sz="4" w:space="0" w:color="auto"/>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 5</w:t>
            </w:r>
          </w:p>
        </w:tc>
        <w:tc>
          <w:tcPr>
            <w:tcW w:w="3467" w:type="pct"/>
            <w:tcBorders>
              <w:top w:val="nil"/>
              <w:left w:val="nil"/>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Ad,</w:t>
            </w:r>
            <w:r w:rsidR="00D92863" w:rsidRPr="00F827DD">
              <w:rPr>
                <w:rFonts w:ascii="Calibri" w:eastAsia="Times New Roman" w:hAnsi="Calibri" w:cs="Times New Roman"/>
              </w:rPr>
              <w:t xml:space="preserve"> </w:t>
            </w:r>
            <w:r w:rsidRPr="00F827DD">
              <w:rPr>
                <w:rFonts w:ascii="Calibri" w:eastAsia="Times New Roman" w:hAnsi="Calibri" w:cs="Times New Roman"/>
              </w:rPr>
              <w:t>Al,</w:t>
            </w:r>
            <w:r w:rsidR="00D92863" w:rsidRPr="00F827DD">
              <w:rPr>
                <w:rFonts w:ascii="Calibri" w:eastAsia="Times New Roman" w:hAnsi="Calibri" w:cs="Times New Roman"/>
              </w:rPr>
              <w:t xml:space="preserve"> </w:t>
            </w:r>
            <w:r w:rsidRPr="00F827DD">
              <w:rPr>
                <w:rFonts w:ascii="Calibri" w:eastAsia="Times New Roman" w:hAnsi="Calibri" w:cs="Times New Roman"/>
              </w:rPr>
              <w:t>Cd,</w:t>
            </w:r>
            <w:r w:rsidR="00D92863" w:rsidRPr="00F827DD">
              <w:rPr>
                <w:rFonts w:ascii="Calibri" w:eastAsia="Times New Roman" w:hAnsi="Calibri" w:cs="Times New Roman"/>
              </w:rPr>
              <w:t xml:space="preserve"> </w:t>
            </w:r>
            <w:r w:rsidRPr="00F827DD">
              <w:rPr>
                <w:rFonts w:ascii="Calibri" w:eastAsia="Times New Roman" w:hAnsi="Calibri" w:cs="Times New Roman"/>
              </w:rPr>
              <w:t>Cl,</w:t>
            </w:r>
            <w:r w:rsidR="00D92863" w:rsidRPr="00F827DD">
              <w:rPr>
                <w:rFonts w:ascii="Calibri" w:eastAsia="Times New Roman" w:hAnsi="Calibri" w:cs="Times New Roman"/>
              </w:rPr>
              <w:t xml:space="preserve"> </w:t>
            </w:r>
            <w:r w:rsidRPr="00F827DD">
              <w:rPr>
                <w:rFonts w:ascii="Calibri" w:eastAsia="Times New Roman" w:hAnsi="Calibri" w:cs="Times New Roman"/>
              </w:rPr>
              <w:t>Co,</w:t>
            </w:r>
            <w:r w:rsidR="00D92863" w:rsidRPr="00F827DD">
              <w:rPr>
                <w:rFonts w:ascii="Calibri" w:eastAsia="Times New Roman" w:hAnsi="Calibri" w:cs="Times New Roman"/>
              </w:rPr>
              <w:t xml:space="preserve"> </w:t>
            </w:r>
            <w:r w:rsidRPr="00F827DD">
              <w:rPr>
                <w:rFonts w:ascii="Calibri" w:eastAsia="Times New Roman" w:hAnsi="Calibri" w:cs="Times New Roman"/>
              </w:rPr>
              <w:t>Cr,</w:t>
            </w:r>
            <w:r w:rsidR="00D92863" w:rsidRPr="00F827DD">
              <w:rPr>
                <w:rFonts w:ascii="Calibri" w:eastAsia="Times New Roman" w:hAnsi="Calibri" w:cs="Times New Roman"/>
              </w:rPr>
              <w:t xml:space="preserve"> </w:t>
            </w:r>
            <w:r w:rsidRPr="00F827DD">
              <w:rPr>
                <w:rFonts w:ascii="Calibri" w:eastAsia="Times New Roman" w:hAnsi="Calibri" w:cs="Times New Roman"/>
              </w:rPr>
              <w:t>Cu,</w:t>
            </w:r>
            <w:r w:rsidR="00D92863" w:rsidRPr="00F827DD">
              <w:rPr>
                <w:rFonts w:ascii="Calibri" w:eastAsia="Times New Roman" w:hAnsi="Calibri" w:cs="Times New Roman"/>
              </w:rPr>
              <w:t xml:space="preserve"> </w:t>
            </w:r>
            <w:r w:rsidRPr="00F827DD">
              <w:rPr>
                <w:rFonts w:ascii="Calibri" w:eastAsia="Times New Roman" w:hAnsi="Calibri" w:cs="Times New Roman"/>
              </w:rPr>
              <w:t>Fe,</w:t>
            </w:r>
            <w:r w:rsidR="00D92863" w:rsidRPr="00F827DD">
              <w:rPr>
                <w:rFonts w:ascii="Calibri" w:eastAsia="Times New Roman" w:hAnsi="Calibri" w:cs="Times New Roman"/>
              </w:rPr>
              <w:t xml:space="preserve"> </w:t>
            </w:r>
            <w:r w:rsidRPr="00F827DD">
              <w:rPr>
                <w:rFonts w:ascii="Calibri" w:eastAsia="Times New Roman" w:hAnsi="Calibri" w:cs="Times New Roman"/>
              </w:rPr>
              <w:t>Hg,</w:t>
            </w:r>
            <w:r w:rsidR="00D92863" w:rsidRPr="00F827DD">
              <w:rPr>
                <w:rFonts w:ascii="Calibri" w:eastAsia="Times New Roman" w:hAnsi="Calibri" w:cs="Times New Roman"/>
              </w:rPr>
              <w:t xml:space="preserve"> </w:t>
            </w:r>
            <w:r w:rsidRPr="00F827DD">
              <w:rPr>
                <w:rFonts w:ascii="Calibri" w:eastAsia="Times New Roman" w:hAnsi="Calibri" w:cs="Times New Roman"/>
              </w:rPr>
              <w:t>In,</w:t>
            </w:r>
            <w:r w:rsidR="00D92863" w:rsidRPr="00F827DD">
              <w:rPr>
                <w:rFonts w:ascii="Calibri" w:eastAsia="Times New Roman" w:hAnsi="Calibri" w:cs="Times New Roman"/>
              </w:rPr>
              <w:t xml:space="preserve"> </w:t>
            </w:r>
            <w:r w:rsidRPr="00F827DD">
              <w:rPr>
                <w:rFonts w:ascii="Calibri" w:eastAsia="Times New Roman" w:hAnsi="Calibri" w:cs="Times New Roman"/>
              </w:rPr>
              <w:t>Mn,</w:t>
            </w:r>
            <w:r w:rsidR="00D92863" w:rsidRPr="00F827DD">
              <w:rPr>
                <w:rFonts w:ascii="Calibri" w:eastAsia="Times New Roman" w:hAnsi="Calibri" w:cs="Times New Roman"/>
              </w:rPr>
              <w:t xml:space="preserve"> </w:t>
            </w:r>
            <w:r w:rsidRPr="00F827DD">
              <w:rPr>
                <w:rFonts w:ascii="Calibri" w:eastAsia="Times New Roman" w:hAnsi="Calibri" w:cs="Times New Roman"/>
              </w:rPr>
              <w:t>N,</w:t>
            </w:r>
            <w:r w:rsidR="00D92863" w:rsidRPr="00F827DD">
              <w:rPr>
                <w:rFonts w:ascii="Calibri" w:eastAsia="Times New Roman" w:hAnsi="Calibri" w:cs="Times New Roman"/>
              </w:rPr>
              <w:t xml:space="preserve"> </w:t>
            </w:r>
            <w:r w:rsidRPr="00F827DD">
              <w:rPr>
                <w:rFonts w:ascii="Calibri" w:eastAsia="Times New Roman" w:hAnsi="Calibri" w:cs="Times New Roman"/>
              </w:rPr>
              <w:t>Ni,</w:t>
            </w:r>
            <w:r w:rsidR="00D92863" w:rsidRPr="00F827DD">
              <w:rPr>
                <w:rFonts w:ascii="Calibri" w:eastAsia="Times New Roman" w:hAnsi="Calibri" w:cs="Times New Roman"/>
              </w:rPr>
              <w:t xml:space="preserve"> </w:t>
            </w:r>
            <w:r w:rsidRPr="00F827DD">
              <w:rPr>
                <w:rFonts w:ascii="Calibri" w:eastAsia="Times New Roman" w:hAnsi="Calibri" w:cs="Times New Roman"/>
              </w:rPr>
              <w:t>P,</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Pb</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Pd</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r w:rsidRPr="00F827DD">
              <w:rPr>
                <w:rFonts w:ascii="Calibri" w:eastAsia="Times New Roman" w:hAnsi="Calibri" w:cs="Times New Roman"/>
              </w:rPr>
              <w:t>Pt,</w:t>
            </w:r>
            <w:r w:rsidR="00D92863" w:rsidRPr="00F827DD">
              <w:rPr>
                <w:rFonts w:ascii="Calibri" w:eastAsia="Times New Roman" w:hAnsi="Calibri" w:cs="Times New Roman"/>
              </w:rPr>
              <w:t xml:space="preserve"> </w:t>
            </w:r>
            <w:r w:rsidRPr="00F827DD">
              <w:rPr>
                <w:rFonts w:ascii="Calibri" w:eastAsia="Times New Roman" w:hAnsi="Calibri" w:cs="Times New Roman"/>
              </w:rPr>
              <w:t>Sb,</w:t>
            </w:r>
            <w:r w:rsidR="00D92863" w:rsidRPr="00F827DD">
              <w:rPr>
                <w:rFonts w:ascii="Calibri" w:eastAsia="Times New Roman" w:hAnsi="Calibri" w:cs="Times New Roman"/>
              </w:rPr>
              <w:t xml:space="preserve"> </w:t>
            </w:r>
            <w:r w:rsidRPr="00F827DD">
              <w:rPr>
                <w:rFonts w:ascii="Calibri" w:eastAsia="Times New Roman" w:hAnsi="Calibri" w:cs="Times New Roman"/>
              </w:rPr>
              <w:t>Sn,</w:t>
            </w:r>
            <w:r w:rsidR="00D92863" w:rsidRPr="00F827DD">
              <w:rPr>
                <w:rFonts w:ascii="Calibri" w:eastAsia="Times New Roman" w:hAnsi="Calibri" w:cs="Times New Roman"/>
              </w:rPr>
              <w:t xml:space="preserve"> </w:t>
            </w:r>
            <w:r w:rsidRPr="00F827DD">
              <w:rPr>
                <w:rFonts w:ascii="Calibri" w:eastAsia="Times New Roman" w:hAnsi="Calibri" w:cs="Times New Roman"/>
              </w:rPr>
              <w:t>W,</w:t>
            </w:r>
            <w:r w:rsidR="00D92863" w:rsidRPr="00F827DD">
              <w:rPr>
                <w:rFonts w:ascii="Calibri" w:eastAsia="Times New Roman" w:hAnsi="Calibri" w:cs="Times New Roman"/>
              </w:rPr>
              <w:t xml:space="preserve"> </w:t>
            </w:r>
            <w:r w:rsidRPr="00F827DD">
              <w:rPr>
                <w:rFonts w:ascii="Calibri" w:eastAsia="Times New Roman" w:hAnsi="Calibri" w:cs="Times New Roman"/>
              </w:rPr>
              <w:t>Zn</w:t>
            </w:r>
          </w:p>
        </w:tc>
        <w:tc>
          <w:tcPr>
            <w:tcW w:w="846" w:type="pct"/>
            <w:tcBorders>
              <w:top w:val="nil"/>
              <w:left w:val="nil"/>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21</w:t>
            </w:r>
          </w:p>
        </w:tc>
      </w:tr>
      <w:tr w:rsidR="00831DD2" w:rsidRPr="00F827DD" w:rsidTr="00E64ED0">
        <w:trPr>
          <w:trHeight w:val="300"/>
        </w:trPr>
        <w:tc>
          <w:tcPr>
            <w:tcW w:w="687" w:type="pct"/>
            <w:tcBorders>
              <w:top w:val="nil"/>
              <w:left w:val="single" w:sz="4" w:space="0" w:color="auto"/>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4</w:t>
            </w:r>
          </w:p>
        </w:tc>
        <w:tc>
          <w:tcPr>
            <w:tcW w:w="3467" w:type="pct"/>
            <w:tcBorders>
              <w:top w:val="nil"/>
              <w:left w:val="nil"/>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As,</w:t>
            </w:r>
            <w:r w:rsidR="00D92863" w:rsidRPr="00F827DD">
              <w:rPr>
                <w:rFonts w:ascii="Calibri" w:eastAsia="Times New Roman" w:hAnsi="Calibri" w:cs="Times New Roman"/>
              </w:rPr>
              <w:t xml:space="preserve"> </w:t>
            </w:r>
            <w:r w:rsidRPr="00F827DD">
              <w:rPr>
                <w:rFonts w:ascii="Calibri" w:eastAsia="Times New Roman" w:hAnsi="Calibri" w:cs="Times New Roman"/>
              </w:rPr>
              <w:t>Au,</w:t>
            </w:r>
            <w:r w:rsidR="00D92863" w:rsidRPr="00F827DD">
              <w:rPr>
                <w:rFonts w:ascii="Calibri" w:eastAsia="Times New Roman" w:hAnsi="Calibri" w:cs="Times New Roman"/>
              </w:rPr>
              <w:t xml:space="preserve"> </w:t>
            </w:r>
            <w:r w:rsidRPr="00F827DD">
              <w:rPr>
                <w:rFonts w:ascii="Calibri" w:eastAsia="Times New Roman" w:hAnsi="Calibri" w:cs="Times New Roman"/>
              </w:rPr>
              <w:t>Mo,</w:t>
            </w:r>
            <w:r w:rsidR="00D92863" w:rsidRPr="00F827DD">
              <w:rPr>
                <w:rFonts w:ascii="Calibri" w:eastAsia="Times New Roman" w:hAnsi="Calibri" w:cs="Times New Roman"/>
              </w:rPr>
              <w:t xml:space="preserve"> </w:t>
            </w:r>
            <w:r w:rsidRPr="00F827DD">
              <w:rPr>
                <w:rFonts w:ascii="Calibri" w:eastAsia="Times New Roman" w:hAnsi="Calibri" w:cs="Times New Roman"/>
              </w:rPr>
              <w:t>Rh, V</w:t>
            </w:r>
          </w:p>
        </w:tc>
        <w:tc>
          <w:tcPr>
            <w:tcW w:w="846" w:type="pct"/>
            <w:tcBorders>
              <w:top w:val="nil"/>
              <w:left w:val="nil"/>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5</w:t>
            </w:r>
          </w:p>
        </w:tc>
      </w:tr>
      <w:tr w:rsidR="00831DD2" w:rsidRPr="00F827DD" w:rsidTr="00E64ED0">
        <w:trPr>
          <w:trHeight w:val="300"/>
        </w:trPr>
        <w:tc>
          <w:tcPr>
            <w:tcW w:w="687" w:type="pct"/>
            <w:tcBorders>
              <w:top w:val="nil"/>
              <w:left w:val="single" w:sz="4" w:space="0" w:color="auto"/>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3</w:t>
            </w:r>
          </w:p>
        </w:tc>
        <w:tc>
          <w:tcPr>
            <w:tcW w:w="3467" w:type="pct"/>
            <w:tcBorders>
              <w:top w:val="nil"/>
              <w:left w:val="nil"/>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Ga,</w:t>
            </w:r>
            <w:r w:rsidR="00D92863" w:rsidRPr="00F827DD">
              <w:rPr>
                <w:rFonts w:ascii="Calibri" w:eastAsia="Times New Roman" w:hAnsi="Calibri" w:cs="Times New Roman"/>
              </w:rPr>
              <w:t xml:space="preserve"> </w:t>
            </w:r>
            <w:r w:rsidRPr="00F827DD">
              <w:rPr>
                <w:rFonts w:ascii="Calibri" w:eastAsia="Times New Roman" w:hAnsi="Calibri" w:cs="Times New Roman"/>
              </w:rPr>
              <w:t>Ge,</w:t>
            </w:r>
            <w:r w:rsidR="00D92863" w:rsidRPr="00F827DD">
              <w:rPr>
                <w:rFonts w:ascii="Calibri" w:eastAsia="Times New Roman" w:hAnsi="Calibri" w:cs="Times New Roman"/>
              </w:rPr>
              <w:t xml:space="preserve"> </w:t>
            </w:r>
            <w:r w:rsidRPr="00F827DD">
              <w:rPr>
                <w:rFonts w:ascii="Calibri" w:eastAsia="Times New Roman" w:hAnsi="Calibri" w:cs="Times New Roman"/>
              </w:rPr>
              <w:t>Li,</w:t>
            </w:r>
            <w:r w:rsidR="00D92863" w:rsidRPr="00F827DD">
              <w:rPr>
                <w:rFonts w:ascii="Calibri" w:eastAsia="Times New Roman" w:hAnsi="Calibri" w:cs="Times New Roman"/>
              </w:rPr>
              <w:t xml:space="preserve"> </w:t>
            </w:r>
            <w:r w:rsidRPr="00F827DD">
              <w:rPr>
                <w:rFonts w:ascii="Calibri" w:eastAsia="Times New Roman" w:hAnsi="Calibri" w:cs="Times New Roman"/>
              </w:rPr>
              <w:t>Nb,</w:t>
            </w:r>
            <w:r w:rsidR="00D92863" w:rsidRPr="00F827DD">
              <w:rPr>
                <w:rFonts w:ascii="Calibri" w:eastAsia="Times New Roman" w:hAnsi="Calibri" w:cs="Times New Roman"/>
              </w:rPr>
              <w:t xml:space="preserve"> </w:t>
            </w:r>
            <w:r w:rsidRPr="00F827DD">
              <w:rPr>
                <w:rFonts w:ascii="Calibri" w:eastAsia="Times New Roman" w:hAnsi="Calibri" w:cs="Times New Roman"/>
              </w:rPr>
              <w:t>Ta,</w:t>
            </w:r>
            <w:r w:rsidR="00D92863" w:rsidRPr="00F827DD">
              <w:rPr>
                <w:rFonts w:ascii="Calibri" w:eastAsia="Times New Roman" w:hAnsi="Calibri" w:cs="Times New Roman"/>
              </w:rPr>
              <w:t xml:space="preserve"> </w:t>
            </w:r>
            <w:r w:rsidRPr="00F827DD">
              <w:rPr>
                <w:rFonts w:ascii="Calibri" w:eastAsia="Times New Roman" w:hAnsi="Calibri" w:cs="Times New Roman"/>
              </w:rPr>
              <w:t>Ti</w:t>
            </w:r>
          </w:p>
        </w:tc>
        <w:tc>
          <w:tcPr>
            <w:tcW w:w="846" w:type="pct"/>
            <w:tcBorders>
              <w:top w:val="nil"/>
              <w:left w:val="nil"/>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6</w:t>
            </w:r>
          </w:p>
        </w:tc>
      </w:tr>
      <w:tr w:rsidR="00831DD2" w:rsidRPr="00F827DD" w:rsidTr="00E64ED0">
        <w:trPr>
          <w:trHeight w:val="300"/>
        </w:trPr>
        <w:tc>
          <w:tcPr>
            <w:tcW w:w="687" w:type="pct"/>
            <w:tcBorders>
              <w:top w:val="nil"/>
              <w:left w:val="single" w:sz="4" w:space="0" w:color="auto"/>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2</w:t>
            </w:r>
          </w:p>
        </w:tc>
        <w:tc>
          <w:tcPr>
            <w:tcW w:w="3467" w:type="pct"/>
            <w:tcBorders>
              <w:top w:val="nil"/>
              <w:left w:val="nil"/>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Be,</w:t>
            </w:r>
            <w:r w:rsidR="00D92863" w:rsidRPr="00F827DD">
              <w:rPr>
                <w:rFonts w:ascii="Calibri" w:eastAsia="Times New Roman" w:hAnsi="Calibri" w:cs="Times New Roman"/>
              </w:rPr>
              <w:t xml:space="preserve"> </w:t>
            </w:r>
            <w:r w:rsidRPr="00F827DD">
              <w:rPr>
                <w:rFonts w:ascii="Calibri" w:eastAsia="Times New Roman" w:hAnsi="Calibri" w:cs="Times New Roman"/>
              </w:rPr>
              <w:t>Bi,</w:t>
            </w:r>
            <w:r w:rsidR="00D92863" w:rsidRPr="00F827DD">
              <w:rPr>
                <w:rFonts w:ascii="Calibri" w:eastAsia="Times New Roman" w:hAnsi="Calibri" w:cs="Times New Roman"/>
              </w:rPr>
              <w:t xml:space="preserve"> </w:t>
            </w:r>
            <w:r w:rsidRPr="00F827DD">
              <w:rPr>
                <w:rFonts w:ascii="Calibri" w:eastAsia="Times New Roman" w:hAnsi="Calibri" w:cs="Times New Roman"/>
              </w:rPr>
              <w:t>Cs,</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Dy</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Hf</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r w:rsidRPr="00F827DD">
              <w:rPr>
                <w:rFonts w:ascii="Calibri" w:eastAsia="Times New Roman" w:hAnsi="Calibri" w:cs="Times New Roman"/>
              </w:rPr>
              <w:t>Mg,</w:t>
            </w:r>
            <w:r w:rsidR="00D92863" w:rsidRPr="00F827DD">
              <w:rPr>
                <w:rFonts w:ascii="Calibri" w:eastAsia="Times New Roman" w:hAnsi="Calibri" w:cs="Times New Roman"/>
              </w:rPr>
              <w:t xml:space="preserve"> </w:t>
            </w:r>
            <w:r w:rsidRPr="00F827DD">
              <w:rPr>
                <w:rFonts w:ascii="Calibri" w:eastAsia="Times New Roman" w:hAnsi="Calibri" w:cs="Times New Roman"/>
              </w:rPr>
              <w:t>Se,</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Zr</w:t>
            </w:r>
            <w:proofErr w:type="spellEnd"/>
          </w:p>
        </w:tc>
        <w:tc>
          <w:tcPr>
            <w:tcW w:w="846" w:type="pct"/>
            <w:tcBorders>
              <w:top w:val="nil"/>
              <w:left w:val="nil"/>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8</w:t>
            </w:r>
          </w:p>
        </w:tc>
      </w:tr>
      <w:tr w:rsidR="00831DD2" w:rsidRPr="00F827DD" w:rsidTr="00E64ED0">
        <w:trPr>
          <w:trHeight w:val="300"/>
        </w:trPr>
        <w:tc>
          <w:tcPr>
            <w:tcW w:w="687" w:type="pct"/>
            <w:tcBorders>
              <w:top w:val="nil"/>
              <w:left w:val="single" w:sz="4" w:space="0" w:color="auto"/>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1</w:t>
            </w:r>
          </w:p>
        </w:tc>
        <w:tc>
          <w:tcPr>
            <w:tcW w:w="3467" w:type="pct"/>
            <w:tcBorders>
              <w:top w:val="nil"/>
              <w:left w:val="nil"/>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B,</w:t>
            </w:r>
            <w:r w:rsidR="00D92863" w:rsidRPr="00F827DD">
              <w:rPr>
                <w:rFonts w:ascii="Calibri" w:eastAsia="Times New Roman" w:hAnsi="Calibri" w:cs="Times New Roman"/>
              </w:rPr>
              <w:t xml:space="preserve"> </w:t>
            </w:r>
            <w:r w:rsidRPr="00F827DD">
              <w:rPr>
                <w:rFonts w:ascii="Calibri" w:eastAsia="Times New Roman" w:hAnsi="Calibri" w:cs="Times New Roman"/>
              </w:rPr>
              <w:t>C,</w:t>
            </w:r>
            <w:r w:rsidR="00D92863" w:rsidRPr="00F827DD">
              <w:rPr>
                <w:rFonts w:ascii="Calibri" w:eastAsia="Times New Roman" w:hAnsi="Calibri" w:cs="Times New Roman"/>
              </w:rPr>
              <w:t xml:space="preserve"> </w:t>
            </w:r>
            <w:r w:rsidRPr="00F827DD">
              <w:rPr>
                <w:rFonts w:ascii="Calibri" w:eastAsia="Times New Roman" w:hAnsi="Calibri" w:cs="Times New Roman"/>
              </w:rPr>
              <w:t>Ce,</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Eu</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r w:rsidRPr="00F827DD">
              <w:rPr>
                <w:rFonts w:ascii="Calibri" w:eastAsia="Times New Roman" w:hAnsi="Calibri" w:cs="Times New Roman"/>
              </w:rPr>
              <w:t>F,</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Gd</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r w:rsidRPr="00F827DD">
              <w:rPr>
                <w:rFonts w:ascii="Calibri" w:eastAsia="Times New Roman" w:hAnsi="Calibri" w:cs="Times New Roman"/>
              </w:rPr>
              <w:t>La,</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Nd</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Pr</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r w:rsidRPr="00F827DD">
              <w:rPr>
                <w:rFonts w:ascii="Calibri" w:eastAsia="Times New Roman" w:hAnsi="Calibri" w:cs="Times New Roman"/>
              </w:rPr>
              <w:t>Re,</w:t>
            </w:r>
            <w:r w:rsidR="00D92863" w:rsidRPr="00F827DD">
              <w:rPr>
                <w:rFonts w:ascii="Calibri" w:eastAsia="Times New Roman" w:hAnsi="Calibri" w:cs="Times New Roman"/>
              </w:rPr>
              <w:t xml:space="preserve"> </w:t>
            </w:r>
            <w:r w:rsidRPr="00F827DD">
              <w:rPr>
                <w:rFonts w:ascii="Calibri" w:eastAsia="Times New Roman" w:hAnsi="Calibri" w:cs="Times New Roman"/>
              </w:rPr>
              <w:t>S,</w:t>
            </w:r>
            <w:r w:rsidR="00D92863" w:rsidRPr="00F827DD">
              <w:rPr>
                <w:rFonts w:ascii="Calibri" w:eastAsia="Times New Roman" w:hAnsi="Calibri" w:cs="Times New Roman"/>
              </w:rPr>
              <w:t xml:space="preserve"> </w:t>
            </w:r>
            <w:r w:rsidRPr="00F827DD">
              <w:rPr>
                <w:rFonts w:ascii="Calibri" w:eastAsia="Times New Roman" w:hAnsi="Calibri" w:cs="Times New Roman"/>
              </w:rPr>
              <w:t>Si,</w:t>
            </w:r>
            <w:r w:rsidR="00D92863" w:rsidRPr="00F827DD">
              <w:rPr>
                <w:rFonts w:ascii="Calibri" w:eastAsia="Times New Roman" w:hAnsi="Calibri" w:cs="Times New Roman"/>
              </w:rPr>
              <w:t xml:space="preserve"> </w:t>
            </w:r>
            <w:r w:rsidRPr="00F827DD">
              <w:rPr>
                <w:rFonts w:ascii="Calibri" w:eastAsia="Times New Roman" w:hAnsi="Calibri" w:cs="Times New Roman"/>
              </w:rPr>
              <w:t>Sm,</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Sr</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r w:rsidRPr="00F827DD">
              <w:rPr>
                <w:rFonts w:ascii="Calibri" w:eastAsia="Times New Roman" w:hAnsi="Calibri" w:cs="Times New Roman"/>
              </w:rPr>
              <w:t>Tb,</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Te</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r w:rsidRPr="00F827DD">
              <w:rPr>
                <w:rFonts w:ascii="Calibri" w:eastAsia="Times New Roman" w:hAnsi="Calibri" w:cs="Times New Roman"/>
              </w:rPr>
              <w:t>Tl,</w:t>
            </w:r>
            <w:r w:rsidR="00D92863" w:rsidRPr="00F827DD">
              <w:rPr>
                <w:rFonts w:ascii="Calibri" w:eastAsia="Times New Roman" w:hAnsi="Calibri" w:cs="Times New Roman"/>
              </w:rPr>
              <w:t xml:space="preserve"> </w:t>
            </w:r>
            <w:r w:rsidRPr="00F827DD">
              <w:rPr>
                <w:rFonts w:ascii="Calibri" w:eastAsia="Times New Roman" w:hAnsi="Calibri" w:cs="Times New Roman"/>
              </w:rPr>
              <w:t>U,</w:t>
            </w:r>
            <w:r w:rsidR="00D92863" w:rsidRPr="00F827DD">
              <w:rPr>
                <w:rFonts w:ascii="Calibri" w:eastAsia="Times New Roman" w:hAnsi="Calibri" w:cs="Times New Roman"/>
              </w:rPr>
              <w:t xml:space="preserve"> </w:t>
            </w:r>
            <w:r w:rsidRPr="00F827DD">
              <w:rPr>
                <w:rFonts w:ascii="Calibri" w:eastAsia="Times New Roman" w:hAnsi="Calibri" w:cs="Times New Roman"/>
              </w:rPr>
              <w:t>Y</w:t>
            </w:r>
          </w:p>
        </w:tc>
        <w:tc>
          <w:tcPr>
            <w:tcW w:w="846" w:type="pct"/>
            <w:tcBorders>
              <w:top w:val="nil"/>
              <w:left w:val="nil"/>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19</w:t>
            </w:r>
          </w:p>
        </w:tc>
      </w:tr>
      <w:tr w:rsidR="00831DD2" w:rsidRPr="00F827DD" w:rsidTr="00E64ED0">
        <w:trPr>
          <w:trHeight w:val="300"/>
        </w:trPr>
        <w:tc>
          <w:tcPr>
            <w:tcW w:w="687" w:type="pct"/>
            <w:tcBorders>
              <w:top w:val="nil"/>
              <w:left w:val="single" w:sz="4" w:space="0" w:color="auto"/>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0</w:t>
            </w:r>
          </w:p>
        </w:tc>
        <w:tc>
          <w:tcPr>
            <w:tcW w:w="3467" w:type="pct"/>
            <w:tcBorders>
              <w:top w:val="nil"/>
              <w:left w:val="nil"/>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Ba,</w:t>
            </w:r>
            <w:r w:rsidR="00D92863" w:rsidRPr="00F827DD">
              <w:rPr>
                <w:rFonts w:ascii="Calibri" w:eastAsia="Times New Roman" w:hAnsi="Calibri" w:cs="Times New Roman"/>
              </w:rPr>
              <w:t xml:space="preserve"> </w:t>
            </w:r>
            <w:r w:rsidRPr="00F827DD">
              <w:rPr>
                <w:rFonts w:ascii="Calibri" w:eastAsia="Times New Roman" w:hAnsi="Calibri" w:cs="Times New Roman"/>
              </w:rPr>
              <w:t>Ca,</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Er</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r w:rsidRPr="00F827DD">
              <w:rPr>
                <w:rFonts w:ascii="Calibri" w:eastAsia="Times New Roman" w:hAnsi="Calibri" w:cs="Times New Roman"/>
              </w:rPr>
              <w:t>H,</w:t>
            </w:r>
            <w:r w:rsidR="00D92863" w:rsidRPr="00F827DD">
              <w:rPr>
                <w:rFonts w:ascii="Calibri" w:eastAsia="Times New Roman" w:hAnsi="Calibri" w:cs="Times New Roman"/>
              </w:rPr>
              <w:t xml:space="preserve"> </w:t>
            </w:r>
            <w:r w:rsidRPr="00F827DD">
              <w:rPr>
                <w:rFonts w:ascii="Calibri" w:eastAsia="Times New Roman" w:hAnsi="Calibri" w:cs="Times New Roman"/>
              </w:rPr>
              <w:t>He,</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Ho</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Ir</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r w:rsidRPr="00F827DD">
              <w:rPr>
                <w:rFonts w:ascii="Calibri" w:eastAsia="Times New Roman" w:hAnsi="Calibri" w:cs="Times New Roman"/>
              </w:rPr>
              <w:t>Lu,</w:t>
            </w:r>
            <w:r w:rsidR="00D92863" w:rsidRPr="00F827DD">
              <w:rPr>
                <w:rFonts w:ascii="Calibri" w:eastAsia="Times New Roman" w:hAnsi="Calibri" w:cs="Times New Roman"/>
              </w:rPr>
              <w:t xml:space="preserve"> </w:t>
            </w:r>
            <w:r w:rsidRPr="00F827DD">
              <w:rPr>
                <w:rFonts w:ascii="Calibri" w:eastAsia="Times New Roman" w:hAnsi="Calibri" w:cs="Times New Roman"/>
              </w:rPr>
              <w:t>O,</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Os</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r w:rsidRPr="00F827DD">
              <w:rPr>
                <w:rFonts w:ascii="Calibri" w:eastAsia="Times New Roman" w:hAnsi="Calibri" w:cs="Times New Roman"/>
              </w:rPr>
              <w:t>Ra,</w:t>
            </w:r>
            <w:r w:rsidR="00D92863" w:rsidRPr="00F827DD">
              <w:rPr>
                <w:rFonts w:ascii="Calibri" w:eastAsia="Times New Roman" w:hAnsi="Calibri" w:cs="Times New Roman"/>
              </w:rPr>
              <w:t xml:space="preserve"> </w:t>
            </w:r>
            <w:r w:rsidRPr="00F827DD">
              <w:rPr>
                <w:rFonts w:ascii="Calibri" w:eastAsia="Times New Roman" w:hAnsi="Calibri" w:cs="Times New Roman"/>
              </w:rPr>
              <w:t>Ru,</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Sc</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Th</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r w:rsidRPr="00F827DD">
              <w:rPr>
                <w:rFonts w:ascii="Calibri" w:eastAsia="Times New Roman" w:hAnsi="Calibri" w:cs="Times New Roman"/>
              </w:rPr>
              <w:t>Tm,</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Yb</w:t>
            </w:r>
            <w:proofErr w:type="spellEnd"/>
          </w:p>
        </w:tc>
        <w:tc>
          <w:tcPr>
            <w:tcW w:w="846" w:type="pct"/>
            <w:tcBorders>
              <w:top w:val="nil"/>
              <w:left w:val="nil"/>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16</w:t>
            </w:r>
          </w:p>
        </w:tc>
      </w:tr>
      <w:tr w:rsidR="00831DD2" w:rsidRPr="00F827DD" w:rsidTr="00E64ED0">
        <w:trPr>
          <w:trHeight w:val="300"/>
        </w:trPr>
        <w:tc>
          <w:tcPr>
            <w:tcW w:w="687" w:type="pct"/>
            <w:tcBorders>
              <w:top w:val="nil"/>
              <w:left w:val="single" w:sz="4" w:space="0" w:color="auto"/>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Excluded</w:t>
            </w:r>
          </w:p>
        </w:tc>
        <w:tc>
          <w:tcPr>
            <w:tcW w:w="3467" w:type="pct"/>
            <w:tcBorders>
              <w:top w:val="nil"/>
              <w:left w:val="nil"/>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Ac,</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Ar</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r w:rsidRPr="00F827DD">
              <w:rPr>
                <w:rFonts w:ascii="Calibri" w:eastAsia="Times New Roman" w:hAnsi="Calibri" w:cs="Times New Roman"/>
              </w:rPr>
              <w:t>At,</w:t>
            </w:r>
            <w:r w:rsidR="00D92863" w:rsidRPr="00F827DD">
              <w:rPr>
                <w:rFonts w:ascii="Calibri" w:eastAsia="Times New Roman" w:hAnsi="Calibri" w:cs="Times New Roman"/>
              </w:rPr>
              <w:t xml:space="preserve"> </w:t>
            </w:r>
            <w:r w:rsidRPr="00F827DD">
              <w:rPr>
                <w:rFonts w:ascii="Calibri" w:eastAsia="Times New Roman" w:hAnsi="Calibri" w:cs="Times New Roman"/>
              </w:rPr>
              <w:t>Br,</w:t>
            </w:r>
            <w:r w:rsidR="00D92863" w:rsidRPr="00F827DD">
              <w:rPr>
                <w:rFonts w:ascii="Calibri" w:eastAsia="Times New Roman" w:hAnsi="Calibri" w:cs="Times New Roman"/>
              </w:rPr>
              <w:t xml:space="preserve"> </w:t>
            </w:r>
            <w:r w:rsidRPr="00F827DD">
              <w:rPr>
                <w:rFonts w:ascii="Calibri" w:eastAsia="Times New Roman" w:hAnsi="Calibri" w:cs="Times New Roman"/>
              </w:rPr>
              <w:t>Fr,</w:t>
            </w:r>
            <w:r w:rsidR="00D92863" w:rsidRPr="00F827DD">
              <w:rPr>
                <w:rFonts w:ascii="Calibri" w:eastAsia="Times New Roman" w:hAnsi="Calibri" w:cs="Times New Roman"/>
              </w:rPr>
              <w:t xml:space="preserve"> </w:t>
            </w:r>
            <w:r w:rsidRPr="00F827DD">
              <w:rPr>
                <w:rFonts w:ascii="Calibri" w:eastAsia="Times New Roman" w:hAnsi="Calibri" w:cs="Times New Roman"/>
              </w:rPr>
              <w:t>I,</w:t>
            </w:r>
            <w:r w:rsidR="00D92863" w:rsidRPr="00F827DD">
              <w:rPr>
                <w:rFonts w:ascii="Calibri" w:eastAsia="Times New Roman" w:hAnsi="Calibri" w:cs="Times New Roman"/>
              </w:rPr>
              <w:t xml:space="preserve"> </w:t>
            </w:r>
            <w:r w:rsidRPr="00F827DD">
              <w:rPr>
                <w:rFonts w:ascii="Calibri" w:eastAsia="Times New Roman" w:hAnsi="Calibri" w:cs="Times New Roman"/>
              </w:rPr>
              <w:t>K, Kr,</w:t>
            </w:r>
            <w:r w:rsidR="00D92863" w:rsidRPr="00F827DD">
              <w:rPr>
                <w:rFonts w:ascii="Calibri" w:eastAsia="Times New Roman" w:hAnsi="Calibri" w:cs="Times New Roman"/>
              </w:rPr>
              <w:t xml:space="preserve"> </w:t>
            </w:r>
            <w:r w:rsidRPr="00F827DD">
              <w:rPr>
                <w:rFonts w:ascii="Calibri" w:eastAsia="Times New Roman" w:hAnsi="Calibri" w:cs="Times New Roman"/>
              </w:rPr>
              <w:t>Na,</w:t>
            </w:r>
            <w:r w:rsidR="00D92863" w:rsidRPr="00F827DD">
              <w:rPr>
                <w:rFonts w:ascii="Calibri" w:eastAsia="Times New Roman" w:hAnsi="Calibri" w:cs="Times New Roman"/>
              </w:rPr>
              <w:t xml:space="preserve"> </w:t>
            </w:r>
            <w:r w:rsidRPr="00F827DD">
              <w:rPr>
                <w:rFonts w:ascii="Calibri" w:eastAsia="Times New Roman" w:hAnsi="Calibri" w:cs="Times New Roman"/>
              </w:rPr>
              <w:t>Ne,</w:t>
            </w:r>
            <w:r w:rsidR="00D92863" w:rsidRPr="00F827DD">
              <w:rPr>
                <w:rFonts w:ascii="Calibri" w:eastAsia="Times New Roman" w:hAnsi="Calibri" w:cs="Times New Roman"/>
              </w:rPr>
              <w:t xml:space="preserve"> </w:t>
            </w:r>
            <w:r w:rsidRPr="00F827DD">
              <w:rPr>
                <w:rFonts w:ascii="Calibri" w:eastAsia="Times New Roman" w:hAnsi="Calibri" w:cs="Times New Roman"/>
              </w:rPr>
              <w:t>Pa,</w:t>
            </w:r>
            <w:r w:rsidR="00D92863" w:rsidRPr="00F827DD">
              <w:rPr>
                <w:rFonts w:ascii="Calibri" w:eastAsia="Times New Roman" w:hAnsi="Calibri" w:cs="Times New Roman"/>
              </w:rPr>
              <w:t xml:space="preserve"> </w:t>
            </w:r>
            <w:r w:rsidRPr="00F827DD">
              <w:rPr>
                <w:rFonts w:ascii="Calibri" w:eastAsia="Times New Roman" w:hAnsi="Calibri" w:cs="Times New Roman"/>
              </w:rPr>
              <w:t>Pm,</w:t>
            </w:r>
            <w:r w:rsidR="00D92863" w:rsidRPr="00F827DD">
              <w:rPr>
                <w:rFonts w:ascii="Calibri" w:eastAsia="Times New Roman" w:hAnsi="Calibri" w:cs="Times New Roman"/>
              </w:rPr>
              <w:t xml:space="preserve"> </w:t>
            </w:r>
            <w:r w:rsidRPr="00F827DD">
              <w:rPr>
                <w:rFonts w:ascii="Calibri" w:eastAsia="Times New Roman" w:hAnsi="Calibri" w:cs="Times New Roman"/>
              </w:rPr>
              <w:t>Po,</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Rb</w:t>
            </w:r>
            <w:proofErr w:type="spellEnd"/>
            <w:r w:rsidRPr="00F827DD">
              <w:rPr>
                <w:rFonts w:ascii="Calibri" w:eastAsia="Times New Roman" w:hAnsi="Calibri" w:cs="Times New Roman"/>
              </w:rPr>
              <w:t>,</w:t>
            </w:r>
            <w:r w:rsidR="00D92863" w:rsidRPr="00F827DD">
              <w:rPr>
                <w:rFonts w:ascii="Calibri" w:eastAsia="Times New Roman" w:hAnsi="Calibri" w:cs="Times New Roman"/>
              </w:rPr>
              <w:t xml:space="preserve"> </w:t>
            </w:r>
            <w:r w:rsidRPr="00F827DD">
              <w:rPr>
                <w:rFonts w:ascii="Calibri" w:eastAsia="Times New Roman" w:hAnsi="Calibri" w:cs="Times New Roman"/>
              </w:rPr>
              <w:t>Rn,</w:t>
            </w:r>
            <w:r w:rsidR="00D92863" w:rsidRPr="00F827DD">
              <w:rPr>
                <w:rFonts w:ascii="Calibri" w:eastAsia="Times New Roman" w:hAnsi="Calibri" w:cs="Times New Roman"/>
              </w:rPr>
              <w:t xml:space="preserve"> </w:t>
            </w:r>
            <w:r w:rsidRPr="00F827DD">
              <w:rPr>
                <w:rFonts w:ascii="Calibri" w:eastAsia="Times New Roman" w:hAnsi="Calibri" w:cs="Times New Roman"/>
              </w:rPr>
              <w:t>Tc,</w:t>
            </w:r>
            <w:r w:rsidR="00D92863" w:rsidRPr="00F827DD">
              <w:rPr>
                <w:rFonts w:ascii="Calibri" w:eastAsia="Times New Roman" w:hAnsi="Calibri" w:cs="Times New Roman"/>
              </w:rPr>
              <w:t xml:space="preserve"> </w:t>
            </w:r>
            <w:proofErr w:type="spellStart"/>
            <w:r w:rsidRPr="00F827DD">
              <w:rPr>
                <w:rFonts w:ascii="Calibri" w:eastAsia="Times New Roman" w:hAnsi="Calibri" w:cs="Times New Roman"/>
              </w:rPr>
              <w:t>Xe</w:t>
            </w:r>
            <w:proofErr w:type="spellEnd"/>
            <w:r w:rsidRPr="00F827DD">
              <w:rPr>
                <w:rFonts w:ascii="Calibri" w:eastAsia="Times New Roman" w:hAnsi="Calibri" w:cs="Times New Roman"/>
              </w:rPr>
              <w:t>,</w:t>
            </w:r>
          </w:p>
        </w:tc>
        <w:tc>
          <w:tcPr>
            <w:tcW w:w="846" w:type="pct"/>
            <w:tcBorders>
              <w:top w:val="nil"/>
              <w:left w:val="nil"/>
              <w:bottom w:val="single" w:sz="4" w:space="0" w:color="auto"/>
              <w:right w:val="single" w:sz="4" w:space="0" w:color="auto"/>
            </w:tcBorders>
            <w:shd w:val="clear" w:color="auto" w:fill="auto"/>
            <w:noWrap/>
            <w:vAlign w:val="bottom"/>
            <w:hideMark/>
          </w:tcPr>
          <w:p w:rsidR="00831DD2" w:rsidRPr="00F827DD" w:rsidRDefault="00831DD2" w:rsidP="00831DD2">
            <w:pPr>
              <w:spacing w:after="0" w:line="240" w:lineRule="auto"/>
              <w:jc w:val="center"/>
              <w:rPr>
                <w:rFonts w:ascii="Calibri" w:eastAsia="Times New Roman" w:hAnsi="Calibri" w:cs="Times New Roman"/>
              </w:rPr>
            </w:pPr>
            <w:r w:rsidRPr="00F827DD">
              <w:rPr>
                <w:rFonts w:ascii="Calibri" w:eastAsia="Times New Roman" w:hAnsi="Calibri" w:cs="Times New Roman"/>
              </w:rPr>
              <w:t>17</w:t>
            </w:r>
          </w:p>
        </w:tc>
      </w:tr>
    </w:tbl>
    <w:p w:rsidR="00255DBB" w:rsidRPr="00F827DD" w:rsidRDefault="00255DBB" w:rsidP="003C45AA">
      <w:pPr>
        <w:spacing w:after="0" w:line="360" w:lineRule="auto"/>
        <w:jc w:val="both"/>
      </w:pPr>
    </w:p>
    <w:p w:rsidR="00D4406E" w:rsidRPr="00F827DD" w:rsidRDefault="001D5FB7" w:rsidP="003C45AA">
      <w:pPr>
        <w:spacing w:after="0" w:line="360" w:lineRule="auto"/>
        <w:ind w:firstLine="720"/>
        <w:jc w:val="both"/>
        <w:rPr>
          <w:rFonts w:ascii="Times New Roman" w:hAnsi="Times New Roman" w:cs="Times New Roman"/>
        </w:rPr>
      </w:pPr>
      <w:r w:rsidRPr="00F827DD">
        <w:rPr>
          <w:rFonts w:ascii="Times New Roman" w:hAnsi="Times New Roman" w:cs="Times New Roman"/>
        </w:rPr>
        <w:t>I</w:t>
      </w:r>
      <w:r w:rsidR="003C45AA" w:rsidRPr="00F827DD">
        <w:rPr>
          <w:rFonts w:ascii="Times New Roman" w:hAnsi="Times New Roman" w:cs="Times New Roman"/>
        </w:rPr>
        <w:t>n contrast, 21 elements have 5</w:t>
      </w:r>
      <w:r w:rsidRPr="00F827DD">
        <w:rPr>
          <w:rFonts w:ascii="Times New Roman" w:hAnsi="Times New Roman" w:cs="Times New Roman"/>
        </w:rPr>
        <w:t xml:space="preserve"> or more cycles each. Iron</w:t>
      </w:r>
      <w:r w:rsidR="00183F89" w:rsidRPr="00F827DD">
        <w:rPr>
          <w:rFonts w:ascii="Times New Roman" w:hAnsi="Times New Roman" w:cs="Times New Roman"/>
        </w:rPr>
        <w:t xml:space="preserve"> has been the most widely analys</w:t>
      </w:r>
      <w:r w:rsidRPr="00F827DD">
        <w:rPr>
          <w:rFonts w:ascii="Times New Roman" w:hAnsi="Times New Roman" w:cs="Times New Roman"/>
        </w:rPr>
        <w:t>ed, with mor</w:t>
      </w:r>
      <w:r w:rsidR="00D4406E" w:rsidRPr="00F827DD">
        <w:rPr>
          <w:rFonts w:ascii="Times New Roman" w:hAnsi="Times New Roman" w:cs="Times New Roman"/>
        </w:rPr>
        <w:t>e than 200 cycles available, with</w:t>
      </w:r>
      <w:r w:rsidRPr="00F827DD">
        <w:rPr>
          <w:rFonts w:ascii="Times New Roman" w:hAnsi="Times New Roman" w:cs="Times New Roman"/>
        </w:rPr>
        <w:t xml:space="preserve"> copper, chromium, lead, </w:t>
      </w:r>
      <w:proofErr w:type="gramStart"/>
      <w:r w:rsidRPr="00F827DD">
        <w:rPr>
          <w:rFonts w:ascii="Times New Roman" w:hAnsi="Times New Roman" w:cs="Times New Roman"/>
        </w:rPr>
        <w:t>n</w:t>
      </w:r>
      <w:r w:rsidR="00D4406E" w:rsidRPr="00F827DD">
        <w:rPr>
          <w:rFonts w:ascii="Times New Roman" w:hAnsi="Times New Roman" w:cs="Times New Roman"/>
        </w:rPr>
        <w:t>ickel</w:t>
      </w:r>
      <w:proofErr w:type="gramEnd"/>
      <w:r w:rsidR="00D4406E" w:rsidRPr="00F827DD">
        <w:rPr>
          <w:rFonts w:ascii="Times New Roman" w:hAnsi="Times New Roman" w:cs="Times New Roman"/>
        </w:rPr>
        <w:t>, silver and zinc each being represented with</w:t>
      </w:r>
      <w:r w:rsidRPr="00F827DD">
        <w:rPr>
          <w:rFonts w:ascii="Times New Roman" w:hAnsi="Times New Roman" w:cs="Times New Roman"/>
        </w:rPr>
        <w:t xml:space="preserve"> 70 cycles</w:t>
      </w:r>
      <w:r w:rsidR="00D4406E" w:rsidRPr="00F827DD">
        <w:rPr>
          <w:rFonts w:ascii="Times New Roman" w:hAnsi="Times New Roman" w:cs="Times New Roman"/>
        </w:rPr>
        <w:t xml:space="preserve"> or more</w:t>
      </w:r>
      <w:r w:rsidR="003C45AA" w:rsidRPr="00F827DD">
        <w:rPr>
          <w:rFonts w:ascii="Times New Roman" w:hAnsi="Times New Roman" w:cs="Times New Roman"/>
        </w:rPr>
        <w:t xml:space="preserve">. The reason for the large number of </w:t>
      </w:r>
      <w:r w:rsidR="00D4406E" w:rsidRPr="00F827DD">
        <w:rPr>
          <w:rFonts w:ascii="Times New Roman" w:hAnsi="Times New Roman" w:cs="Times New Roman"/>
        </w:rPr>
        <w:t>cycles for aluminium, copper and iron</w:t>
      </w:r>
      <w:r w:rsidR="003C45AA" w:rsidRPr="00F827DD">
        <w:rPr>
          <w:rFonts w:ascii="Times New Roman" w:hAnsi="Times New Roman" w:cs="Times New Roman"/>
        </w:rPr>
        <w:t xml:space="preserve"> is in all probability, </w:t>
      </w:r>
      <w:r w:rsidR="00D4406E" w:rsidRPr="00F827DD">
        <w:rPr>
          <w:rFonts w:ascii="Times New Roman" w:hAnsi="Times New Roman" w:cs="Times New Roman"/>
        </w:rPr>
        <w:t xml:space="preserve">due to significance and greater availability and transparency of data. </w:t>
      </w:r>
    </w:p>
    <w:p w:rsidR="001D5FB7" w:rsidRPr="00F827DD" w:rsidRDefault="001D5FB7" w:rsidP="00933C68">
      <w:pPr>
        <w:spacing w:after="0" w:line="360" w:lineRule="auto"/>
        <w:ind w:firstLine="720"/>
        <w:jc w:val="both"/>
        <w:rPr>
          <w:rFonts w:ascii="Times New Roman" w:hAnsi="Times New Roman" w:cs="Times New Roman"/>
        </w:rPr>
      </w:pPr>
      <w:r w:rsidRPr="00F827DD">
        <w:rPr>
          <w:rFonts w:ascii="Times New Roman" w:hAnsi="Times New Roman" w:cs="Times New Roman"/>
        </w:rPr>
        <w:t>Although knowledge in the area of anthropogenic cycles of elements has increased</w:t>
      </w:r>
      <w:r w:rsidR="00C24128" w:rsidRPr="00F827DD">
        <w:rPr>
          <w:rFonts w:ascii="Times New Roman" w:hAnsi="Times New Roman" w:cs="Times New Roman"/>
        </w:rPr>
        <w:t>,</w:t>
      </w:r>
      <w:r w:rsidRPr="00F827DD">
        <w:rPr>
          <w:rFonts w:ascii="Times New Roman" w:hAnsi="Times New Roman" w:cs="Times New Roman"/>
        </w:rPr>
        <w:t xml:space="preserve"> due to an increase i</w:t>
      </w:r>
      <w:r w:rsidR="003C45AA" w:rsidRPr="00F827DD">
        <w:rPr>
          <w:rFonts w:ascii="Times New Roman" w:hAnsi="Times New Roman" w:cs="Times New Roman"/>
        </w:rPr>
        <w:t>n the number of publications. T</w:t>
      </w:r>
      <w:r w:rsidRPr="00F827DD">
        <w:rPr>
          <w:rFonts w:ascii="Times New Roman" w:hAnsi="Times New Roman" w:cs="Times New Roman"/>
        </w:rPr>
        <w:t xml:space="preserve">his knowledge comes from a select number of research groups. These research groups are based in 4 geographical areas, namely the USA, Europe, Japan and mainland China.  </w:t>
      </w:r>
    </w:p>
    <w:p w:rsidR="000903D6" w:rsidRPr="00F827DD" w:rsidRDefault="001D5FB7" w:rsidP="00933C68">
      <w:pPr>
        <w:spacing w:after="0" w:line="360" w:lineRule="auto"/>
        <w:ind w:firstLine="720"/>
        <w:jc w:val="both"/>
        <w:rPr>
          <w:rFonts w:ascii="Times New Roman" w:hAnsi="Times New Roman" w:cs="Times New Roman"/>
        </w:rPr>
      </w:pPr>
      <w:r w:rsidRPr="00F827DD">
        <w:rPr>
          <w:rFonts w:ascii="Times New Roman" w:hAnsi="Times New Roman" w:cs="Times New Roman"/>
        </w:rPr>
        <w:t>In the USA, two organisations</w:t>
      </w:r>
      <w:r w:rsidR="00C24128" w:rsidRPr="00F827DD">
        <w:rPr>
          <w:rFonts w:ascii="Times New Roman" w:hAnsi="Times New Roman" w:cs="Times New Roman"/>
        </w:rPr>
        <w:t>,</w:t>
      </w:r>
      <w:r w:rsidRPr="00F827DD">
        <w:rPr>
          <w:rFonts w:ascii="Times New Roman" w:hAnsi="Times New Roman" w:cs="Times New Roman"/>
        </w:rPr>
        <w:t xml:space="preserve"> the USGS and the </w:t>
      </w:r>
      <w:r w:rsidR="003C45AA" w:rsidRPr="00F827DD">
        <w:rPr>
          <w:rFonts w:ascii="Times New Roman" w:hAnsi="Times New Roman" w:cs="Times New Roman"/>
        </w:rPr>
        <w:t xml:space="preserve">Yale Centre for Industrial Ecology </w:t>
      </w:r>
      <w:r w:rsidRPr="00F827DD">
        <w:rPr>
          <w:rFonts w:ascii="Times New Roman" w:hAnsi="Times New Roman" w:cs="Times New Roman"/>
        </w:rPr>
        <w:t>provide the bulk of contributions. Contributions from the USGS are mainly cen</w:t>
      </w:r>
      <w:r w:rsidR="00C24128" w:rsidRPr="00F827DD">
        <w:rPr>
          <w:rFonts w:ascii="Times New Roman" w:hAnsi="Times New Roman" w:cs="Times New Roman"/>
        </w:rPr>
        <w:t>tered on the USA between the time period of</w:t>
      </w:r>
      <w:r w:rsidRPr="00F827DD">
        <w:rPr>
          <w:rFonts w:ascii="Times New Roman" w:hAnsi="Times New Roman" w:cs="Times New Roman"/>
        </w:rPr>
        <w:t xml:space="preserve"> 1990 and 2005.</w:t>
      </w:r>
      <w:r w:rsidR="0084295B" w:rsidRPr="00F827DD">
        <w:rPr>
          <w:rFonts w:ascii="Times New Roman" w:hAnsi="Times New Roman" w:cs="Times New Roman"/>
        </w:rPr>
        <w:t xml:space="preserve"> In the early 90s, the USGS was the first organisation to characterize </w:t>
      </w:r>
      <w:r w:rsidR="0084295B" w:rsidRPr="00F827DD">
        <w:rPr>
          <w:rFonts w:ascii="Times New Roman" w:hAnsi="Times New Roman" w:cs="Times New Roman"/>
        </w:rPr>
        <w:lastRenderedPageBreak/>
        <w:t xml:space="preserve">cycles notably for cobalt </w:t>
      </w:r>
      <w:r w:rsidR="0084295B" w:rsidRPr="00F827DD">
        <w:rPr>
          <w:rFonts w:ascii="Times New Roman" w:hAnsi="Times New Roman" w:cs="Times New Roman"/>
          <w:noProof/>
        </w:rPr>
        <w:t>(Shedd 1993)</w:t>
      </w:r>
      <w:r w:rsidR="0084295B" w:rsidRPr="00F827DD">
        <w:rPr>
          <w:rFonts w:ascii="Times New Roman" w:hAnsi="Times New Roman" w:cs="Times New Roman"/>
        </w:rPr>
        <w:t xml:space="preserve">, vanadium </w:t>
      </w:r>
      <w:r w:rsidR="0084295B" w:rsidRPr="00F827DD">
        <w:rPr>
          <w:rFonts w:ascii="Times New Roman" w:hAnsi="Times New Roman" w:cs="Times New Roman"/>
          <w:noProof/>
        </w:rPr>
        <w:t>(Hilliard 1994)</w:t>
      </w:r>
      <w:r w:rsidR="0084295B" w:rsidRPr="00F827DD">
        <w:rPr>
          <w:rFonts w:ascii="Times New Roman" w:hAnsi="Times New Roman" w:cs="Times New Roman"/>
        </w:rPr>
        <w:t xml:space="preserve"> and zinc </w:t>
      </w:r>
      <w:r w:rsidR="0084295B" w:rsidRPr="00F827DD">
        <w:rPr>
          <w:rFonts w:ascii="Times New Roman" w:hAnsi="Times New Roman" w:cs="Times New Roman"/>
          <w:noProof/>
        </w:rPr>
        <w:t>(Jolly 1993)</w:t>
      </w:r>
      <w:r w:rsidR="0084295B" w:rsidRPr="00F827DD">
        <w:rPr>
          <w:rFonts w:ascii="Times New Roman" w:hAnsi="Times New Roman" w:cs="Times New Roman"/>
        </w:rPr>
        <w:t>. In the intervening time period since, approximately 25 cycles of metals</w:t>
      </w:r>
      <w:r w:rsidR="00D4406E" w:rsidRPr="00F827DD">
        <w:rPr>
          <w:rFonts w:ascii="Times New Roman" w:hAnsi="Times New Roman" w:cs="Times New Roman"/>
        </w:rPr>
        <w:t xml:space="preserve"> (</w:t>
      </w:r>
      <w:r w:rsidR="0055131E" w:rsidRPr="00F827DD">
        <w:rPr>
          <w:rFonts w:ascii="Times New Roman" w:hAnsi="Times New Roman" w:cs="Times New Roman"/>
        </w:rPr>
        <w:t>i.e. aluminium, beryllium, cadmium, chromium, copper, gallium, gold, indium, iron and steel, lead, magnesium, manganese, mercury, molybdenum, nickel, PGM, selenium, silver, tantalum, titanium, tin, tungsten, zirconium)</w:t>
      </w:r>
      <w:r w:rsidR="003C45AA" w:rsidRPr="00F827DD">
        <w:rPr>
          <w:rFonts w:ascii="Times New Roman" w:hAnsi="Times New Roman" w:cs="Times New Roman"/>
        </w:rPr>
        <w:t xml:space="preserve"> at the single country-</w:t>
      </w:r>
      <w:r w:rsidR="0084295B" w:rsidRPr="00F827DD">
        <w:rPr>
          <w:rFonts w:ascii="Times New Roman" w:hAnsi="Times New Roman" w:cs="Times New Roman"/>
        </w:rPr>
        <w:t>level have been created.</w:t>
      </w:r>
      <w:r w:rsidR="000903D6" w:rsidRPr="00F827DD">
        <w:rPr>
          <w:rFonts w:ascii="Times New Roman" w:hAnsi="Times New Roman" w:cs="Times New Roman"/>
        </w:rPr>
        <w:t xml:space="preserve"> </w:t>
      </w:r>
    </w:p>
    <w:p w:rsidR="001D5FB7" w:rsidRPr="00F827DD" w:rsidRDefault="00786A16" w:rsidP="00933C68">
      <w:pPr>
        <w:spacing w:after="0" w:line="360" w:lineRule="auto"/>
        <w:ind w:firstLine="720"/>
        <w:jc w:val="both"/>
        <w:rPr>
          <w:rFonts w:ascii="Times New Roman" w:hAnsi="Times New Roman" w:cs="Times New Roman"/>
        </w:rPr>
      </w:pPr>
      <w:r w:rsidRPr="00F827DD">
        <w:rPr>
          <w:rFonts w:ascii="Times New Roman" w:hAnsi="Times New Roman" w:cs="Times New Roman"/>
        </w:rPr>
        <w:t>On the contrary</w:t>
      </w:r>
      <w:r w:rsidR="001D5FB7" w:rsidRPr="00F827DD">
        <w:rPr>
          <w:rFonts w:ascii="Times New Roman" w:hAnsi="Times New Roman" w:cs="Times New Roman"/>
        </w:rPr>
        <w:t>, the Yale Group has been active since 2000, with an empha</w:t>
      </w:r>
      <w:r w:rsidR="00C24128" w:rsidRPr="00F827DD">
        <w:rPr>
          <w:rFonts w:ascii="Times New Roman" w:hAnsi="Times New Roman" w:cs="Times New Roman"/>
        </w:rPr>
        <w:t xml:space="preserve">sis on ‘criticality of metals’. </w:t>
      </w:r>
      <w:r w:rsidRPr="00F827DD">
        <w:rPr>
          <w:rFonts w:ascii="Times New Roman" w:hAnsi="Times New Roman" w:cs="Times New Roman"/>
        </w:rPr>
        <w:t>Led by Thomas Gra</w:t>
      </w:r>
      <w:r w:rsidR="003C45AA" w:rsidRPr="00F827DD">
        <w:rPr>
          <w:rFonts w:ascii="Times New Roman" w:hAnsi="Times New Roman" w:cs="Times New Roman"/>
        </w:rPr>
        <w:t>e</w:t>
      </w:r>
      <w:r w:rsidRPr="00F827DD">
        <w:rPr>
          <w:rFonts w:ascii="Times New Roman" w:hAnsi="Times New Roman" w:cs="Times New Roman"/>
        </w:rPr>
        <w:t>del,</w:t>
      </w:r>
      <w:r w:rsidR="001D5FB7" w:rsidRPr="00F827DD">
        <w:rPr>
          <w:rFonts w:ascii="Times New Roman" w:hAnsi="Times New Roman" w:cs="Times New Roman"/>
        </w:rPr>
        <w:t xml:space="preserve"> </w:t>
      </w:r>
      <w:r w:rsidR="003C45AA" w:rsidRPr="00F827DD">
        <w:rPr>
          <w:rFonts w:ascii="Times New Roman" w:hAnsi="Times New Roman" w:cs="Times New Roman"/>
        </w:rPr>
        <w:t>the early</w:t>
      </w:r>
      <w:r w:rsidR="001D5FB7" w:rsidRPr="00F827DD">
        <w:rPr>
          <w:rFonts w:ascii="Times New Roman" w:hAnsi="Times New Roman" w:cs="Times New Roman"/>
        </w:rPr>
        <w:t xml:space="preserve"> aim</w:t>
      </w:r>
      <w:r w:rsidRPr="00F827DD">
        <w:rPr>
          <w:rFonts w:ascii="Times New Roman" w:hAnsi="Times New Roman" w:cs="Times New Roman"/>
        </w:rPr>
        <w:t xml:space="preserve">s of the research group centred </w:t>
      </w:r>
      <w:r w:rsidR="005473E0" w:rsidRPr="00F827DD">
        <w:rPr>
          <w:rFonts w:ascii="Times New Roman" w:hAnsi="Times New Roman" w:cs="Times New Roman"/>
        </w:rPr>
        <w:t>on</w:t>
      </w:r>
      <w:r w:rsidR="001D5FB7" w:rsidRPr="00F827DD">
        <w:rPr>
          <w:rFonts w:ascii="Times New Roman" w:hAnsi="Times New Roman" w:cs="Times New Roman"/>
        </w:rPr>
        <w:t xml:space="preserve"> assessment of criticality for 62 elements (base year 2008), made up of metals, metalloids and other elements from the periodic table. Publications of some </w:t>
      </w:r>
      <w:r w:rsidR="003C45AA" w:rsidRPr="00F827DD">
        <w:rPr>
          <w:rFonts w:ascii="Times New Roman" w:hAnsi="Times New Roman" w:cs="Times New Roman"/>
        </w:rPr>
        <w:t xml:space="preserve">of the </w:t>
      </w:r>
      <w:r w:rsidR="001E5DC7" w:rsidRPr="00F827DD">
        <w:rPr>
          <w:rFonts w:ascii="Times New Roman" w:hAnsi="Times New Roman" w:cs="Times New Roman"/>
        </w:rPr>
        <w:t>elements</w:t>
      </w:r>
      <w:r w:rsidR="003C45AA" w:rsidRPr="00F827DD">
        <w:rPr>
          <w:rFonts w:ascii="Times New Roman" w:hAnsi="Times New Roman" w:cs="Times New Roman"/>
        </w:rPr>
        <w:t xml:space="preserve"> investigated by the research team led by Graedel</w:t>
      </w:r>
      <w:r w:rsidR="001E5DC7" w:rsidRPr="00F827DD">
        <w:rPr>
          <w:rFonts w:ascii="Times New Roman" w:hAnsi="Times New Roman" w:cs="Times New Roman"/>
        </w:rPr>
        <w:t xml:space="preserve"> include: chromium </w:t>
      </w:r>
      <w:r w:rsidR="001E5DC7" w:rsidRPr="00F827DD">
        <w:rPr>
          <w:rFonts w:ascii="Times New Roman" w:hAnsi="Times New Roman" w:cs="Times New Roman"/>
          <w:noProof/>
        </w:rPr>
        <w:t>(Johnson et al. 2006)</w:t>
      </w:r>
      <w:r w:rsidR="001D5FB7" w:rsidRPr="00F827DD">
        <w:rPr>
          <w:rFonts w:ascii="Times New Roman" w:hAnsi="Times New Roman" w:cs="Times New Roman"/>
        </w:rPr>
        <w:t xml:space="preserve">, copper </w:t>
      </w:r>
      <w:r w:rsidR="001E5DC7" w:rsidRPr="00F827DD">
        <w:rPr>
          <w:rFonts w:ascii="Times New Roman" w:hAnsi="Times New Roman" w:cs="Times New Roman"/>
          <w:noProof/>
        </w:rPr>
        <w:t>(Graedel et al. 2004)</w:t>
      </w:r>
      <w:r w:rsidR="001E5DC7" w:rsidRPr="00F827DD">
        <w:rPr>
          <w:rFonts w:ascii="Times New Roman" w:hAnsi="Times New Roman" w:cs="Times New Roman"/>
        </w:rPr>
        <w:t xml:space="preserve">, iron </w:t>
      </w:r>
      <w:r w:rsidR="001E5DC7" w:rsidRPr="00F827DD">
        <w:rPr>
          <w:rFonts w:ascii="Times New Roman" w:hAnsi="Times New Roman" w:cs="Times New Roman"/>
          <w:noProof/>
        </w:rPr>
        <w:t>(Wang et al. 2007)</w:t>
      </w:r>
      <w:r w:rsidR="00D86839" w:rsidRPr="00F827DD">
        <w:rPr>
          <w:rFonts w:ascii="Times New Roman" w:hAnsi="Times New Roman" w:cs="Times New Roman"/>
        </w:rPr>
        <w:t xml:space="preserve">, lead </w:t>
      </w:r>
      <w:r w:rsidR="00D86839" w:rsidRPr="00F827DD">
        <w:rPr>
          <w:rFonts w:ascii="Times New Roman" w:hAnsi="Times New Roman" w:cs="Times New Roman"/>
          <w:noProof/>
        </w:rPr>
        <w:t>(Mao &amp; Graedel 2009)</w:t>
      </w:r>
      <w:r w:rsidR="001D5FB7" w:rsidRPr="00F827DD">
        <w:rPr>
          <w:rFonts w:ascii="Times New Roman" w:hAnsi="Times New Roman" w:cs="Times New Roman"/>
        </w:rPr>
        <w:t xml:space="preserve">, nickel </w:t>
      </w:r>
      <w:r w:rsidR="00D86839" w:rsidRPr="00F827DD">
        <w:rPr>
          <w:rFonts w:ascii="Times New Roman" w:hAnsi="Times New Roman" w:cs="Times New Roman"/>
          <w:noProof/>
        </w:rPr>
        <w:t>(Reck et al. 2008)</w:t>
      </w:r>
      <w:r w:rsidR="001D5FB7" w:rsidRPr="00F827DD">
        <w:rPr>
          <w:rFonts w:ascii="Times New Roman" w:hAnsi="Times New Roman" w:cs="Times New Roman"/>
        </w:rPr>
        <w:t xml:space="preserve">, silver </w:t>
      </w:r>
      <w:r w:rsidR="00D86839" w:rsidRPr="00F827DD">
        <w:rPr>
          <w:rFonts w:ascii="Times New Roman" w:hAnsi="Times New Roman" w:cs="Times New Roman"/>
          <w:noProof/>
        </w:rPr>
        <w:t>(Johnson et al. 2005)</w:t>
      </w:r>
      <w:r w:rsidR="001D5FB7" w:rsidRPr="00F827DD">
        <w:rPr>
          <w:rFonts w:ascii="Times New Roman" w:hAnsi="Times New Roman" w:cs="Times New Roman"/>
        </w:rPr>
        <w:t xml:space="preserve"> and zinc </w:t>
      </w:r>
      <w:r w:rsidR="00D86839" w:rsidRPr="00F827DD">
        <w:rPr>
          <w:rFonts w:ascii="Times New Roman" w:hAnsi="Times New Roman" w:cs="Times New Roman"/>
          <w:noProof/>
        </w:rPr>
        <w:t>(Graedel et al. 2005)</w:t>
      </w:r>
      <w:r w:rsidR="001D5FB7" w:rsidRPr="00F827DD">
        <w:rPr>
          <w:rFonts w:ascii="Times New Roman" w:hAnsi="Times New Roman" w:cs="Times New Roman"/>
        </w:rPr>
        <w:t xml:space="preserve"> to name a few. However enhancement in criticality methodology particularly with the development and use of 3 dimensions - supply risk, environmental implications, and vulnerability to supply restriction has extended this work. With the emphasis, currently in progress, on alternative development scenarios of criticality for the period 2010 to 2050.</w:t>
      </w:r>
    </w:p>
    <w:p w:rsidR="001D5FB7" w:rsidRPr="00F827DD" w:rsidRDefault="001D5FB7" w:rsidP="00933C68">
      <w:pPr>
        <w:spacing w:after="0" w:line="360" w:lineRule="auto"/>
        <w:ind w:firstLine="720"/>
        <w:jc w:val="both"/>
        <w:rPr>
          <w:rFonts w:ascii="Times New Roman" w:hAnsi="Times New Roman" w:cs="Times New Roman"/>
        </w:rPr>
      </w:pPr>
      <w:r w:rsidRPr="00F827DD">
        <w:rPr>
          <w:rFonts w:ascii="Times New Roman" w:hAnsi="Times New Roman" w:cs="Times New Roman"/>
        </w:rPr>
        <w:t>Conversely most o</w:t>
      </w:r>
      <w:r w:rsidR="005473E0" w:rsidRPr="00F827DD">
        <w:rPr>
          <w:rFonts w:ascii="Times New Roman" w:hAnsi="Times New Roman" w:cs="Times New Roman"/>
        </w:rPr>
        <w:t>f the metal cycles in Europe were</w:t>
      </w:r>
      <w:r w:rsidRPr="00F827DD">
        <w:rPr>
          <w:rFonts w:ascii="Times New Roman" w:hAnsi="Times New Roman" w:cs="Times New Roman"/>
        </w:rPr>
        <w:t xml:space="preserve"> heavy metals based, with </w:t>
      </w:r>
      <w:r w:rsidR="005473E0" w:rsidRPr="00F827DD">
        <w:rPr>
          <w:rFonts w:ascii="Times New Roman" w:hAnsi="Times New Roman" w:cs="Times New Roman"/>
        </w:rPr>
        <w:t xml:space="preserve">more of an emphasis placed on environmental emissions and </w:t>
      </w:r>
      <w:r w:rsidR="00D10F2B" w:rsidRPr="00F827DD">
        <w:rPr>
          <w:rFonts w:ascii="Times New Roman" w:hAnsi="Times New Roman" w:cs="Times New Roman"/>
        </w:rPr>
        <w:t>health risks</w:t>
      </w:r>
      <w:r w:rsidR="005473E0" w:rsidRPr="00F827DD">
        <w:rPr>
          <w:rFonts w:ascii="Times New Roman" w:hAnsi="Times New Roman" w:cs="Times New Roman"/>
        </w:rPr>
        <w:t xml:space="preserve"> to people</w:t>
      </w:r>
      <w:r w:rsidR="00D10F2B" w:rsidRPr="00F827DD">
        <w:rPr>
          <w:rFonts w:ascii="Times New Roman" w:hAnsi="Times New Roman" w:cs="Times New Roman"/>
        </w:rPr>
        <w:t xml:space="preserve">. </w:t>
      </w:r>
      <w:r w:rsidRPr="00F827DD">
        <w:rPr>
          <w:rFonts w:ascii="Times New Roman" w:hAnsi="Times New Roman" w:cs="Times New Roman"/>
        </w:rPr>
        <w:t>Seven countries (Austria, Denmark, Germany, the Netherlands, Norway, Sweden and Switz</w:t>
      </w:r>
      <w:r w:rsidR="005473E0" w:rsidRPr="00F827DD">
        <w:rPr>
          <w:rFonts w:ascii="Times New Roman" w:hAnsi="Times New Roman" w:cs="Times New Roman"/>
        </w:rPr>
        <w:t>erland) are regarded as</w:t>
      </w:r>
      <w:r w:rsidR="00C663DE" w:rsidRPr="00F827DD">
        <w:rPr>
          <w:rFonts w:ascii="Times New Roman" w:hAnsi="Times New Roman" w:cs="Times New Roman"/>
        </w:rPr>
        <w:t xml:space="preserve"> leaders</w:t>
      </w:r>
      <w:r w:rsidRPr="00F827DD">
        <w:rPr>
          <w:rFonts w:ascii="Times New Roman" w:hAnsi="Times New Roman" w:cs="Times New Roman"/>
        </w:rPr>
        <w:t xml:space="preserve"> in the field of MFA a</w:t>
      </w:r>
      <w:r w:rsidR="0088528B" w:rsidRPr="00F827DD">
        <w:rPr>
          <w:rFonts w:ascii="Times New Roman" w:hAnsi="Times New Roman" w:cs="Times New Roman"/>
        </w:rPr>
        <w:t>nd SFA studies according to a study from</w:t>
      </w:r>
      <w:r w:rsidR="005473E0" w:rsidRPr="00F827DD">
        <w:rPr>
          <w:rFonts w:ascii="Times New Roman" w:hAnsi="Times New Roman" w:cs="Times New Roman"/>
        </w:rPr>
        <w:t xml:space="preserve"> the</w:t>
      </w:r>
      <w:r w:rsidR="0088528B" w:rsidRPr="00F827DD">
        <w:rPr>
          <w:rFonts w:ascii="Times New Roman" w:hAnsi="Times New Roman" w:cs="Times New Roman"/>
        </w:rPr>
        <w:t xml:space="preserve"> </w:t>
      </w:r>
      <w:r w:rsidR="009051E4" w:rsidRPr="00F827DD">
        <w:rPr>
          <w:rFonts w:ascii="Times New Roman" w:hAnsi="Times New Roman" w:cs="Times New Roman"/>
          <w:noProof/>
        </w:rPr>
        <w:t xml:space="preserve">(Herczeg et al., </w:t>
      </w:r>
      <w:r w:rsidR="0088528B" w:rsidRPr="00F827DD">
        <w:rPr>
          <w:rFonts w:ascii="Times New Roman" w:hAnsi="Times New Roman" w:cs="Times New Roman"/>
          <w:noProof/>
        </w:rPr>
        <w:t>2007)</w:t>
      </w:r>
      <w:r w:rsidRPr="00F827DD">
        <w:rPr>
          <w:rFonts w:ascii="Times New Roman" w:eastAsiaTheme="minorHAnsi" w:hAnsi="Times New Roman" w:cs="Times New Roman"/>
          <w:lang w:eastAsia="en-US"/>
        </w:rPr>
        <w:t>. The most active of groups within these 7 nations</w:t>
      </w:r>
      <w:r w:rsidR="005473E0" w:rsidRPr="00F827DD">
        <w:rPr>
          <w:rFonts w:ascii="Times New Roman" w:eastAsiaTheme="minorHAnsi" w:hAnsi="Times New Roman" w:cs="Times New Roman"/>
          <w:lang w:eastAsia="en-US"/>
        </w:rPr>
        <w:t>,</w:t>
      </w:r>
      <w:r w:rsidRPr="00F827DD">
        <w:rPr>
          <w:rFonts w:ascii="Times New Roman" w:eastAsiaTheme="minorHAnsi" w:hAnsi="Times New Roman" w:cs="Times New Roman"/>
          <w:lang w:eastAsia="en-US"/>
        </w:rPr>
        <w:t xml:space="preserve"> appears to be the Centre for Environmental Studies at Leiden University. This group in close collaboration with the USGS were the first to develop country level SFA framework and apply it to elements such as cadmium</w:t>
      </w:r>
      <w:r w:rsidR="0088528B" w:rsidRPr="00F827DD">
        <w:rPr>
          <w:rFonts w:ascii="Times New Roman" w:eastAsiaTheme="minorHAnsi" w:hAnsi="Times New Roman" w:cs="Times New Roman"/>
          <w:lang w:eastAsia="en-US"/>
        </w:rPr>
        <w:t xml:space="preserve"> </w:t>
      </w:r>
      <w:r w:rsidR="0088528B" w:rsidRPr="00F827DD">
        <w:rPr>
          <w:rFonts w:ascii="Times New Roman" w:eastAsiaTheme="minorHAnsi" w:hAnsi="Times New Roman" w:cs="Times New Roman"/>
          <w:noProof/>
          <w:lang w:eastAsia="en-US"/>
        </w:rPr>
        <w:t>(Van der Voet et al. 1994)</w:t>
      </w:r>
      <w:r w:rsidRPr="00F827DD">
        <w:rPr>
          <w:rFonts w:ascii="Times New Roman" w:eastAsiaTheme="minorHAnsi" w:hAnsi="Times New Roman" w:cs="Times New Roman"/>
          <w:lang w:eastAsia="en-US"/>
        </w:rPr>
        <w:t>, chlorine</w:t>
      </w:r>
      <w:r w:rsidR="0088528B" w:rsidRPr="00F827DD">
        <w:rPr>
          <w:rFonts w:ascii="Times New Roman" w:eastAsiaTheme="minorHAnsi" w:hAnsi="Times New Roman" w:cs="Times New Roman"/>
          <w:lang w:eastAsia="en-US"/>
        </w:rPr>
        <w:t xml:space="preserve"> </w:t>
      </w:r>
      <w:r w:rsidR="0088528B" w:rsidRPr="00F827DD">
        <w:rPr>
          <w:rFonts w:ascii="Times New Roman" w:eastAsiaTheme="minorHAnsi" w:hAnsi="Times New Roman" w:cs="Times New Roman"/>
          <w:noProof/>
          <w:lang w:eastAsia="en-US"/>
        </w:rPr>
        <w:t>(Kleijn et al. 1994)</w:t>
      </w:r>
      <w:r w:rsidRPr="00F827DD">
        <w:rPr>
          <w:rFonts w:ascii="Times New Roman" w:eastAsiaTheme="minorHAnsi" w:hAnsi="Times New Roman" w:cs="Times New Roman"/>
          <w:lang w:eastAsia="en-US"/>
        </w:rPr>
        <w:t xml:space="preserve"> and nitrogen</w:t>
      </w:r>
      <w:r w:rsidR="0088528B" w:rsidRPr="00F827DD">
        <w:rPr>
          <w:rFonts w:ascii="Times New Roman" w:eastAsiaTheme="minorHAnsi" w:hAnsi="Times New Roman" w:cs="Times New Roman"/>
          <w:lang w:eastAsia="en-US"/>
        </w:rPr>
        <w:t xml:space="preserve"> </w:t>
      </w:r>
      <w:r w:rsidR="00F3572D" w:rsidRPr="00F827DD">
        <w:rPr>
          <w:rFonts w:ascii="Times New Roman" w:eastAsiaTheme="minorHAnsi" w:hAnsi="Times New Roman" w:cs="Times New Roman"/>
          <w:noProof/>
          <w:lang w:eastAsia="en-US"/>
        </w:rPr>
        <w:t>(Van der Voet et al. 1996)</w:t>
      </w:r>
      <w:r w:rsidR="0088528B" w:rsidRPr="00F827DD">
        <w:rPr>
          <w:rFonts w:ascii="Times New Roman" w:eastAsiaTheme="minorHAnsi" w:hAnsi="Times New Roman" w:cs="Times New Roman"/>
          <w:lang w:eastAsia="en-US"/>
        </w:rPr>
        <w:t>.</w:t>
      </w:r>
      <w:r w:rsidR="00F3572D" w:rsidRPr="00F827DD">
        <w:rPr>
          <w:rFonts w:ascii="Times New Roman" w:eastAsiaTheme="minorHAnsi" w:hAnsi="Times New Roman" w:cs="Times New Roman"/>
          <w:lang w:eastAsia="en-US"/>
        </w:rPr>
        <w:t xml:space="preserve"> </w:t>
      </w:r>
      <w:r w:rsidR="0088528B" w:rsidRPr="00F827DD">
        <w:rPr>
          <w:rFonts w:ascii="Times New Roman" w:eastAsiaTheme="minorHAnsi" w:hAnsi="Times New Roman" w:cs="Times New Roman"/>
          <w:lang w:eastAsia="en-US"/>
        </w:rPr>
        <w:t>Fur</w:t>
      </w:r>
      <w:r w:rsidRPr="00F827DD">
        <w:rPr>
          <w:rFonts w:ascii="Times New Roman" w:eastAsiaTheme="minorHAnsi" w:hAnsi="Times New Roman" w:cs="Times New Roman"/>
          <w:lang w:eastAsia="en-US"/>
        </w:rPr>
        <w:t>ther development of the framework by Leiden University led to indicators that could be derived from stock and flow analysis of heavy metals. M</w:t>
      </w:r>
      <w:r w:rsidR="00F65CE2">
        <w:rPr>
          <w:rFonts w:ascii="Times New Roman" w:eastAsiaTheme="minorHAnsi" w:hAnsi="Times New Roman" w:cs="Times New Roman"/>
          <w:lang w:eastAsia="en-US"/>
        </w:rPr>
        <w:t xml:space="preserve">ore recently Leiden University </w:t>
      </w:r>
      <w:r w:rsidRPr="00F827DD">
        <w:rPr>
          <w:rFonts w:ascii="Times New Roman" w:eastAsiaTheme="minorHAnsi" w:hAnsi="Times New Roman" w:cs="Times New Roman"/>
          <w:lang w:eastAsia="en-US"/>
        </w:rPr>
        <w:t xml:space="preserve">as developed dynamic modelling methods to conduct future scenario predictions of stocks and </w:t>
      </w:r>
      <w:r w:rsidR="00F3572D" w:rsidRPr="00F827DD">
        <w:rPr>
          <w:rFonts w:ascii="Times New Roman" w:eastAsiaTheme="minorHAnsi" w:hAnsi="Times New Roman" w:cs="Times New Roman"/>
          <w:lang w:eastAsia="en-US"/>
        </w:rPr>
        <w:t xml:space="preserve">flows of metals </w:t>
      </w:r>
      <w:r w:rsidR="00F3572D" w:rsidRPr="00F827DD">
        <w:rPr>
          <w:rFonts w:ascii="Times New Roman" w:eastAsiaTheme="minorHAnsi" w:hAnsi="Times New Roman" w:cs="Times New Roman"/>
          <w:noProof/>
          <w:lang w:eastAsia="en-US"/>
        </w:rPr>
        <w:t>(Elshkaki et al. 2005)</w:t>
      </w:r>
      <w:r w:rsidRPr="00F827DD">
        <w:rPr>
          <w:rFonts w:ascii="Times New Roman" w:eastAsiaTheme="minorHAnsi" w:hAnsi="Times New Roman" w:cs="Times New Roman"/>
          <w:lang w:eastAsia="en-US"/>
        </w:rPr>
        <w:t>.</w:t>
      </w:r>
    </w:p>
    <w:p w:rsidR="001D5FB7" w:rsidRPr="00F827DD" w:rsidRDefault="001D5FB7" w:rsidP="00933C68">
      <w:pPr>
        <w:autoSpaceDE w:val="0"/>
        <w:autoSpaceDN w:val="0"/>
        <w:adjustRightInd w:val="0"/>
        <w:spacing w:after="0" w:line="360" w:lineRule="auto"/>
        <w:ind w:firstLine="720"/>
        <w:contextualSpacing/>
        <w:jc w:val="both"/>
        <w:rPr>
          <w:rFonts w:ascii="Times New Roman" w:hAnsi="Times New Roman" w:cs="Times New Roman"/>
        </w:rPr>
      </w:pPr>
      <w:r w:rsidRPr="00F827DD">
        <w:rPr>
          <w:rFonts w:ascii="Times New Roman" w:hAnsi="Times New Roman" w:cs="Times New Roman"/>
        </w:rPr>
        <w:t xml:space="preserve">In comparison to the USA and Europe, from 2005, virtually all elemental cycle publications from Japan relate to either Japan or its Asian neighbours. Contributions to the construction of these extremely detailed and comprehensive cycles of elements in Japan range from institutions such as the </w:t>
      </w:r>
      <w:r w:rsidRPr="00F827DD">
        <w:rPr>
          <w:rFonts w:ascii="Times New Roman" w:eastAsiaTheme="minorHAnsi" w:hAnsi="Times New Roman" w:cs="Times New Roman"/>
          <w:lang w:eastAsia="en-US"/>
        </w:rPr>
        <w:t>National Institute for Material Sciences (NIMS) and University of Tokyo to metallurgists and scientists. Based on recent pu</w:t>
      </w:r>
      <w:r w:rsidR="00711531" w:rsidRPr="00F827DD">
        <w:rPr>
          <w:rFonts w:ascii="Times New Roman" w:eastAsiaTheme="minorHAnsi" w:hAnsi="Times New Roman" w:cs="Times New Roman"/>
          <w:lang w:eastAsia="en-US"/>
        </w:rPr>
        <w:t xml:space="preserve">blications, three researchers: </w:t>
      </w:r>
      <w:r w:rsidR="00464C07" w:rsidRPr="00F827DD">
        <w:rPr>
          <w:rFonts w:ascii="Times New Roman" w:eastAsiaTheme="minorHAnsi" w:hAnsi="Times New Roman" w:cs="Times New Roman"/>
          <w:lang w:eastAsia="en-US"/>
        </w:rPr>
        <w:t xml:space="preserve">Ichiro </w:t>
      </w:r>
      <w:r w:rsidRPr="00F827DD">
        <w:rPr>
          <w:rFonts w:ascii="Times New Roman" w:eastAsiaTheme="minorHAnsi" w:hAnsi="Times New Roman" w:cs="Times New Roman"/>
          <w:lang w:eastAsia="en-US"/>
        </w:rPr>
        <w:t xml:space="preserve">Daigo, </w:t>
      </w:r>
      <w:r w:rsidR="00464C07" w:rsidRPr="00F827DD">
        <w:rPr>
          <w:rFonts w:ascii="Times New Roman" w:eastAsiaTheme="minorHAnsi" w:hAnsi="Times New Roman" w:cs="Times New Roman"/>
          <w:lang w:eastAsia="en-US"/>
        </w:rPr>
        <w:t xml:space="preserve">Kenichi </w:t>
      </w:r>
      <w:r w:rsidRPr="00F827DD">
        <w:rPr>
          <w:rFonts w:ascii="Times New Roman" w:eastAsiaTheme="minorHAnsi" w:hAnsi="Times New Roman" w:cs="Times New Roman"/>
          <w:lang w:eastAsia="en-US"/>
        </w:rPr>
        <w:t>Nakajima and</w:t>
      </w:r>
      <w:r w:rsidR="00464C07" w:rsidRPr="00F827DD">
        <w:rPr>
          <w:rFonts w:ascii="Times New Roman" w:eastAsiaTheme="minorHAnsi" w:hAnsi="Times New Roman" w:cs="Times New Roman"/>
          <w:lang w:eastAsia="en-US"/>
        </w:rPr>
        <w:t xml:space="preserve"> Tetsuya</w:t>
      </w:r>
      <w:r w:rsidRPr="00F827DD">
        <w:rPr>
          <w:rFonts w:ascii="Times New Roman" w:eastAsiaTheme="minorHAnsi" w:hAnsi="Times New Roman" w:cs="Times New Roman"/>
          <w:lang w:eastAsia="en-US"/>
        </w:rPr>
        <w:t xml:space="preserve"> </w:t>
      </w:r>
      <w:proofErr w:type="spellStart"/>
      <w:r w:rsidRPr="00F827DD">
        <w:rPr>
          <w:rFonts w:ascii="Times New Roman" w:eastAsiaTheme="minorHAnsi" w:hAnsi="Times New Roman" w:cs="Times New Roman"/>
          <w:lang w:eastAsia="en-US"/>
        </w:rPr>
        <w:t>Nagasaka</w:t>
      </w:r>
      <w:proofErr w:type="spellEnd"/>
      <w:r w:rsidRPr="00F827DD">
        <w:rPr>
          <w:rFonts w:ascii="Times New Roman" w:eastAsiaTheme="minorHAnsi" w:hAnsi="Times New Roman" w:cs="Times New Roman"/>
          <w:lang w:eastAsia="en-US"/>
        </w:rPr>
        <w:t xml:space="preserve"> </w:t>
      </w:r>
      <w:r w:rsidR="00464C07" w:rsidRPr="00F827DD">
        <w:rPr>
          <w:rFonts w:ascii="Times New Roman" w:eastAsiaTheme="minorHAnsi" w:hAnsi="Times New Roman" w:cs="Times New Roman"/>
          <w:lang w:eastAsia="en-US"/>
        </w:rPr>
        <w:t>are leading researchers in flow studies related to Japan</w:t>
      </w:r>
      <w:r w:rsidRPr="00F827DD">
        <w:rPr>
          <w:rFonts w:ascii="Times New Roman" w:eastAsiaTheme="minorHAnsi" w:hAnsi="Times New Roman" w:cs="Times New Roman"/>
          <w:lang w:eastAsia="en-US"/>
        </w:rPr>
        <w:t xml:space="preserve">. Elements investigated </w:t>
      </w:r>
      <w:r w:rsidR="00464C07" w:rsidRPr="00F827DD">
        <w:rPr>
          <w:rFonts w:ascii="Times New Roman" w:eastAsiaTheme="minorHAnsi" w:hAnsi="Times New Roman" w:cs="Times New Roman"/>
          <w:lang w:eastAsia="en-US"/>
        </w:rPr>
        <w:t xml:space="preserve">by these authors </w:t>
      </w:r>
      <w:r w:rsidR="00EA39B6" w:rsidRPr="00F827DD">
        <w:rPr>
          <w:rFonts w:ascii="Times New Roman" w:eastAsiaTheme="minorHAnsi" w:hAnsi="Times New Roman" w:cs="Times New Roman"/>
          <w:lang w:eastAsia="en-US"/>
        </w:rPr>
        <w:t xml:space="preserve">includes, </w:t>
      </w:r>
      <w:r w:rsidR="001E1407" w:rsidRPr="00F827DD">
        <w:rPr>
          <w:rFonts w:ascii="Times New Roman" w:eastAsiaTheme="minorHAnsi" w:hAnsi="Times New Roman" w:cs="Times New Roman"/>
          <w:lang w:eastAsia="en-US"/>
        </w:rPr>
        <w:t xml:space="preserve">aluminium </w:t>
      </w:r>
      <w:r w:rsidR="001E1407" w:rsidRPr="00F827DD">
        <w:rPr>
          <w:rFonts w:ascii="Times New Roman" w:eastAsiaTheme="minorHAnsi" w:hAnsi="Times New Roman" w:cs="Times New Roman"/>
          <w:noProof/>
          <w:lang w:eastAsia="en-US"/>
        </w:rPr>
        <w:t>(Hatayama et al. 2007)</w:t>
      </w:r>
      <w:r w:rsidR="001E1407" w:rsidRPr="00F827DD">
        <w:rPr>
          <w:rFonts w:ascii="Times New Roman" w:eastAsiaTheme="minorHAnsi" w:hAnsi="Times New Roman" w:cs="Times New Roman"/>
          <w:lang w:eastAsia="en-US"/>
        </w:rPr>
        <w:t xml:space="preserve">, chromium </w:t>
      </w:r>
      <w:r w:rsidR="001E1407" w:rsidRPr="00F827DD">
        <w:rPr>
          <w:rFonts w:ascii="Times New Roman" w:eastAsiaTheme="minorHAnsi" w:hAnsi="Times New Roman" w:cs="Times New Roman"/>
          <w:noProof/>
          <w:lang w:eastAsia="en-US"/>
        </w:rPr>
        <w:t>(Daigo et al. 2010)</w:t>
      </w:r>
      <w:r w:rsidR="001E1407" w:rsidRPr="00F827DD">
        <w:rPr>
          <w:rFonts w:ascii="Times New Roman" w:eastAsiaTheme="minorHAnsi" w:hAnsi="Times New Roman" w:cs="Times New Roman"/>
          <w:lang w:eastAsia="en-US"/>
        </w:rPr>
        <w:t xml:space="preserve">, copper </w:t>
      </w:r>
      <w:r w:rsidR="001E1407" w:rsidRPr="00F827DD">
        <w:rPr>
          <w:rFonts w:ascii="Times New Roman" w:eastAsiaTheme="minorHAnsi" w:hAnsi="Times New Roman" w:cs="Times New Roman"/>
          <w:noProof/>
          <w:lang w:eastAsia="en-US"/>
        </w:rPr>
        <w:t>(Daigo et al. 2009)</w:t>
      </w:r>
      <w:r w:rsidR="001E1407" w:rsidRPr="00F827DD">
        <w:rPr>
          <w:rFonts w:ascii="Times New Roman" w:eastAsiaTheme="minorHAnsi" w:hAnsi="Times New Roman" w:cs="Times New Roman"/>
          <w:lang w:eastAsia="en-US"/>
        </w:rPr>
        <w:t xml:space="preserve">, manganese </w:t>
      </w:r>
      <w:r w:rsidR="001E1407" w:rsidRPr="00F827DD">
        <w:rPr>
          <w:rFonts w:ascii="Times New Roman" w:eastAsiaTheme="minorHAnsi" w:hAnsi="Times New Roman" w:cs="Times New Roman"/>
          <w:noProof/>
          <w:lang w:eastAsia="en-US"/>
        </w:rPr>
        <w:t>(Nakajima et al. 2008)</w:t>
      </w:r>
      <w:r w:rsidR="001E1407" w:rsidRPr="00F827DD">
        <w:rPr>
          <w:rFonts w:ascii="Times New Roman" w:eastAsiaTheme="minorHAnsi" w:hAnsi="Times New Roman" w:cs="Times New Roman"/>
          <w:lang w:eastAsia="en-US"/>
        </w:rPr>
        <w:t xml:space="preserve">, molybdenum </w:t>
      </w:r>
      <w:r w:rsidR="001E1407" w:rsidRPr="00F827DD">
        <w:rPr>
          <w:rFonts w:ascii="Times New Roman" w:eastAsiaTheme="minorHAnsi" w:hAnsi="Times New Roman" w:cs="Times New Roman"/>
          <w:noProof/>
          <w:lang w:eastAsia="en-US"/>
        </w:rPr>
        <w:t>(Nakajima et al. 2007)</w:t>
      </w:r>
      <w:r w:rsidR="001E1407" w:rsidRPr="00F827DD">
        <w:rPr>
          <w:rFonts w:ascii="Times New Roman" w:eastAsiaTheme="minorHAnsi" w:hAnsi="Times New Roman" w:cs="Times New Roman"/>
          <w:lang w:eastAsia="en-US"/>
        </w:rPr>
        <w:t xml:space="preserve"> and </w:t>
      </w:r>
      <w:r w:rsidR="00EA39B6" w:rsidRPr="00F827DD">
        <w:rPr>
          <w:rFonts w:ascii="Times New Roman" w:eastAsiaTheme="minorHAnsi" w:hAnsi="Times New Roman" w:cs="Times New Roman"/>
          <w:lang w:eastAsia="en-US"/>
        </w:rPr>
        <w:t xml:space="preserve">stainless steel </w:t>
      </w:r>
      <w:r w:rsidR="00EA39B6" w:rsidRPr="00F827DD">
        <w:rPr>
          <w:rFonts w:ascii="Times New Roman" w:eastAsiaTheme="minorHAnsi" w:hAnsi="Times New Roman" w:cs="Times New Roman"/>
          <w:noProof/>
          <w:lang w:eastAsia="en-US"/>
        </w:rPr>
        <w:t>(Daigo et al. 2010)</w:t>
      </w:r>
      <w:r w:rsidRPr="00F827DD">
        <w:rPr>
          <w:rFonts w:ascii="Times New Roman" w:eastAsiaTheme="minorHAnsi" w:hAnsi="Times New Roman" w:cs="Times New Roman"/>
          <w:lang w:eastAsia="en-US"/>
        </w:rPr>
        <w:t>. A specific feature of Japanese studies compar</w:t>
      </w:r>
      <w:r w:rsidR="00D10F2B" w:rsidRPr="00F827DD">
        <w:rPr>
          <w:rFonts w:ascii="Times New Roman" w:eastAsiaTheme="minorHAnsi" w:hAnsi="Times New Roman" w:cs="Times New Roman"/>
          <w:lang w:eastAsia="en-US"/>
        </w:rPr>
        <w:t>ed to American or European are studies</w:t>
      </w:r>
      <w:r w:rsidRPr="00F827DD">
        <w:rPr>
          <w:rFonts w:ascii="Times New Roman" w:eastAsiaTheme="minorHAnsi" w:hAnsi="Times New Roman" w:cs="Times New Roman"/>
          <w:lang w:eastAsia="en-US"/>
        </w:rPr>
        <w:t xml:space="preserve"> </w:t>
      </w:r>
      <w:r w:rsidR="00D10F2B" w:rsidRPr="00F827DD">
        <w:rPr>
          <w:rFonts w:ascii="Times New Roman" w:eastAsiaTheme="minorHAnsi" w:hAnsi="Times New Roman" w:cs="Times New Roman"/>
          <w:lang w:eastAsia="en-US"/>
        </w:rPr>
        <w:t>related to</w:t>
      </w:r>
      <w:r w:rsidRPr="00F827DD">
        <w:rPr>
          <w:rFonts w:ascii="Times New Roman" w:eastAsiaTheme="minorHAnsi" w:hAnsi="Times New Roman" w:cs="Times New Roman"/>
          <w:lang w:eastAsia="en-US"/>
        </w:rPr>
        <w:t xml:space="preserve"> the interaction of different elements while they are passing through the anthropo</w:t>
      </w:r>
      <w:r w:rsidR="00D10F2B" w:rsidRPr="00F827DD">
        <w:rPr>
          <w:rFonts w:ascii="Times New Roman" w:eastAsiaTheme="minorHAnsi" w:hAnsi="Times New Roman" w:cs="Times New Roman"/>
          <w:lang w:eastAsia="en-US"/>
        </w:rPr>
        <w:t>sphere together as alloys. Examples of these</w:t>
      </w:r>
      <w:r w:rsidRPr="00F827DD">
        <w:rPr>
          <w:rFonts w:ascii="Times New Roman" w:eastAsiaTheme="minorHAnsi" w:hAnsi="Times New Roman" w:cs="Times New Roman"/>
          <w:lang w:eastAsia="en-US"/>
        </w:rPr>
        <w:t xml:space="preserve"> include</w:t>
      </w:r>
      <w:r w:rsidR="00D10F2B" w:rsidRPr="00F827DD">
        <w:rPr>
          <w:rFonts w:ascii="Times New Roman" w:eastAsiaTheme="minorHAnsi" w:hAnsi="Times New Roman" w:cs="Times New Roman"/>
          <w:lang w:eastAsia="en-US"/>
        </w:rPr>
        <w:t>,</w:t>
      </w:r>
      <w:r w:rsidRPr="00F827DD">
        <w:rPr>
          <w:rFonts w:ascii="Times New Roman" w:eastAsiaTheme="minorHAnsi" w:hAnsi="Times New Roman" w:cs="Times New Roman"/>
          <w:lang w:eastAsia="en-US"/>
        </w:rPr>
        <w:t xml:space="preserve"> molybdenum </w:t>
      </w:r>
      <w:r w:rsidR="001E1407" w:rsidRPr="00F827DD">
        <w:rPr>
          <w:rFonts w:ascii="Times New Roman" w:eastAsiaTheme="minorHAnsi" w:hAnsi="Times New Roman" w:cs="Times New Roman"/>
          <w:lang w:eastAsia="en-US"/>
        </w:rPr>
        <w:t xml:space="preserve">associated with iron and steel </w:t>
      </w:r>
      <w:r w:rsidR="001E1407" w:rsidRPr="00F827DD">
        <w:rPr>
          <w:rFonts w:ascii="Times New Roman" w:eastAsiaTheme="minorHAnsi" w:hAnsi="Times New Roman" w:cs="Times New Roman"/>
          <w:noProof/>
          <w:lang w:eastAsia="en-US"/>
        </w:rPr>
        <w:t>(Nakajima et al. 2007)</w:t>
      </w:r>
      <w:r w:rsidRPr="00F827DD">
        <w:rPr>
          <w:rFonts w:ascii="Times New Roman" w:eastAsiaTheme="minorHAnsi" w:hAnsi="Times New Roman" w:cs="Times New Roman"/>
          <w:lang w:eastAsia="en-US"/>
        </w:rPr>
        <w:t xml:space="preserve">, </w:t>
      </w:r>
      <w:r w:rsidRPr="00F827DD">
        <w:rPr>
          <w:rFonts w:ascii="Times New Roman" w:eastAsiaTheme="minorHAnsi" w:hAnsi="Times New Roman" w:cs="Times New Roman"/>
          <w:lang w:eastAsia="en-US"/>
        </w:rPr>
        <w:lastRenderedPageBreak/>
        <w:t>aluminium and its alloying elemen</w:t>
      </w:r>
      <w:r w:rsidR="001E1407" w:rsidRPr="00F827DD">
        <w:rPr>
          <w:rFonts w:ascii="Times New Roman" w:eastAsiaTheme="minorHAnsi" w:hAnsi="Times New Roman" w:cs="Times New Roman"/>
          <w:lang w:eastAsia="en-US"/>
        </w:rPr>
        <w:t xml:space="preserve">ts </w:t>
      </w:r>
      <w:r w:rsidR="001E1407" w:rsidRPr="00F827DD">
        <w:rPr>
          <w:rFonts w:ascii="Times New Roman" w:eastAsiaTheme="minorHAnsi" w:hAnsi="Times New Roman" w:cs="Times New Roman"/>
          <w:noProof/>
          <w:lang w:eastAsia="en-US"/>
        </w:rPr>
        <w:t>(Hatayama et al. 2007)</w:t>
      </w:r>
      <w:r w:rsidRPr="00F827DD">
        <w:rPr>
          <w:rFonts w:ascii="Times New Roman" w:eastAsiaTheme="minorHAnsi" w:hAnsi="Times New Roman" w:cs="Times New Roman"/>
          <w:lang w:eastAsia="en-US"/>
        </w:rPr>
        <w:t xml:space="preserve"> and chromium and nickel in stainless steel </w:t>
      </w:r>
      <w:r w:rsidR="001E1407" w:rsidRPr="00F827DD">
        <w:rPr>
          <w:rFonts w:ascii="Times New Roman" w:eastAsiaTheme="minorHAnsi" w:hAnsi="Times New Roman" w:cs="Times New Roman"/>
          <w:noProof/>
          <w:lang w:eastAsia="en-US"/>
        </w:rPr>
        <w:t>(Daigo et al. 2010)</w:t>
      </w:r>
      <w:r w:rsidRPr="00F827DD">
        <w:rPr>
          <w:rFonts w:ascii="Times New Roman" w:eastAsiaTheme="minorHAnsi" w:hAnsi="Times New Roman" w:cs="Times New Roman"/>
          <w:lang w:eastAsia="en-US"/>
        </w:rPr>
        <w:t>.</w:t>
      </w:r>
    </w:p>
    <w:p w:rsidR="001D5FB7" w:rsidRPr="00F827DD" w:rsidRDefault="001D5FB7" w:rsidP="00933C68">
      <w:pPr>
        <w:autoSpaceDE w:val="0"/>
        <w:autoSpaceDN w:val="0"/>
        <w:adjustRightInd w:val="0"/>
        <w:spacing w:after="0" w:line="360" w:lineRule="auto"/>
        <w:ind w:firstLine="720"/>
        <w:contextualSpacing/>
        <w:jc w:val="both"/>
        <w:rPr>
          <w:rFonts w:ascii="Times New Roman" w:eastAsiaTheme="minorHAnsi" w:hAnsi="Times New Roman" w:cs="Times New Roman"/>
          <w:lang w:eastAsia="en-US"/>
        </w:rPr>
      </w:pPr>
      <w:r w:rsidRPr="00F827DD">
        <w:rPr>
          <w:rFonts w:ascii="Times New Roman" w:eastAsiaTheme="minorHAnsi" w:hAnsi="Times New Roman" w:cs="Times New Roman"/>
          <w:lang w:eastAsia="en-US"/>
        </w:rPr>
        <w:t>Lastly, China has only recently began to characterise its domestic cycles, as it seeks to increase its participation in the field of MFA at a rapid pace. To aid this, institutions specialising in metallurgy such as Nanjing and Tsinghua University, have been built to specifically increase publications of base metals at the country level</w:t>
      </w:r>
      <w:r w:rsidR="0025584E" w:rsidRPr="00F827DD">
        <w:rPr>
          <w:rFonts w:ascii="Times New Roman" w:eastAsiaTheme="minorHAnsi" w:hAnsi="Times New Roman" w:cs="Times New Roman"/>
          <w:lang w:eastAsia="en-US"/>
        </w:rPr>
        <w:t>. Recent examples of elements investigated include aluminium</w:t>
      </w:r>
      <w:r w:rsidRPr="00F827DD">
        <w:rPr>
          <w:rFonts w:ascii="Times New Roman" w:eastAsiaTheme="minorHAnsi" w:hAnsi="Times New Roman" w:cs="Times New Roman"/>
          <w:lang w:eastAsia="en-US"/>
        </w:rPr>
        <w:t xml:space="preserve"> </w:t>
      </w:r>
      <w:r w:rsidR="0025584E" w:rsidRPr="00F827DD">
        <w:rPr>
          <w:rFonts w:ascii="Times New Roman" w:eastAsiaTheme="minorHAnsi" w:hAnsi="Times New Roman" w:cs="Times New Roman"/>
          <w:noProof/>
          <w:lang w:eastAsia="en-US"/>
        </w:rPr>
        <w:t>(Weiqiang et al. 2010)</w:t>
      </w:r>
      <w:r w:rsidR="0025584E" w:rsidRPr="00F827DD">
        <w:rPr>
          <w:rFonts w:ascii="Times New Roman" w:eastAsiaTheme="minorHAnsi" w:hAnsi="Times New Roman" w:cs="Times New Roman"/>
          <w:lang w:eastAsia="en-US"/>
        </w:rPr>
        <w:t xml:space="preserve">, copper </w:t>
      </w:r>
      <w:r w:rsidR="0083390A" w:rsidRPr="00F827DD">
        <w:rPr>
          <w:rFonts w:ascii="Times New Roman" w:eastAsiaTheme="minorHAnsi" w:hAnsi="Times New Roman" w:cs="Times New Roman"/>
          <w:noProof/>
          <w:lang w:eastAsia="en-US"/>
        </w:rPr>
        <w:t>(Guo</w:t>
      </w:r>
      <w:r w:rsidR="0025584E" w:rsidRPr="00F827DD">
        <w:rPr>
          <w:rFonts w:ascii="Times New Roman" w:eastAsiaTheme="minorHAnsi" w:hAnsi="Times New Roman" w:cs="Times New Roman"/>
          <w:noProof/>
          <w:lang w:eastAsia="en-US"/>
        </w:rPr>
        <w:t xml:space="preserve"> &amp; Yu</w:t>
      </w:r>
      <w:r w:rsidR="0083390A" w:rsidRPr="00F827DD">
        <w:rPr>
          <w:rFonts w:ascii="Times New Roman" w:eastAsiaTheme="minorHAnsi" w:hAnsi="Times New Roman" w:cs="Times New Roman"/>
          <w:noProof/>
          <w:lang w:eastAsia="en-US"/>
        </w:rPr>
        <w:t>,</w:t>
      </w:r>
      <w:r w:rsidR="0025584E" w:rsidRPr="00F827DD">
        <w:rPr>
          <w:rFonts w:ascii="Times New Roman" w:eastAsiaTheme="minorHAnsi" w:hAnsi="Times New Roman" w:cs="Times New Roman"/>
          <w:noProof/>
          <w:lang w:eastAsia="en-US"/>
        </w:rPr>
        <w:t xml:space="preserve"> 2008)</w:t>
      </w:r>
      <w:r w:rsidR="0025584E" w:rsidRPr="00F827DD">
        <w:rPr>
          <w:rFonts w:ascii="Times New Roman" w:eastAsiaTheme="minorHAnsi" w:hAnsi="Times New Roman" w:cs="Times New Roman"/>
          <w:lang w:eastAsia="en-US"/>
        </w:rPr>
        <w:t xml:space="preserve"> and zinc </w:t>
      </w:r>
      <w:r w:rsidR="0083390A" w:rsidRPr="00F827DD">
        <w:rPr>
          <w:rFonts w:ascii="Times New Roman" w:eastAsiaTheme="minorHAnsi" w:hAnsi="Times New Roman" w:cs="Times New Roman"/>
          <w:noProof/>
          <w:lang w:eastAsia="en-US"/>
        </w:rPr>
        <w:t>(Guo</w:t>
      </w:r>
      <w:r w:rsidR="0025584E" w:rsidRPr="00F827DD">
        <w:rPr>
          <w:rFonts w:ascii="Times New Roman" w:eastAsiaTheme="minorHAnsi" w:hAnsi="Times New Roman" w:cs="Times New Roman"/>
          <w:noProof/>
          <w:lang w:eastAsia="en-US"/>
        </w:rPr>
        <w:t xml:space="preserve"> et al. 2010)</w:t>
      </w:r>
      <w:r w:rsidRPr="00F827DD">
        <w:rPr>
          <w:rFonts w:ascii="Times New Roman" w:eastAsiaTheme="minorHAnsi" w:hAnsi="Times New Roman" w:cs="Times New Roman"/>
          <w:lang w:eastAsia="en-US"/>
        </w:rPr>
        <w:t>. However, China still falls behind principally</w:t>
      </w:r>
      <w:r w:rsidR="0008069A" w:rsidRPr="00F827DD">
        <w:rPr>
          <w:rFonts w:ascii="Times New Roman" w:eastAsiaTheme="minorHAnsi" w:hAnsi="Times New Roman" w:cs="Times New Roman"/>
          <w:lang w:eastAsia="en-US"/>
        </w:rPr>
        <w:t>,</w:t>
      </w:r>
      <w:r w:rsidRPr="00F827DD">
        <w:rPr>
          <w:rFonts w:ascii="Times New Roman" w:eastAsiaTheme="minorHAnsi" w:hAnsi="Times New Roman" w:cs="Times New Roman"/>
          <w:lang w:eastAsia="en-US"/>
        </w:rPr>
        <w:t xml:space="preserve"> in</w:t>
      </w:r>
      <w:r w:rsidR="0008069A" w:rsidRPr="00F827DD">
        <w:rPr>
          <w:rFonts w:ascii="Times New Roman" w:eastAsiaTheme="minorHAnsi" w:hAnsi="Times New Roman" w:cs="Times New Roman"/>
          <w:lang w:eastAsia="en-US"/>
        </w:rPr>
        <w:t xml:space="preserve"> the</w:t>
      </w:r>
      <w:r w:rsidRPr="00F827DD">
        <w:rPr>
          <w:rFonts w:ascii="Times New Roman" w:eastAsiaTheme="minorHAnsi" w:hAnsi="Times New Roman" w:cs="Times New Roman"/>
          <w:lang w:eastAsia="en-US"/>
        </w:rPr>
        <w:t xml:space="preserve"> number of completed studies and </w:t>
      </w:r>
      <w:r w:rsidR="0008069A" w:rsidRPr="00F827DD">
        <w:rPr>
          <w:rFonts w:ascii="Times New Roman" w:eastAsiaTheme="minorHAnsi" w:hAnsi="Times New Roman" w:cs="Times New Roman"/>
          <w:lang w:eastAsia="en-US"/>
        </w:rPr>
        <w:t xml:space="preserve">secondly </w:t>
      </w:r>
      <w:r w:rsidRPr="00F827DD">
        <w:rPr>
          <w:rFonts w:ascii="Times New Roman" w:eastAsiaTheme="minorHAnsi" w:hAnsi="Times New Roman" w:cs="Times New Roman"/>
          <w:lang w:eastAsia="en-US"/>
        </w:rPr>
        <w:t xml:space="preserve">global access to its publications </w:t>
      </w:r>
      <w:r w:rsidR="005473E0" w:rsidRPr="00F827DD">
        <w:rPr>
          <w:rFonts w:ascii="Times New Roman" w:eastAsiaTheme="minorHAnsi" w:hAnsi="Times New Roman" w:cs="Times New Roman"/>
          <w:lang w:eastAsia="en-US"/>
        </w:rPr>
        <w:t>with</w:t>
      </w:r>
      <w:r w:rsidR="0008069A" w:rsidRPr="00F827DD">
        <w:rPr>
          <w:rFonts w:ascii="Times New Roman" w:eastAsiaTheme="minorHAnsi" w:hAnsi="Times New Roman" w:cs="Times New Roman"/>
          <w:lang w:eastAsia="en-US"/>
        </w:rPr>
        <w:t xml:space="preserve"> the majority being published in Mandarin. In spite of this, </w:t>
      </w:r>
      <w:r w:rsidRPr="00F827DD">
        <w:rPr>
          <w:rFonts w:ascii="Times New Roman" w:eastAsiaTheme="minorHAnsi" w:hAnsi="Times New Roman" w:cs="Times New Roman"/>
          <w:lang w:eastAsia="en-US"/>
        </w:rPr>
        <w:t>China dominates metal production, trade and consumption on the global level,</w:t>
      </w:r>
      <w:r w:rsidR="0008069A" w:rsidRPr="00F827DD">
        <w:rPr>
          <w:rFonts w:ascii="Times New Roman" w:eastAsiaTheme="minorHAnsi" w:hAnsi="Times New Roman" w:cs="Times New Roman"/>
          <w:lang w:eastAsia="en-US"/>
        </w:rPr>
        <w:t xml:space="preserve"> and thus</w:t>
      </w:r>
      <w:r w:rsidRPr="00F827DD">
        <w:rPr>
          <w:rFonts w:ascii="Times New Roman" w:eastAsiaTheme="minorHAnsi" w:hAnsi="Times New Roman" w:cs="Times New Roman"/>
          <w:lang w:eastAsia="en-US"/>
        </w:rPr>
        <w:t xml:space="preserve"> it is reasonable to exp</w:t>
      </w:r>
      <w:r w:rsidR="0008069A" w:rsidRPr="00F827DD">
        <w:rPr>
          <w:rFonts w:ascii="Times New Roman" w:eastAsiaTheme="minorHAnsi" w:hAnsi="Times New Roman" w:cs="Times New Roman"/>
          <w:lang w:eastAsia="en-US"/>
        </w:rPr>
        <w:t>ect China to catch up and potenti</w:t>
      </w:r>
      <w:r w:rsidRPr="00F827DD">
        <w:rPr>
          <w:rFonts w:ascii="Times New Roman" w:eastAsiaTheme="minorHAnsi" w:hAnsi="Times New Roman" w:cs="Times New Roman"/>
          <w:lang w:eastAsia="en-US"/>
        </w:rPr>
        <w:t>ally overtake other leading countries on characterization of metal cycles</w:t>
      </w:r>
      <w:r w:rsidR="00711531" w:rsidRPr="00F827DD">
        <w:rPr>
          <w:rFonts w:ascii="Times New Roman" w:eastAsiaTheme="minorHAnsi" w:hAnsi="Times New Roman" w:cs="Times New Roman"/>
          <w:lang w:eastAsia="en-US"/>
        </w:rPr>
        <w:t xml:space="preserve"> in the near future</w:t>
      </w:r>
      <w:r w:rsidRPr="00F827DD">
        <w:rPr>
          <w:rFonts w:ascii="Times New Roman" w:eastAsiaTheme="minorHAnsi" w:hAnsi="Times New Roman" w:cs="Times New Roman"/>
          <w:lang w:eastAsia="en-US"/>
        </w:rPr>
        <w:t xml:space="preserve">. </w:t>
      </w:r>
    </w:p>
    <w:p w:rsidR="00237FCE" w:rsidRPr="00F827DD" w:rsidRDefault="00711531" w:rsidP="00933C68">
      <w:pPr>
        <w:autoSpaceDE w:val="0"/>
        <w:autoSpaceDN w:val="0"/>
        <w:adjustRightInd w:val="0"/>
        <w:spacing w:after="0" w:line="360" w:lineRule="auto"/>
        <w:ind w:firstLine="720"/>
        <w:contextualSpacing/>
        <w:jc w:val="both"/>
        <w:rPr>
          <w:rFonts w:ascii="Times New Roman" w:eastAsiaTheme="minorHAnsi" w:hAnsi="Times New Roman" w:cs="Times New Roman"/>
          <w:lang w:eastAsia="en-US"/>
        </w:rPr>
      </w:pPr>
      <w:r w:rsidRPr="00F827DD">
        <w:rPr>
          <w:rFonts w:ascii="Times New Roman" w:eastAsiaTheme="minorHAnsi" w:hAnsi="Times New Roman" w:cs="Times New Roman"/>
          <w:lang w:eastAsia="en-US"/>
        </w:rPr>
        <w:t>To review, analysis of modern</w:t>
      </w:r>
      <w:r w:rsidR="00420700" w:rsidRPr="00F827DD">
        <w:rPr>
          <w:rFonts w:ascii="Times New Roman" w:eastAsiaTheme="minorHAnsi" w:hAnsi="Times New Roman" w:cs="Times New Roman"/>
          <w:lang w:eastAsia="en-US"/>
        </w:rPr>
        <w:t xml:space="preserve"> li</w:t>
      </w:r>
      <w:r w:rsidR="00097301" w:rsidRPr="00F827DD">
        <w:rPr>
          <w:rFonts w:ascii="Times New Roman" w:eastAsiaTheme="minorHAnsi" w:hAnsi="Times New Roman" w:cs="Times New Roman"/>
          <w:lang w:eastAsia="en-US"/>
        </w:rPr>
        <w:t>terature has focu</w:t>
      </w:r>
      <w:r w:rsidR="00420700" w:rsidRPr="00F827DD">
        <w:rPr>
          <w:rFonts w:ascii="Times New Roman" w:eastAsiaTheme="minorHAnsi" w:hAnsi="Times New Roman" w:cs="Times New Roman"/>
          <w:lang w:eastAsia="en-US"/>
        </w:rPr>
        <w:t>sed on the amount of studies, geographical boundaries as well as identifying significant research organisations involved. From this, 4 ele</w:t>
      </w:r>
      <w:r w:rsidRPr="00F827DD">
        <w:rPr>
          <w:rFonts w:ascii="Times New Roman" w:eastAsiaTheme="minorHAnsi" w:hAnsi="Times New Roman" w:cs="Times New Roman"/>
          <w:lang w:eastAsia="en-US"/>
        </w:rPr>
        <w:t xml:space="preserve">ments: </w:t>
      </w:r>
      <w:r w:rsidR="00420700" w:rsidRPr="00F827DD">
        <w:rPr>
          <w:rFonts w:ascii="Times New Roman" w:eastAsiaTheme="minorHAnsi" w:hAnsi="Times New Roman" w:cs="Times New Roman"/>
          <w:lang w:eastAsia="en-US"/>
        </w:rPr>
        <w:t>chromium, molybdenum, niobium and vanadium have been singled out from whic</w:t>
      </w:r>
      <w:r w:rsidRPr="00F827DD">
        <w:rPr>
          <w:rFonts w:ascii="Times New Roman" w:eastAsiaTheme="minorHAnsi" w:hAnsi="Times New Roman" w:cs="Times New Roman"/>
          <w:lang w:eastAsia="en-US"/>
        </w:rPr>
        <w:t>h an original contribution can</w:t>
      </w:r>
      <w:r w:rsidR="00420700" w:rsidRPr="00F827DD">
        <w:rPr>
          <w:rFonts w:ascii="Times New Roman" w:eastAsiaTheme="minorHAnsi" w:hAnsi="Times New Roman" w:cs="Times New Roman"/>
          <w:lang w:eastAsia="en-US"/>
        </w:rPr>
        <w:t xml:space="preserve"> be made. Therefore the subsequent paragraphs review specific literature for each </w:t>
      </w:r>
      <w:r w:rsidRPr="00F827DD">
        <w:rPr>
          <w:rFonts w:ascii="Times New Roman" w:eastAsiaTheme="minorHAnsi" w:hAnsi="Times New Roman" w:cs="Times New Roman"/>
          <w:lang w:eastAsia="en-US"/>
        </w:rPr>
        <w:t>individual element</w:t>
      </w:r>
      <w:r w:rsidR="00420700" w:rsidRPr="00F827DD">
        <w:rPr>
          <w:rFonts w:ascii="Times New Roman" w:eastAsiaTheme="minorHAnsi" w:hAnsi="Times New Roman" w:cs="Times New Roman"/>
          <w:lang w:eastAsia="en-US"/>
        </w:rPr>
        <w:t>.</w:t>
      </w:r>
    </w:p>
    <w:p w:rsidR="00710810" w:rsidRPr="00F827DD" w:rsidRDefault="001D5FB7" w:rsidP="00933C68">
      <w:pPr>
        <w:autoSpaceDE w:val="0"/>
        <w:autoSpaceDN w:val="0"/>
        <w:adjustRightInd w:val="0"/>
        <w:spacing w:after="0" w:line="360" w:lineRule="auto"/>
        <w:ind w:firstLine="720"/>
        <w:contextualSpacing/>
        <w:jc w:val="both"/>
        <w:rPr>
          <w:rFonts w:ascii="Times New Roman" w:hAnsi="Times New Roman" w:cs="Times New Roman"/>
        </w:rPr>
      </w:pPr>
      <w:r w:rsidRPr="00F827DD">
        <w:rPr>
          <w:rFonts w:ascii="Times New Roman" w:eastAsiaTheme="minorHAnsi" w:hAnsi="Times New Roman" w:cs="Times New Roman"/>
          <w:lang w:eastAsia="en-US"/>
        </w:rPr>
        <w:t>In terms of chromium, u</w:t>
      </w:r>
      <w:r w:rsidRPr="00F827DD">
        <w:rPr>
          <w:rFonts w:ascii="Times New Roman" w:hAnsi="Times New Roman" w:cs="Times New Roman"/>
        </w:rPr>
        <w:t xml:space="preserve">p until 2012, there </w:t>
      </w:r>
      <w:r w:rsidR="00711531" w:rsidRPr="00F827DD">
        <w:rPr>
          <w:rFonts w:ascii="Times New Roman" w:hAnsi="Times New Roman" w:cs="Times New Roman"/>
        </w:rPr>
        <w:t>have been</w:t>
      </w:r>
      <w:r w:rsidRPr="00F827DD">
        <w:rPr>
          <w:rFonts w:ascii="Times New Roman" w:hAnsi="Times New Roman" w:cs="Times New Roman"/>
        </w:rPr>
        <w:t xml:space="preserve"> 76 cycles produced, 73 static and 3</w:t>
      </w:r>
      <w:r w:rsidR="00314FAC" w:rsidRPr="00F827DD">
        <w:rPr>
          <w:rFonts w:ascii="Times New Roman" w:hAnsi="Times New Roman" w:cs="Times New Roman"/>
        </w:rPr>
        <w:t xml:space="preserve"> dynamic</w:t>
      </w:r>
      <w:r w:rsidRPr="00F827DD">
        <w:rPr>
          <w:rFonts w:ascii="Times New Roman" w:hAnsi="Times New Roman" w:cs="Times New Roman"/>
        </w:rPr>
        <w:t xml:space="preserve">. The </w:t>
      </w:r>
      <w:r w:rsidR="00314FAC" w:rsidRPr="00F827DD">
        <w:rPr>
          <w:rFonts w:ascii="Times New Roman" w:hAnsi="Times New Roman" w:cs="Times New Roman"/>
        </w:rPr>
        <w:t>greater part</w:t>
      </w:r>
      <w:r w:rsidRPr="00F827DD">
        <w:rPr>
          <w:rFonts w:ascii="Times New Roman" w:hAnsi="Times New Roman" w:cs="Times New Roman"/>
        </w:rPr>
        <w:t xml:space="preserve"> of these cycles were produced from one publication, ‘The Contemporary Anthropogenic Lifecycle o</w:t>
      </w:r>
      <w:r w:rsidR="00C36AD9" w:rsidRPr="00F827DD">
        <w:rPr>
          <w:rFonts w:ascii="Times New Roman" w:hAnsi="Times New Roman" w:cs="Times New Roman"/>
        </w:rPr>
        <w:t xml:space="preserve">f Chromium’ </w:t>
      </w:r>
      <w:r w:rsidR="00C36AD9" w:rsidRPr="00F827DD">
        <w:rPr>
          <w:rFonts w:ascii="Times New Roman" w:hAnsi="Times New Roman" w:cs="Times New Roman"/>
          <w:noProof/>
        </w:rPr>
        <w:t>(Johnson et al. 2006)</w:t>
      </w:r>
      <w:r w:rsidR="00314FAC" w:rsidRPr="00F827DD">
        <w:rPr>
          <w:rFonts w:ascii="Times New Roman" w:hAnsi="Times New Roman" w:cs="Times New Roman"/>
        </w:rPr>
        <w:t xml:space="preserve">. This study </w:t>
      </w:r>
      <w:r w:rsidRPr="00F827DD">
        <w:rPr>
          <w:rFonts w:ascii="Times New Roman" w:hAnsi="Times New Roman" w:cs="Times New Roman"/>
        </w:rPr>
        <w:t>produce</w:t>
      </w:r>
      <w:r w:rsidR="00314FAC" w:rsidRPr="00F827DD">
        <w:rPr>
          <w:rFonts w:ascii="Times New Roman" w:hAnsi="Times New Roman" w:cs="Times New Roman"/>
        </w:rPr>
        <w:t>d</w:t>
      </w:r>
      <w:r w:rsidRPr="00F827DD">
        <w:rPr>
          <w:rFonts w:ascii="Times New Roman" w:hAnsi="Times New Roman" w:cs="Times New Roman"/>
        </w:rPr>
        <w:t xml:space="preserve"> lifecycles based on 54 countries, 9 world regions and the plan</w:t>
      </w:r>
      <w:r w:rsidR="00C36AD9" w:rsidRPr="00F827DD">
        <w:rPr>
          <w:rFonts w:ascii="Times New Roman" w:hAnsi="Times New Roman" w:cs="Times New Roman"/>
        </w:rPr>
        <w:t xml:space="preserve">et. </w:t>
      </w:r>
      <w:r w:rsidRPr="00F827DD">
        <w:rPr>
          <w:rFonts w:ascii="Times New Roman" w:hAnsi="Times New Roman" w:cs="Times New Roman"/>
        </w:rPr>
        <w:t>The remaining</w:t>
      </w:r>
      <w:r w:rsidR="0013786B" w:rsidRPr="00F827DD">
        <w:rPr>
          <w:rFonts w:ascii="Times New Roman" w:hAnsi="Times New Roman" w:cs="Times New Roman"/>
        </w:rPr>
        <w:t xml:space="preserve"> static studies from literature comprised of</w:t>
      </w:r>
      <w:r w:rsidRPr="00F827DD">
        <w:rPr>
          <w:rFonts w:ascii="Times New Roman" w:hAnsi="Times New Roman" w:cs="Times New Roman"/>
        </w:rPr>
        <w:t xml:space="preserve">, </w:t>
      </w:r>
      <w:r w:rsidR="00B057F0" w:rsidRPr="00F827DD">
        <w:rPr>
          <w:rFonts w:ascii="Times New Roman" w:hAnsi="Times New Roman" w:cs="Times New Roman"/>
          <w:noProof/>
        </w:rPr>
        <w:t>(Daigo et al. 2010; Oda et al. 2010; Rauch &amp; Pacyna 2009; Ma et al. 2007; Bergback et al. 2000; Papp 1994)</w:t>
      </w:r>
      <w:r w:rsidR="00571328" w:rsidRPr="00F827DD">
        <w:rPr>
          <w:rFonts w:ascii="Times New Roman" w:hAnsi="Times New Roman" w:cs="Times New Roman"/>
        </w:rPr>
        <w:t>.</w:t>
      </w:r>
      <w:r w:rsidR="0013786B" w:rsidRPr="00F827DD">
        <w:rPr>
          <w:rFonts w:ascii="Times New Roman" w:hAnsi="Times New Roman" w:cs="Times New Roman"/>
        </w:rPr>
        <w:t xml:space="preserve">Within these studies, three studies, </w:t>
      </w:r>
      <w:r w:rsidR="00B057F0" w:rsidRPr="00F827DD">
        <w:rPr>
          <w:rFonts w:ascii="Times New Roman" w:hAnsi="Times New Roman" w:cs="Times New Roman"/>
          <w:noProof/>
        </w:rPr>
        <w:t>(Daigo et al. 2010; Oda et al. 2010; Bergback et al. 2000)</w:t>
      </w:r>
      <w:r w:rsidRPr="00F827DD">
        <w:rPr>
          <w:rFonts w:ascii="Times New Roman" w:hAnsi="Times New Roman" w:cs="Times New Roman"/>
        </w:rPr>
        <w:t xml:space="preserve"> </w:t>
      </w:r>
      <w:r w:rsidR="0013786B" w:rsidRPr="00F827DD">
        <w:rPr>
          <w:rFonts w:ascii="Times New Roman" w:hAnsi="Times New Roman" w:cs="Times New Roman"/>
        </w:rPr>
        <w:t xml:space="preserve">were the </w:t>
      </w:r>
      <w:r w:rsidRPr="00F827DD">
        <w:rPr>
          <w:rFonts w:ascii="Times New Roman" w:hAnsi="Times New Roman" w:cs="Times New Roman"/>
        </w:rPr>
        <w:t xml:space="preserve">only dynamic studies on chromium from literature. </w:t>
      </w:r>
    </w:p>
    <w:p w:rsidR="00FB5F0D" w:rsidRPr="00F827DD" w:rsidRDefault="00711531" w:rsidP="00FB5F0D">
      <w:pPr>
        <w:autoSpaceDE w:val="0"/>
        <w:autoSpaceDN w:val="0"/>
        <w:adjustRightInd w:val="0"/>
        <w:spacing w:after="0" w:line="360" w:lineRule="auto"/>
        <w:ind w:firstLine="720"/>
        <w:contextualSpacing/>
        <w:jc w:val="both"/>
        <w:rPr>
          <w:rFonts w:ascii="Times New Roman" w:hAnsi="Times New Roman" w:cs="Times New Roman"/>
        </w:rPr>
      </w:pPr>
      <w:r w:rsidRPr="00F827DD">
        <w:rPr>
          <w:rFonts w:ascii="Times New Roman" w:hAnsi="Times New Roman" w:cs="Times New Roman"/>
        </w:rPr>
        <w:t xml:space="preserve">From </w:t>
      </w:r>
      <w:r w:rsidR="00710810" w:rsidRPr="00F827DD">
        <w:rPr>
          <w:rFonts w:ascii="Times New Roman" w:hAnsi="Times New Roman" w:cs="Times New Roman"/>
        </w:rPr>
        <w:t>literature</w:t>
      </w:r>
      <w:r w:rsidR="002F35D3" w:rsidRPr="00F827DD">
        <w:rPr>
          <w:rFonts w:ascii="Times New Roman" w:hAnsi="Times New Roman" w:cs="Times New Roman"/>
        </w:rPr>
        <w:t xml:space="preserve"> related to chromium</w:t>
      </w:r>
      <w:r w:rsidR="00710810" w:rsidRPr="00F827DD">
        <w:rPr>
          <w:rFonts w:ascii="Times New Roman" w:hAnsi="Times New Roman" w:cs="Times New Roman"/>
        </w:rPr>
        <w:t xml:space="preserve">, two solitary global studies </w:t>
      </w:r>
      <w:r w:rsidR="00B057F0" w:rsidRPr="00F827DD">
        <w:rPr>
          <w:rStyle w:val="ReferenceChar"/>
          <w:noProof/>
          <w:color w:val="auto"/>
        </w:rPr>
        <w:t>(Rauch &amp; Pacyna 2009; Johnson et al. 2006)</w:t>
      </w:r>
      <w:r w:rsidR="00710810" w:rsidRPr="00F827DD">
        <w:rPr>
          <w:rFonts w:ascii="Times New Roman" w:hAnsi="Times New Roman" w:cs="Times New Roman"/>
        </w:rPr>
        <w:t xml:space="preserve"> </w:t>
      </w:r>
      <w:r w:rsidR="004738EF" w:rsidRPr="00F827DD">
        <w:rPr>
          <w:rFonts w:ascii="Times New Roman" w:hAnsi="Times New Roman" w:cs="Times New Roman"/>
        </w:rPr>
        <w:t>were published</w:t>
      </w:r>
      <w:r w:rsidR="00710810" w:rsidRPr="00F827DD">
        <w:rPr>
          <w:rFonts w:ascii="Times New Roman" w:hAnsi="Times New Roman" w:cs="Times New Roman"/>
        </w:rPr>
        <w:t xml:space="preserve">. </w:t>
      </w:r>
      <w:r w:rsidR="00FB5F0D" w:rsidRPr="00F827DD">
        <w:rPr>
          <w:rFonts w:ascii="Times New Roman" w:hAnsi="Times New Roman" w:cs="Times New Roman"/>
        </w:rPr>
        <w:t xml:space="preserve">The study by </w:t>
      </w:r>
      <w:r w:rsidR="00710810" w:rsidRPr="00F827DD">
        <w:rPr>
          <w:rFonts w:ascii="Times New Roman" w:hAnsi="Times New Roman" w:cs="Times New Roman"/>
          <w:noProof/>
        </w:rPr>
        <w:t>(Johnson et al. 2006)</w:t>
      </w:r>
      <w:r w:rsidR="00710810" w:rsidRPr="00F827DD">
        <w:rPr>
          <w:rFonts w:ascii="Times New Roman" w:hAnsi="Times New Roman" w:cs="Times New Roman"/>
        </w:rPr>
        <w:t xml:space="preserve"> constructed a global chromium model concentrating more on end products.</w:t>
      </w:r>
      <w:r w:rsidR="00D635B4" w:rsidRPr="00F827DD">
        <w:rPr>
          <w:rFonts w:ascii="Times New Roman" w:hAnsi="Times New Roman" w:cs="Times New Roman"/>
        </w:rPr>
        <w:t xml:space="preserve"> Whilst the study from </w:t>
      </w:r>
      <w:r w:rsidR="00710810" w:rsidRPr="00F827DD">
        <w:rPr>
          <w:rFonts w:ascii="Times New Roman" w:hAnsi="Times New Roman" w:cs="Times New Roman"/>
          <w:noProof/>
        </w:rPr>
        <w:t>(Rauch &amp; Pacyna 2009)</w:t>
      </w:r>
      <w:r w:rsidR="00710810" w:rsidRPr="00F827DD">
        <w:rPr>
          <w:rFonts w:ascii="Times New Roman" w:hAnsi="Times New Roman" w:cs="Times New Roman"/>
        </w:rPr>
        <w:t xml:space="preserve"> was more directed</w:t>
      </w:r>
      <w:r w:rsidR="008F44A2" w:rsidRPr="00F827DD">
        <w:rPr>
          <w:rFonts w:ascii="Times New Roman" w:hAnsi="Times New Roman" w:cs="Times New Roman"/>
        </w:rPr>
        <w:t xml:space="preserve"> on mass movements of natural systems against anthropogenic systems. </w:t>
      </w:r>
      <w:r w:rsidR="00FB5F0D" w:rsidRPr="00F827DD">
        <w:rPr>
          <w:rFonts w:ascii="Times New Roman" w:hAnsi="Times New Roman" w:cs="Times New Roman"/>
        </w:rPr>
        <w:t xml:space="preserve">Where both studies were similar was the use of </w:t>
      </w:r>
      <w:r w:rsidR="002F35D3" w:rsidRPr="00F827DD">
        <w:rPr>
          <w:rFonts w:ascii="Times New Roman" w:hAnsi="Times New Roman" w:cs="Times New Roman"/>
        </w:rPr>
        <w:t>4 primary stages, along with the other literature sources, to map</w:t>
      </w:r>
      <w:r w:rsidRPr="00F827DD">
        <w:rPr>
          <w:rFonts w:ascii="Times New Roman" w:hAnsi="Times New Roman" w:cs="Times New Roman"/>
        </w:rPr>
        <w:t xml:space="preserve"> flows of chromium by way of:</w:t>
      </w:r>
      <w:r w:rsidR="002F35D3" w:rsidRPr="00F827DD">
        <w:rPr>
          <w:rFonts w:ascii="Times New Roman" w:hAnsi="Times New Roman" w:cs="Times New Roman"/>
        </w:rPr>
        <w:t xml:space="preserve"> Production, Fabrication &amp; Manufacturing, Use and Waste Management &amp; Recycling.</w:t>
      </w:r>
      <w:r w:rsidR="001A759F" w:rsidRPr="00F827DD">
        <w:rPr>
          <w:rFonts w:ascii="Times New Roman" w:hAnsi="Times New Roman" w:cs="Times New Roman"/>
        </w:rPr>
        <w:t xml:space="preserve"> </w:t>
      </w:r>
      <w:r w:rsidR="004738EF" w:rsidRPr="00F827DD">
        <w:rPr>
          <w:rFonts w:ascii="Times New Roman" w:hAnsi="Times New Roman" w:cs="Times New Roman"/>
        </w:rPr>
        <w:t>Where the two studies differe</w:t>
      </w:r>
      <w:r w:rsidR="006A7B0C" w:rsidRPr="00F827DD">
        <w:rPr>
          <w:rFonts w:ascii="Times New Roman" w:hAnsi="Times New Roman" w:cs="Times New Roman"/>
        </w:rPr>
        <w:t>ntiate, are</w:t>
      </w:r>
      <w:r w:rsidR="004738EF" w:rsidRPr="00F827DD">
        <w:rPr>
          <w:rFonts w:ascii="Times New Roman" w:hAnsi="Times New Roman" w:cs="Times New Roman"/>
        </w:rPr>
        <w:t xml:space="preserve"> </w:t>
      </w:r>
      <w:r w:rsidR="004738EF" w:rsidRPr="00F827DD">
        <w:rPr>
          <w:rFonts w:ascii="Times New Roman" w:hAnsi="Times New Roman" w:cs="Times New Roman"/>
          <w:noProof/>
        </w:rPr>
        <w:t>(Johnson et al. 2006)</w:t>
      </w:r>
      <w:r w:rsidR="006A7B0C" w:rsidRPr="00F827DD">
        <w:rPr>
          <w:rFonts w:ascii="Times New Roman" w:hAnsi="Times New Roman" w:cs="Times New Roman"/>
        </w:rPr>
        <w:t xml:space="preserve"> sti</w:t>
      </w:r>
      <w:r w:rsidR="004738EF" w:rsidRPr="00F827DD">
        <w:rPr>
          <w:rFonts w:ascii="Times New Roman" w:hAnsi="Times New Roman" w:cs="Times New Roman"/>
        </w:rPr>
        <w:t>ck</w:t>
      </w:r>
      <w:r w:rsidR="006A7B0C" w:rsidRPr="00F827DD">
        <w:rPr>
          <w:rFonts w:ascii="Times New Roman" w:hAnsi="Times New Roman" w:cs="Times New Roman"/>
        </w:rPr>
        <w:t>s</w:t>
      </w:r>
      <w:r w:rsidR="004738EF" w:rsidRPr="00F827DD">
        <w:rPr>
          <w:rFonts w:ascii="Times New Roman" w:hAnsi="Times New Roman" w:cs="Times New Roman"/>
        </w:rPr>
        <w:t xml:space="preserve"> </w:t>
      </w:r>
      <w:r w:rsidR="00166B87" w:rsidRPr="00F827DD">
        <w:rPr>
          <w:rFonts w:ascii="Times New Roman" w:hAnsi="Times New Roman" w:cs="Times New Roman"/>
        </w:rPr>
        <w:t xml:space="preserve">to the more conventional metal production route involving the </w:t>
      </w:r>
      <w:r w:rsidR="004738EF" w:rsidRPr="00F827DD">
        <w:rPr>
          <w:rFonts w:ascii="Times New Roman" w:hAnsi="Times New Roman" w:cs="Times New Roman"/>
        </w:rPr>
        <w:t>4</w:t>
      </w:r>
      <w:r w:rsidR="006A7B0C" w:rsidRPr="00F827DD">
        <w:rPr>
          <w:rFonts w:ascii="Times New Roman" w:hAnsi="Times New Roman" w:cs="Times New Roman"/>
        </w:rPr>
        <w:t xml:space="preserve"> primary</w:t>
      </w:r>
      <w:r w:rsidR="004738EF" w:rsidRPr="00F827DD">
        <w:rPr>
          <w:rFonts w:ascii="Times New Roman" w:hAnsi="Times New Roman" w:cs="Times New Roman"/>
        </w:rPr>
        <w:t xml:space="preserve"> </w:t>
      </w:r>
      <w:proofErr w:type="gramStart"/>
      <w:r w:rsidR="004738EF" w:rsidRPr="00F827DD">
        <w:rPr>
          <w:rFonts w:ascii="Times New Roman" w:hAnsi="Times New Roman" w:cs="Times New Roman"/>
        </w:rPr>
        <w:t>stages.</w:t>
      </w:r>
      <w:proofErr w:type="gramEnd"/>
      <w:r w:rsidR="006A7B0C" w:rsidRPr="00F827DD">
        <w:rPr>
          <w:rFonts w:ascii="Times New Roman" w:hAnsi="Times New Roman" w:cs="Times New Roman"/>
        </w:rPr>
        <w:t xml:space="preserve"> Whereas </w:t>
      </w:r>
      <w:r w:rsidR="006A7B0C" w:rsidRPr="00F827DD">
        <w:rPr>
          <w:rFonts w:ascii="Times New Roman" w:hAnsi="Times New Roman" w:cs="Times New Roman"/>
          <w:noProof/>
        </w:rPr>
        <w:t>(Rauch &amp; Pacyna 2009)</w:t>
      </w:r>
      <w:r w:rsidR="006A7B0C" w:rsidRPr="00F827DD">
        <w:rPr>
          <w:rFonts w:ascii="Times New Roman" w:hAnsi="Times New Roman" w:cs="Times New Roman"/>
        </w:rPr>
        <w:t xml:space="preserve"> </w:t>
      </w:r>
      <w:r w:rsidR="00FB5F0D" w:rsidRPr="00F827DD">
        <w:rPr>
          <w:rFonts w:ascii="Times New Roman" w:hAnsi="Times New Roman" w:cs="Times New Roman"/>
        </w:rPr>
        <w:t>adopts the</w:t>
      </w:r>
      <w:r w:rsidR="006A7B0C" w:rsidRPr="00F827DD">
        <w:rPr>
          <w:rFonts w:ascii="Times New Roman" w:hAnsi="Times New Roman" w:cs="Times New Roman"/>
        </w:rPr>
        <w:t xml:space="preserve"> use</w:t>
      </w:r>
      <w:r w:rsidR="008F44A2" w:rsidRPr="00F827DD">
        <w:rPr>
          <w:rFonts w:ascii="Times New Roman" w:hAnsi="Times New Roman" w:cs="Times New Roman"/>
        </w:rPr>
        <w:t xml:space="preserve"> of emissions to air, land and water and their associated impacts alongside the primary stages. </w:t>
      </w:r>
    </w:p>
    <w:p w:rsidR="000D5B0F" w:rsidRPr="00F827DD" w:rsidRDefault="00FB5F0D" w:rsidP="00555E99">
      <w:pPr>
        <w:autoSpaceDE w:val="0"/>
        <w:autoSpaceDN w:val="0"/>
        <w:adjustRightInd w:val="0"/>
        <w:spacing w:after="0" w:line="360" w:lineRule="auto"/>
        <w:ind w:firstLine="720"/>
        <w:contextualSpacing/>
        <w:jc w:val="both"/>
        <w:rPr>
          <w:rFonts w:ascii="Times New Roman" w:hAnsi="Times New Roman" w:cs="Times New Roman"/>
        </w:rPr>
      </w:pPr>
      <w:r w:rsidRPr="00F827DD">
        <w:rPr>
          <w:rFonts w:ascii="Times New Roman" w:hAnsi="Times New Roman" w:cs="Times New Roman"/>
        </w:rPr>
        <w:t xml:space="preserve">Not </w:t>
      </w:r>
      <w:r w:rsidR="00FC31F7" w:rsidRPr="00F827DD">
        <w:rPr>
          <w:rFonts w:ascii="Times New Roman" w:hAnsi="Times New Roman" w:cs="Times New Roman"/>
        </w:rPr>
        <w:t xml:space="preserve">with standing this fact, </w:t>
      </w:r>
      <w:r w:rsidR="008F44A2" w:rsidRPr="00F827DD">
        <w:rPr>
          <w:rFonts w:ascii="Times New Roman" w:hAnsi="Times New Roman" w:cs="Times New Roman"/>
        </w:rPr>
        <w:t>3 o</w:t>
      </w:r>
      <w:r w:rsidR="00FC31F7" w:rsidRPr="00F827DD">
        <w:rPr>
          <w:rFonts w:ascii="Times New Roman" w:hAnsi="Times New Roman" w:cs="Times New Roman"/>
        </w:rPr>
        <w:t>the</w:t>
      </w:r>
      <w:r w:rsidR="008F44A2" w:rsidRPr="00F827DD">
        <w:rPr>
          <w:rFonts w:ascii="Times New Roman" w:hAnsi="Times New Roman" w:cs="Times New Roman"/>
        </w:rPr>
        <w:t>r</w:t>
      </w:r>
      <w:r w:rsidR="00FC31F7" w:rsidRPr="00F827DD">
        <w:rPr>
          <w:rFonts w:ascii="Times New Roman" w:hAnsi="Times New Roman" w:cs="Times New Roman"/>
        </w:rPr>
        <w:t xml:space="preserve"> studies,</w:t>
      </w:r>
      <w:r w:rsidR="008F44A2" w:rsidRPr="00F827DD">
        <w:rPr>
          <w:rFonts w:ascii="Times New Roman" w:hAnsi="Times New Roman" w:cs="Times New Roman"/>
        </w:rPr>
        <w:t xml:space="preserve"> </w:t>
      </w:r>
      <w:r w:rsidR="00B057F0" w:rsidRPr="00F827DD">
        <w:rPr>
          <w:rFonts w:ascii="Times New Roman" w:hAnsi="Times New Roman" w:cs="Times New Roman"/>
          <w:noProof/>
        </w:rPr>
        <w:t>(Daigo et al. 2010; Oda et al. 2010; Papp 1994)</w:t>
      </w:r>
      <w:r w:rsidR="001D5FB7" w:rsidRPr="00F827DD">
        <w:rPr>
          <w:rFonts w:ascii="Times New Roman" w:hAnsi="Times New Roman" w:cs="Times New Roman"/>
        </w:rPr>
        <w:t xml:space="preserve"> </w:t>
      </w:r>
      <w:r w:rsidR="0025507D" w:rsidRPr="00F827DD">
        <w:rPr>
          <w:rFonts w:ascii="Times New Roman" w:hAnsi="Times New Roman" w:cs="Times New Roman"/>
        </w:rPr>
        <w:t>along with</w:t>
      </w:r>
      <w:r w:rsidR="008F44A2" w:rsidRPr="00F827DD">
        <w:rPr>
          <w:rFonts w:ascii="Times New Roman" w:hAnsi="Times New Roman" w:cs="Times New Roman"/>
        </w:rPr>
        <w:t xml:space="preserve"> </w:t>
      </w:r>
      <w:r w:rsidR="008F44A2" w:rsidRPr="00F827DD">
        <w:rPr>
          <w:rFonts w:ascii="Times New Roman" w:hAnsi="Times New Roman" w:cs="Times New Roman"/>
          <w:noProof/>
        </w:rPr>
        <w:t>(Johnson et al. 2006)</w:t>
      </w:r>
      <w:r w:rsidR="008F44A2" w:rsidRPr="00F827DD">
        <w:rPr>
          <w:rFonts w:ascii="Times New Roman" w:hAnsi="Times New Roman" w:cs="Times New Roman"/>
        </w:rPr>
        <w:t xml:space="preserve"> emphasise</w:t>
      </w:r>
      <w:r w:rsidRPr="00F827DD">
        <w:rPr>
          <w:rFonts w:ascii="Times New Roman" w:hAnsi="Times New Roman" w:cs="Times New Roman"/>
        </w:rPr>
        <w:t>d</w:t>
      </w:r>
      <w:r w:rsidR="00097301" w:rsidRPr="00F827DD">
        <w:rPr>
          <w:rFonts w:ascii="Times New Roman" w:hAnsi="Times New Roman" w:cs="Times New Roman"/>
        </w:rPr>
        <w:t xml:space="preserve"> the</w:t>
      </w:r>
      <w:r w:rsidR="001D5FB7" w:rsidRPr="00F827DD">
        <w:rPr>
          <w:rFonts w:ascii="Times New Roman" w:hAnsi="Times New Roman" w:cs="Times New Roman"/>
        </w:rPr>
        <w:t xml:space="preserve"> importance of scrap and recycling but from different per</w:t>
      </w:r>
      <w:r w:rsidR="004A5E6A" w:rsidRPr="00F827DD">
        <w:rPr>
          <w:rFonts w:ascii="Times New Roman" w:hAnsi="Times New Roman" w:cs="Times New Roman"/>
        </w:rPr>
        <w:t xml:space="preserve">spectives. </w:t>
      </w:r>
      <w:r w:rsidR="004A5E6A" w:rsidRPr="00F827DD">
        <w:rPr>
          <w:rFonts w:ascii="Times New Roman" w:hAnsi="Times New Roman" w:cs="Times New Roman"/>
          <w:noProof/>
        </w:rPr>
        <w:t>(Johnson et al. 2006)</w:t>
      </w:r>
      <w:r w:rsidR="004A5E6A" w:rsidRPr="00F827DD">
        <w:rPr>
          <w:rFonts w:ascii="Times New Roman" w:hAnsi="Times New Roman" w:cs="Times New Roman"/>
        </w:rPr>
        <w:t xml:space="preserve"> </w:t>
      </w:r>
      <w:r w:rsidR="001D5FB7" w:rsidRPr="00F827DD">
        <w:rPr>
          <w:rFonts w:ascii="Times New Roman" w:hAnsi="Times New Roman" w:cs="Times New Roman"/>
        </w:rPr>
        <w:t>argu</w:t>
      </w:r>
      <w:r w:rsidRPr="00F827DD">
        <w:rPr>
          <w:rFonts w:ascii="Times New Roman" w:hAnsi="Times New Roman" w:cs="Times New Roman"/>
        </w:rPr>
        <w:t>ed</w:t>
      </w:r>
      <w:r w:rsidR="001D5FB7" w:rsidRPr="00F827DD">
        <w:rPr>
          <w:rFonts w:ascii="Times New Roman" w:hAnsi="Times New Roman" w:cs="Times New Roman"/>
        </w:rPr>
        <w:t xml:space="preserve"> that findings related to in use stock changes and finished products allow for more accurate planning for future scrap avai</w:t>
      </w:r>
      <w:r w:rsidR="004A5E6A" w:rsidRPr="00F827DD">
        <w:rPr>
          <w:rFonts w:ascii="Times New Roman" w:hAnsi="Times New Roman" w:cs="Times New Roman"/>
        </w:rPr>
        <w:t>lability.</w:t>
      </w:r>
      <w:r w:rsidR="00EB2A0C" w:rsidRPr="00F827DD">
        <w:rPr>
          <w:rFonts w:ascii="Times New Roman" w:hAnsi="Times New Roman" w:cs="Times New Roman"/>
        </w:rPr>
        <w:t xml:space="preserve"> </w:t>
      </w:r>
      <w:r w:rsidR="004A5E6A" w:rsidRPr="00F827DD">
        <w:rPr>
          <w:rFonts w:ascii="Times New Roman" w:hAnsi="Times New Roman" w:cs="Times New Roman"/>
        </w:rPr>
        <w:t>On the other hand</w:t>
      </w:r>
      <w:r w:rsidR="00F91474" w:rsidRPr="00F827DD">
        <w:rPr>
          <w:rFonts w:ascii="Times New Roman" w:hAnsi="Times New Roman" w:cs="Times New Roman"/>
        </w:rPr>
        <w:t>,</w:t>
      </w:r>
      <w:r w:rsidR="0053459A" w:rsidRPr="00F827DD">
        <w:rPr>
          <w:rFonts w:ascii="Times New Roman" w:hAnsi="Times New Roman" w:cs="Times New Roman"/>
        </w:rPr>
        <w:t xml:space="preserve"> the study by </w:t>
      </w:r>
      <w:r w:rsidR="004A5E6A" w:rsidRPr="00F827DD">
        <w:rPr>
          <w:rFonts w:ascii="Times New Roman" w:hAnsi="Times New Roman" w:cs="Times New Roman"/>
          <w:noProof/>
        </w:rPr>
        <w:t>(Daigo et al. 2010)</w:t>
      </w:r>
      <w:r w:rsidR="00FC31F7" w:rsidRPr="00F827DD">
        <w:rPr>
          <w:rFonts w:ascii="Times New Roman" w:hAnsi="Times New Roman" w:cs="Times New Roman"/>
        </w:rPr>
        <w:t xml:space="preserve"> </w:t>
      </w:r>
      <w:r w:rsidR="00EB2A0C" w:rsidRPr="00F827DD">
        <w:rPr>
          <w:rFonts w:ascii="Times New Roman" w:hAnsi="Times New Roman" w:cs="Times New Roman"/>
        </w:rPr>
        <w:t>recommended</w:t>
      </w:r>
      <w:r w:rsidR="000D5B0F" w:rsidRPr="00F827DD">
        <w:rPr>
          <w:rFonts w:ascii="Times New Roman" w:hAnsi="Times New Roman" w:cs="Times New Roman"/>
        </w:rPr>
        <w:t>,</w:t>
      </w:r>
      <w:r w:rsidR="00EB2A0C" w:rsidRPr="00F827DD">
        <w:rPr>
          <w:rFonts w:ascii="Times New Roman" w:hAnsi="Times New Roman" w:cs="Times New Roman"/>
        </w:rPr>
        <w:t xml:space="preserve"> conducting</w:t>
      </w:r>
      <w:r w:rsidRPr="00F827DD">
        <w:rPr>
          <w:rFonts w:ascii="Times New Roman" w:hAnsi="Times New Roman" w:cs="Times New Roman"/>
        </w:rPr>
        <w:t xml:space="preserve"> a dynamic MFA by alloy type.</w:t>
      </w:r>
      <w:r w:rsidR="000D5B0F" w:rsidRPr="00F827DD">
        <w:rPr>
          <w:rFonts w:ascii="Times New Roman" w:hAnsi="Times New Roman" w:cs="Times New Roman"/>
        </w:rPr>
        <w:t xml:space="preserve"> Especially, as this would </w:t>
      </w:r>
      <w:r w:rsidR="000D5B0F" w:rsidRPr="00F827DD">
        <w:rPr>
          <w:rFonts w:ascii="Times New Roman" w:hAnsi="Times New Roman" w:cs="Times New Roman"/>
        </w:rPr>
        <w:lastRenderedPageBreak/>
        <w:t>allow</w:t>
      </w:r>
      <w:r w:rsidR="001D5FB7" w:rsidRPr="00F827DD">
        <w:rPr>
          <w:rFonts w:ascii="Times New Roman" w:hAnsi="Times New Roman" w:cs="Times New Roman"/>
        </w:rPr>
        <w:t xml:space="preserve"> information on the trade</w:t>
      </w:r>
      <w:r w:rsidR="000D5B0F" w:rsidRPr="00F827DD">
        <w:rPr>
          <w:rFonts w:ascii="Times New Roman" w:hAnsi="Times New Roman" w:cs="Times New Roman"/>
        </w:rPr>
        <w:t xml:space="preserve"> of stainless steel scrap to be</w:t>
      </w:r>
      <w:r w:rsidR="001D5FB7" w:rsidRPr="00F827DD">
        <w:rPr>
          <w:rFonts w:ascii="Times New Roman" w:hAnsi="Times New Roman" w:cs="Times New Roman"/>
        </w:rPr>
        <w:t xml:space="preserve"> divided into alloy types. Thus allowing precise analysis on recyclability. A second study from</w:t>
      </w:r>
      <w:r w:rsidR="00EB2A0C" w:rsidRPr="00F827DD">
        <w:rPr>
          <w:rFonts w:ascii="Times New Roman" w:hAnsi="Times New Roman" w:cs="Times New Roman"/>
        </w:rPr>
        <w:t xml:space="preserve"> Japan by</w:t>
      </w:r>
      <w:r w:rsidR="00F827DD">
        <w:rPr>
          <w:rFonts w:ascii="Times New Roman" w:hAnsi="Times New Roman" w:cs="Times New Roman"/>
        </w:rPr>
        <w:t xml:space="preserve"> </w:t>
      </w:r>
      <w:r w:rsidR="00116F92" w:rsidRPr="00F827DD">
        <w:rPr>
          <w:rFonts w:ascii="Times New Roman" w:hAnsi="Times New Roman" w:cs="Times New Roman"/>
          <w:noProof/>
        </w:rPr>
        <w:t>(Oda et al. 2010)</w:t>
      </w:r>
      <w:r w:rsidR="001D5FB7" w:rsidRPr="00F827DD">
        <w:rPr>
          <w:rFonts w:ascii="Times New Roman" w:hAnsi="Times New Roman" w:cs="Times New Roman"/>
        </w:rPr>
        <w:t xml:space="preserve"> </w:t>
      </w:r>
      <w:r w:rsidR="00711531" w:rsidRPr="00F827DD">
        <w:rPr>
          <w:rFonts w:ascii="Times New Roman" w:hAnsi="Times New Roman" w:cs="Times New Roman"/>
        </w:rPr>
        <w:t>investigated the flow of chromium</w:t>
      </w:r>
      <w:r w:rsidR="001D5FB7" w:rsidRPr="00F827DD">
        <w:rPr>
          <w:rFonts w:ascii="Times New Roman" w:hAnsi="Times New Roman" w:cs="Times New Roman"/>
        </w:rPr>
        <w:t xml:space="preserve"> via special steels, carbon steels, and a</w:t>
      </w:r>
      <w:r w:rsidR="000D5B0F" w:rsidRPr="00F827DD">
        <w:rPr>
          <w:rFonts w:ascii="Times New Roman" w:hAnsi="Times New Roman" w:cs="Times New Roman"/>
        </w:rPr>
        <w:t>ll other steel materials, and made the endorsement</w:t>
      </w:r>
      <w:r w:rsidR="00711531" w:rsidRPr="00F827DD">
        <w:rPr>
          <w:rFonts w:ascii="Times New Roman" w:hAnsi="Times New Roman" w:cs="Times New Roman"/>
        </w:rPr>
        <w:t xml:space="preserve"> that recyclability of chromium</w:t>
      </w:r>
      <w:r w:rsidR="001D5FB7" w:rsidRPr="00F827DD">
        <w:rPr>
          <w:rFonts w:ascii="Times New Roman" w:hAnsi="Times New Roman" w:cs="Times New Roman"/>
        </w:rPr>
        <w:t xml:space="preserve"> can be improved by the construction of a recovery system. This system would be able to recover magnetic alloy steels as alloy steels. Other variables such as the environmental impact </w:t>
      </w:r>
      <w:r w:rsidR="004A5E6A" w:rsidRPr="00F827DD">
        <w:rPr>
          <w:rFonts w:ascii="Times New Roman" w:hAnsi="Times New Roman" w:cs="Times New Roman"/>
          <w:noProof/>
        </w:rPr>
        <w:t>(Bergback et al. 2000)</w:t>
      </w:r>
      <w:r w:rsidR="0025507D" w:rsidRPr="00F827DD">
        <w:rPr>
          <w:rFonts w:ascii="Times New Roman" w:hAnsi="Times New Roman" w:cs="Times New Roman"/>
        </w:rPr>
        <w:t xml:space="preserve"> and </w:t>
      </w:r>
      <w:r w:rsidR="001D5FB7" w:rsidRPr="00F827DD">
        <w:rPr>
          <w:rFonts w:ascii="Times New Roman" w:hAnsi="Times New Roman" w:cs="Times New Roman"/>
        </w:rPr>
        <w:t xml:space="preserve">health risk assessment </w:t>
      </w:r>
      <w:r w:rsidR="00116F92" w:rsidRPr="00F827DD">
        <w:rPr>
          <w:rFonts w:ascii="Times New Roman" w:hAnsi="Times New Roman" w:cs="Times New Roman"/>
          <w:noProof/>
        </w:rPr>
        <w:t>(Ma et al. 2007)</w:t>
      </w:r>
      <w:r w:rsidR="001D5FB7" w:rsidRPr="00F827DD">
        <w:rPr>
          <w:rFonts w:ascii="Times New Roman" w:hAnsi="Times New Roman" w:cs="Times New Roman"/>
        </w:rPr>
        <w:t xml:space="preserve"> </w:t>
      </w:r>
      <w:r w:rsidR="0025507D" w:rsidRPr="00F827DD">
        <w:rPr>
          <w:rFonts w:ascii="Times New Roman" w:hAnsi="Times New Roman" w:cs="Times New Roman"/>
        </w:rPr>
        <w:t>have</w:t>
      </w:r>
      <w:r w:rsidR="00067A27" w:rsidRPr="00F827DD">
        <w:rPr>
          <w:rFonts w:ascii="Times New Roman" w:hAnsi="Times New Roman" w:cs="Times New Roman"/>
        </w:rPr>
        <w:t xml:space="preserve"> also</w:t>
      </w:r>
      <w:r w:rsidR="001D5FB7" w:rsidRPr="00F827DD">
        <w:rPr>
          <w:rFonts w:ascii="Times New Roman" w:hAnsi="Times New Roman" w:cs="Times New Roman"/>
        </w:rPr>
        <w:t xml:space="preserve"> been investigated for chromium. </w:t>
      </w:r>
      <w:r w:rsidR="00555E99" w:rsidRPr="00F827DD">
        <w:rPr>
          <w:rFonts w:ascii="Times New Roman" w:hAnsi="Times New Roman" w:cs="Times New Roman"/>
        </w:rPr>
        <w:t xml:space="preserve"> Al</w:t>
      </w:r>
      <w:r w:rsidR="00097301" w:rsidRPr="00F827DD">
        <w:rPr>
          <w:rFonts w:ascii="Times New Roman" w:hAnsi="Times New Roman" w:cs="Times New Roman"/>
        </w:rPr>
        <w:t>though there was an abundance of</w:t>
      </w:r>
      <w:r w:rsidR="00555E99" w:rsidRPr="00F827DD">
        <w:rPr>
          <w:rFonts w:ascii="Times New Roman" w:hAnsi="Times New Roman" w:cs="Times New Roman"/>
        </w:rPr>
        <w:t xml:space="preserve"> literature covering chromium, this was not the case for the remaining elements of interest.</w:t>
      </w:r>
    </w:p>
    <w:p w:rsidR="004173CB" w:rsidRPr="00F827DD" w:rsidRDefault="009A42F1" w:rsidP="00933C68">
      <w:pPr>
        <w:spacing w:after="0" w:line="360" w:lineRule="auto"/>
        <w:ind w:firstLine="720"/>
        <w:contextualSpacing/>
        <w:jc w:val="both"/>
        <w:rPr>
          <w:rFonts w:ascii="Times New Roman" w:hAnsi="Times New Roman" w:cs="Times New Roman"/>
        </w:rPr>
      </w:pPr>
      <w:r w:rsidRPr="00F827DD">
        <w:rPr>
          <w:rFonts w:ascii="Times New Roman" w:hAnsi="Times New Roman" w:cs="Times New Roman"/>
        </w:rPr>
        <w:t>Concerning</w:t>
      </w:r>
      <w:r w:rsidR="001D5FB7" w:rsidRPr="00F827DD">
        <w:rPr>
          <w:rFonts w:ascii="Times New Roman" w:hAnsi="Times New Roman" w:cs="Times New Roman"/>
        </w:rPr>
        <w:t xml:space="preserve"> molybdenum, 3 studies, all static cycles were present in lit</w:t>
      </w:r>
      <w:r w:rsidR="004A5E6A" w:rsidRPr="00F827DD">
        <w:rPr>
          <w:rFonts w:ascii="Times New Roman" w:hAnsi="Times New Roman" w:cs="Times New Roman"/>
        </w:rPr>
        <w:t xml:space="preserve">erature. Two of the studies </w:t>
      </w:r>
      <w:r w:rsidR="004A5E6A" w:rsidRPr="00F827DD">
        <w:rPr>
          <w:rFonts w:ascii="Times New Roman" w:hAnsi="Times New Roman" w:cs="Times New Roman"/>
          <w:noProof/>
        </w:rPr>
        <w:t>(Nakajima et al. 2007)</w:t>
      </w:r>
      <w:r w:rsidR="00477424" w:rsidRPr="00F827DD">
        <w:rPr>
          <w:rFonts w:ascii="Times New Roman" w:hAnsi="Times New Roman" w:cs="Times New Roman"/>
        </w:rPr>
        <w:t xml:space="preserve"> and </w:t>
      </w:r>
      <w:r w:rsidR="00477424" w:rsidRPr="00F827DD">
        <w:rPr>
          <w:rFonts w:ascii="Times New Roman" w:hAnsi="Times New Roman" w:cs="Times New Roman"/>
          <w:noProof/>
        </w:rPr>
        <w:t>(Halada 2008)</w:t>
      </w:r>
      <w:r w:rsidR="001D5FB7" w:rsidRPr="00F827DD">
        <w:rPr>
          <w:rFonts w:ascii="Times New Roman" w:hAnsi="Times New Roman" w:cs="Times New Roman"/>
        </w:rPr>
        <w:t xml:space="preserve"> were from Japan with a sole study </w:t>
      </w:r>
      <w:r w:rsidR="00C175D3" w:rsidRPr="00F827DD">
        <w:rPr>
          <w:rFonts w:ascii="Times New Roman" w:hAnsi="Times New Roman" w:cs="Times New Roman"/>
          <w:noProof/>
        </w:rPr>
        <w:t>(Blossom 1998)</w:t>
      </w:r>
      <w:r w:rsidR="001D5FB7" w:rsidRPr="00F827DD">
        <w:rPr>
          <w:rFonts w:ascii="Times New Roman" w:hAnsi="Times New Roman" w:cs="Times New Roman"/>
        </w:rPr>
        <w:t xml:space="preserve"> from the United States. </w:t>
      </w:r>
    </w:p>
    <w:p w:rsidR="006418BE" w:rsidRPr="00F827DD" w:rsidRDefault="00FD6A59" w:rsidP="006418BE">
      <w:pPr>
        <w:spacing w:after="0" w:line="360" w:lineRule="auto"/>
        <w:ind w:firstLine="720"/>
        <w:contextualSpacing/>
        <w:jc w:val="both"/>
        <w:rPr>
          <w:rFonts w:ascii="Times New Roman" w:hAnsi="Times New Roman" w:cs="Times New Roman"/>
        </w:rPr>
      </w:pPr>
      <w:r w:rsidRPr="00F827DD">
        <w:rPr>
          <w:rFonts w:ascii="Times New Roman" w:hAnsi="Times New Roman" w:cs="Times New Roman"/>
        </w:rPr>
        <w:t>Comparisons between the Japanese studies and the sole study fr</w:t>
      </w:r>
      <w:r w:rsidR="006B1DE2">
        <w:rPr>
          <w:rFonts w:ascii="Times New Roman" w:hAnsi="Times New Roman" w:cs="Times New Roman"/>
        </w:rPr>
        <w:t>om the USA have to be taken in</w:t>
      </w:r>
      <w:r w:rsidRPr="00F827DD">
        <w:rPr>
          <w:rFonts w:ascii="Times New Roman" w:hAnsi="Times New Roman" w:cs="Times New Roman"/>
        </w:rPr>
        <w:t xml:space="preserve"> context. Not only due to a significant gap, of at least a decade between the earliest and latest model but also due to scope. The study from </w:t>
      </w:r>
      <w:r w:rsidRPr="00F827DD">
        <w:rPr>
          <w:rFonts w:ascii="Times New Roman" w:hAnsi="Times New Roman" w:cs="Times New Roman"/>
          <w:noProof/>
        </w:rPr>
        <w:t>(Blossom 1998)</w:t>
      </w:r>
      <w:r w:rsidRPr="00F827DD">
        <w:rPr>
          <w:rFonts w:ascii="Times New Roman" w:hAnsi="Times New Roman" w:cs="Times New Roman"/>
        </w:rPr>
        <w:t xml:space="preserve"> at the time, was an initial assessment of a single elemental cycle whereas the study from </w:t>
      </w:r>
      <w:r w:rsidRPr="00F827DD">
        <w:rPr>
          <w:rFonts w:ascii="Times New Roman" w:hAnsi="Times New Roman" w:cs="Times New Roman"/>
          <w:noProof/>
        </w:rPr>
        <w:t>(Nakajima et al. 2007)</w:t>
      </w:r>
      <w:r w:rsidRPr="00F827DD">
        <w:rPr>
          <w:rFonts w:ascii="Times New Roman" w:hAnsi="Times New Roman" w:cs="Times New Roman"/>
        </w:rPr>
        <w:t xml:space="preserve"> was more advanced by investigating an individual elemental contribution in an alloy.</w:t>
      </w:r>
      <w:r w:rsidR="00150FB1" w:rsidRPr="00F827DD">
        <w:rPr>
          <w:rFonts w:ascii="Times New Roman" w:hAnsi="Times New Roman" w:cs="Times New Roman"/>
        </w:rPr>
        <w:t xml:space="preserve"> </w:t>
      </w:r>
      <w:r w:rsidR="00223A66" w:rsidRPr="00F827DD">
        <w:rPr>
          <w:rFonts w:ascii="Times New Roman" w:hAnsi="Times New Roman" w:cs="Times New Roman"/>
        </w:rPr>
        <w:t>Additionally, the difference in the study are no better highlighted by the studies themselves were</w:t>
      </w:r>
      <w:r w:rsidR="006B1DE2">
        <w:rPr>
          <w:rFonts w:ascii="Times New Roman" w:hAnsi="Times New Roman" w:cs="Times New Roman"/>
        </w:rPr>
        <w:t>,</w:t>
      </w:r>
      <w:r w:rsidR="00223A66" w:rsidRPr="00F827DD">
        <w:rPr>
          <w:rFonts w:ascii="Times New Roman" w:hAnsi="Times New Roman" w:cs="Times New Roman"/>
        </w:rPr>
        <w:t xml:space="preserve"> </w:t>
      </w:r>
      <w:r w:rsidR="00223A66" w:rsidRPr="00F827DD">
        <w:rPr>
          <w:rFonts w:ascii="Times New Roman" w:hAnsi="Times New Roman" w:cs="Times New Roman"/>
          <w:noProof/>
        </w:rPr>
        <w:t>(Nakajima et al. 2007)</w:t>
      </w:r>
      <w:r w:rsidR="00223A66" w:rsidRPr="00F827DD">
        <w:rPr>
          <w:rFonts w:ascii="Times New Roman" w:hAnsi="Times New Roman" w:cs="Times New Roman"/>
        </w:rPr>
        <w:t xml:space="preserve"> states that approximately 24.4 Mt of molybdenum recycling is possible by recycling of molybdenum valves in EoL vehicles. In comparison </w:t>
      </w:r>
      <w:r w:rsidR="00223A66" w:rsidRPr="00F827DD">
        <w:rPr>
          <w:rFonts w:ascii="Times New Roman" w:hAnsi="Times New Roman" w:cs="Times New Roman"/>
          <w:noProof/>
        </w:rPr>
        <w:t>(Blossom 1998)</w:t>
      </w:r>
      <w:r w:rsidR="006418BE" w:rsidRPr="00F827DD">
        <w:rPr>
          <w:rFonts w:ascii="Times New Roman" w:hAnsi="Times New Roman" w:cs="Times New Roman"/>
        </w:rPr>
        <w:t xml:space="preserve"> estimated 8,00</w:t>
      </w:r>
      <w:r w:rsidR="00F827DD">
        <w:rPr>
          <w:rFonts w:ascii="Times New Roman" w:hAnsi="Times New Roman" w:cs="Times New Roman"/>
        </w:rPr>
        <w:t xml:space="preserve">0t of </w:t>
      </w:r>
      <w:r w:rsidR="006418BE" w:rsidRPr="00F827DD">
        <w:rPr>
          <w:rFonts w:ascii="Times New Roman" w:hAnsi="Times New Roman" w:cs="Times New Roman"/>
        </w:rPr>
        <w:t xml:space="preserve">molybdenum </w:t>
      </w:r>
      <w:r w:rsidR="00223A66" w:rsidRPr="00F827DD">
        <w:rPr>
          <w:rFonts w:ascii="Times New Roman" w:hAnsi="Times New Roman" w:cs="Times New Roman"/>
        </w:rPr>
        <w:t xml:space="preserve">to be recycled. </w:t>
      </w:r>
    </w:p>
    <w:p w:rsidR="006418BE" w:rsidRPr="00F827DD" w:rsidRDefault="00150FB1" w:rsidP="006418BE">
      <w:pPr>
        <w:spacing w:after="0" w:line="360" w:lineRule="auto"/>
        <w:ind w:firstLine="720"/>
        <w:contextualSpacing/>
        <w:jc w:val="both"/>
        <w:rPr>
          <w:rFonts w:ascii="Times New Roman" w:hAnsi="Times New Roman" w:cs="Times New Roman"/>
        </w:rPr>
      </w:pPr>
      <w:r w:rsidRPr="00F827DD">
        <w:rPr>
          <w:rFonts w:ascii="Times New Roman" w:hAnsi="Times New Roman" w:cs="Times New Roman"/>
        </w:rPr>
        <w:t xml:space="preserve">However </w:t>
      </w:r>
      <w:r w:rsidRPr="00F827DD">
        <w:rPr>
          <w:rFonts w:ascii="Times New Roman" w:hAnsi="Times New Roman" w:cs="Times New Roman"/>
          <w:noProof/>
        </w:rPr>
        <w:t>(Blossom 1998)</w:t>
      </w:r>
      <w:r w:rsidRPr="00F827DD">
        <w:rPr>
          <w:rFonts w:ascii="Times New Roman" w:hAnsi="Times New Roman" w:cs="Times New Roman"/>
        </w:rPr>
        <w:t xml:space="preserve"> states that as long as the price of molybdenum remains relatively low, scrap metal is not likely to be sought for its molybdenum content. Thus recycling rates of 33% and a recycling efficiency of 30% for molybdenum are not likely to deviate in the long term.</w:t>
      </w:r>
      <w:r w:rsidR="00223A66" w:rsidRPr="00F827DD">
        <w:rPr>
          <w:rFonts w:ascii="Times New Roman" w:hAnsi="Times New Roman" w:cs="Times New Roman"/>
        </w:rPr>
        <w:t xml:space="preserve"> An update by</w:t>
      </w:r>
      <w:r w:rsidRPr="00F827DD">
        <w:rPr>
          <w:rFonts w:ascii="Times New Roman" w:hAnsi="Times New Roman" w:cs="Times New Roman"/>
        </w:rPr>
        <w:t xml:space="preserve"> Blossom</w:t>
      </w:r>
      <w:r w:rsidR="00223A66" w:rsidRPr="00F827DD">
        <w:rPr>
          <w:rFonts w:ascii="Times New Roman" w:hAnsi="Times New Roman" w:cs="Times New Roman"/>
        </w:rPr>
        <w:t xml:space="preserve"> in 2004 on his original study, supports his argument of </w:t>
      </w:r>
      <w:r w:rsidRPr="00F827DD">
        <w:rPr>
          <w:rFonts w:ascii="Times New Roman" w:hAnsi="Times New Roman" w:cs="Times New Roman"/>
        </w:rPr>
        <w:t>recycling</w:t>
      </w:r>
      <w:r w:rsidR="00223A66" w:rsidRPr="00F827DD">
        <w:rPr>
          <w:rFonts w:ascii="Times New Roman" w:hAnsi="Times New Roman" w:cs="Times New Roman"/>
        </w:rPr>
        <w:t xml:space="preserve"> rates</w:t>
      </w:r>
      <w:r w:rsidRPr="00F827DD">
        <w:rPr>
          <w:rFonts w:ascii="Times New Roman" w:hAnsi="Times New Roman" w:cs="Times New Roman"/>
        </w:rPr>
        <w:t xml:space="preserve"> a</w:t>
      </w:r>
      <w:r w:rsidR="00223A66" w:rsidRPr="00F827DD">
        <w:rPr>
          <w:rFonts w:ascii="Times New Roman" w:hAnsi="Times New Roman" w:cs="Times New Roman"/>
        </w:rPr>
        <w:t xml:space="preserve">nd recycling efficiency not deviating. </w:t>
      </w:r>
    </w:p>
    <w:p w:rsidR="004B7172" w:rsidRPr="000906E1" w:rsidRDefault="00FD6A59" w:rsidP="006D78B6">
      <w:pPr>
        <w:spacing w:after="0" w:line="360" w:lineRule="auto"/>
        <w:ind w:firstLine="720"/>
        <w:contextualSpacing/>
        <w:jc w:val="both"/>
        <w:rPr>
          <w:rFonts w:ascii="Times New Roman" w:hAnsi="Times New Roman" w:cs="Times New Roman"/>
        </w:rPr>
      </w:pPr>
      <w:r w:rsidRPr="00F827DD">
        <w:rPr>
          <w:rFonts w:ascii="Times New Roman" w:hAnsi="Times New Roman" w:cs="Times New Roman"/>
          <w:noProof/>
        </w:rPr>
        <w:t>(Nakajima et al. 2007)</w:t>
      </w:r>
      <w:r w:rsidRPr="00F827DD">
        <w:rPr>
          <w:rFonts w:ascii="Times New Roman" w:hAnsi="Times New Roman" w:cs="Times New Roman"/>
        </w:rPr>
        <w:t xml:space="preserve"> on the</w:t>
      </w:r>
      <w:r w:rsidR="00223A66" w:rsidRPr="00F827DD">
        <w:rPr>
          <w:rFonts w:ascii="Times New Roman" w:hAnsi="Times New Roman" w:cs="Times New Roman"/>
        </w:rPr>
        <w:t xml:space="preserve"> other hand also investigated molybdenum</w:t>
      </w:r>
      <w:r w:rsidRPr="00F827DD">
        <w:rPr>
          <w:rFonts w:ascii="Times New Roman" w:hAnsi="Times New Roman" w:cs="Times New Roman"/>
        </w:rPr>
        <w:t xml:space="preserve"> flow and its recycling but in the context of its association with iron and steel flow</w:t>
      </w:r>
      <w:r w:rsidRPr="000906E1">
        <w:rPr>
          <w:rFonts w:ascii="Times New Roman" w:hAnsi="Times New Roman" w:cs="Times New Roman"/>
        </w:rPr>
        <w:t xml:space="preserve">. </w:t>
      </w:r>
      <w:r w:rsidR="00223A66" w:rsidRPr="000906E1">
        <w:rPr>
          <w:rFonts w:ascii="Times New Roman" w:hAnsi="Times New Roman" w:cs="Times New Roman"/>
        </w:rPr>
        <w:t xml:space="preserve">The study by Nakajima was more concerned about </w:t>
      </w:r>
      <w:r w:rsidR="004B7172" w:rsidRPr="000906E1">
        <w:rPr>
          <w:rFonts w:ascii="Times New Roman" w:hAnsi="Times New Roman" w:cs="Times New Roman"/>
        </w:rPr>
        <w:t>‘</w:t>
      </w:r>
      <w:r w:rsidR="00223A66" w:rsidRPr="000906E1">
        <w:rPr>
          <w:rFonts w:ascii="Times New Roman" w:hAnsi="Times New Roman" w:cs="Times New Roman"/>
        </w:rPr>
        <w:t>promoting</w:t>
      </w:r>
      <w:r w:rsidR="004B7172" w:rsidRPr="000906E1">
        <w:rPr>
          <w:rFonts w:ascii="Times New Roman" w:hAnsi="Times New Roman" w:cs="Times New Roman"/>
        </w:rPr>
        <w:t>’ molybdenum recycling, via identification of</w:t>
      </w:r>
      <w:r w:rsidR="00223A66" w:rsidRPr="000906E1">
        <w:rPr>
          <w:rFonts w:ascii="Times New Roman" w:hAnsi="Times New Roman" w:cs="Times New Roman"/>
        </w:rPr>
        <w:t xml:space="preserve"> dismantling technology and standardizing of special steel scrap as the two primary processes of opportunity.</w:t>
      </w:r>
      <w:r w:rsidR="004B7172" w:rsidRPr="000906E1">
        <w:rPr>
          <w:rFonts w:ascii="Times New Roman" w:hAnsi="Times New Roman" w:cs="Times New Roman"/>
        </w:rPr>
        <w:t xml:space="preserve"> The term ‘promoting’</w:t>
      </w:r>
      <w:r w:rsidR="00B13E56" w:rsidRPr="000906E1">
        <w:rPr>
          <w:rFonts w:ascii="Times New Roman" w:hAnsi="Times New Roman" w:cs="Times New Roman"/>
        </w:rPr>
        <w:t xml:space="preserve"> here does not imply that the study by Nakajima had an agenda</w:t>
      </w:r>
      <w:r w:rsidR="00D9046A" w:rsidRPr="000906E1">
        <w:rPr>
          <w:rFonts w:ascii="Times New Roman" w:hAnsi="Times New Roman" w:cs="Times New Roman"/>
        </w:rPr>
        <w:t xml:space="preserve">, rather </w:t>
      </w:r>
      <w:r w:rsidR="00AC48F3" w:rsidRPr="000906E1">
        <w:rPr>
          <w:rFonts w:ascii="Times New Roman" w:hAnsi="Times New Roman" w:cs="Times New Roman"/>
        </w:rPr>
        <w:t>the study is</w:t>
      </w:r>
      <w:r w:rsidR="00D9046A" w:rsidRPr="000906E1">
        <w:rPr>
          <w:rFonts w:ascii="Times New Roman" w:hAnsi="Times New Roman" w:cs="Times New Roman"/>
        </w:rPr>
        <w:t xml:space="preserve"> quite subjective</w:t>
      </w:r>
      <w:r w:rsidR="004B7172" w:rsidRPr="000906E1">
        <w:rPr>
          <w:rFonts w:ascii="Times New Roman" w:hAnsi="Times New Roman" w:cs="Times New Roman"/>
        </w:rPr>
        <w:t xml:space="preserve">. </w:t>
      </w:r>
      <w:r w:rsidR="00AC48F3" w:rsidRPr="000906E1">
        <w:rPr>
          <w:rFonts w:ascii="Times New Roman" w:hAnsi="Times New Roman" w:cs="Times New Roman"/>
        </w:rPr>
        <w:t>Although the method and data to cons</w:t>
      </w:r>
      <w:r w:rsidR="000146A1" w:rsidRPr="000906E1">
        <w:rPr>
          <w:rFonts w:ascii="Times New Roman" w:hAnsi="Times New Roman" w:cs="Times New Roman"/>
        </w:rPr>
        <w:t xml:space="preserve">truct MFAs should be objective. Sometimes and has is the case here, </w:t>
      </w:r>
      <w:r w:rsidR="00AC48F3" w:rsidRPr="000906E1">
        <w:rPr>
          <w:rFonts w:ascii="Times New Roman" w:hAnsi="Times New Roman" w:cs="Times New Roman"/>
        </w:rPr>
        <w:t xml:space="preserve">the type of </w:t>
      </w:r>
      <w:r w:rsidR="004B7172" w:rsidRPr="000906E1">
        <w:rPr>
          <w:rFonts w:ascii="Times New Roman" w:hAnsi="Times New Roman" w:cs="Times New Roman"/>
        </w:rPr>
        <w:t xml:space="preserve">study, the element being investigated and the country from which the study originates are factors that </w:t>
      </w:r>
      <w:r w:rsidR="00AC48F3" w:rsidRPr="000906E1">
        <w:rPr>
          <w:rFonts w:ascii="Times New Roman" w:hAnsi="Times New Roman" w:cs="Times New Roman"/>
        </w:rPr>
        <w:t>can contribute towards a subjective</w:t>
      </w:r>
      <w:r w:rsidR="004B7172" w:rsidRPr="000906E1">
        <w:rPr>
          <w:rFonts w:ascii="Times New Roman" w:hAnsi="Times New Roman" w:cs="Times New Roman"/>
        </w:rPr>
        <w:t xml:space="preserve"> MFA study. </w:t>
      </w:r>
      <w:r w:rsidR="00AC48F3" w:rsidRPr="000906E1">
        <w:rPr>
          <w:rFonts w:ascii="Times New Roman" w:hAnsi="Times New Roman" w:cs="Times New Roman"/>
        </w:rPr>
        <w:t>In this particular case, Japan is known to be driving towards a circular economy with recycling being a major part of this.</w:t>
      </w:r>
      <w:r w:rsidR="006D78B6" w:rsidRPr="000906E1">
        <w:rPr>
          <w:rFonts w:ascii="Times New Roman" w:hAnsi="Times New Roman" w:cs="Times New Roman"/>
        </w:rPr>
        <w:t xml:space="preserve"> Additionally the majority of data provided was from Japanese Institutions and Research Centres. Thus the study by Nakajima, can be seen as assisting the policy of the government of Japan as well as being a relevant MFA study. </w:t>
      </w:r>
      <w:r w:rsidR="004B7172" w:rsidRPr="000906E1">
        <w:rPr>
          <w:rFonts w:ascii="Times New Roman" w:hAnsi="Times New Roman" w:cs="Times New Roman"/>
        </w:rPr>
        <w:t xml:space="preserve">However it is </w:t>
      </w:r>
      <w:r w:rsidR="00B13E56" w:rsidRPr="000906E1">
        <w:rPr>
          <w:rFonts w:ascii="Times New Roman" w:hAnsi="Times New Roman" w:cs="Times New Roman"/>
        </w:rPr>
        <w:t>important to be aware that some studies do</w:t>
      </w:r>
      <w:r w:rsidR="00710D7D" w:rsidRPr="000906E1">
        <w:rPr>
          <w:rFonts w:ascii="Times New Roman" w:hAnsi="Times New Roman" w:cs="Times New Roman"/>
        </w:rPr>
        <w:t xml:space="preserve"> </w:t>
      </w:r>
      <w:r w:rsidR="00B13E56" w:rsidRPr="000906E1">
        <w:rPr>
          <w:rFonts w:ascii="Times New Roman" w:hAnsi="Times New Roman" w:cs="Times New Roman"/>
        </w:rPr>
        <w:t xml:space="preserve">promote an </w:t>
      </w:r>
      <w:r w:rsidR="00710D7D" w:rsidRPr="000906E1">
        <w:rPr>
          <w:rFonts w:ascii="Times New Roman" w:hAnsi="Times New Roman" w:cs="Times New Roman"/>
        </w:rPr>
        <w:t>economic and political agenda</w:t>
      </w:r>
      <w:r w:rsidR="00B13E56" w:rsidRPr="000906E1">
        <w:rPr>
          <w:rFonts w:ascii="Times New Roman" w:hAnsi="Times New Roman" w:cs="Times New Roman"/>
        </w:rPr>
        <w:t xml:space="preserve"> as to create a certain positive or negative public as well as global perception.</w:t>
      </w:r>
    </w:p>
    <w:p w:rsidR="00FD6A59" w:rsidRPr="000906E1" w:rsidRDefault="00113F54" w:rsidP="00113F54">
      <w:pPr>
        <w:spacing w:after="0" w:line="360" w:lineRule="auto"/>
        <w:ind w:firstLine="720"/>
        <w:contextualSpacing/>
        <w:jc w:val="both"/>
        <w:rPr>
          <w:rFonts w:ascii="Times New Roman" w:hAnsi="Times New Roman" w:cs="Times New Roman"/>
        </w:rPr>
      </w:pPr>
      <w:r w:rsidRPr="000906E1">
        <w:rPr>
          <w:rFonts w:ascii="Times New Roman" w:hAnsi="Times New Roman" w:cs="Times New Roman"/>
        </w:rPr>
        <w:lastRenderedPageBreak/>
        <w:t xml:space="preserve">Comparisons of the two studies from Japan would have been useful, but information regarding the processes and data used in </w:t>
      </w:r>
      <w:r w:rsidRPr="000906E1">
        <w:rPr>
          <w:rFonts w:ascii="Times New Roman" w:hAnsi="Times New Roman" w:cs="Times New Roman"/>
          <w:noProof/>
        </w:rPr>
        <w:t>(Halada 2008)</w:t>
      </w:r>
      <w:r w:rsidRPr="000906E1">
        <w:rPr>
          <w:rFonts w:ascii="Times New Roman" w:hAnsi="Times New Roman" w:cs="Times New Roman"/>
        </w:rPr>
        <w:t xml:space="preserve"> </w:t>
      </w:r>
      <w:r w:rsidR="00E81B14" w:rsidRPr="000906E1">
        <w:rPr>
          <w:rFonts w:ascii="Times New Roman" w:hAnsi="Times New Roman" w:cs="Times New Roman"/>
        </w:rPr>
        <w:t>could n</w:t>
      </w:r>
      <w:r w:rsidRPr="000906E1">
        <w:rPr>
          <w:rFonts w:ascii="Times New Roman" w:hAnsi="Times New Roman" w:cs="Times New Roman"/>
        </w:rPr>
        <w:t>ot be retrieved, even by tracing</w:t>
      </w:r>
      <w:r w:rsidR="00E81B14" w:rsidRPr="000906E1">
        <w:rPr>
          <w:rFonts w:ascii="Times New Roman" w:hAnsi="Times New Roman" w:cs="Times New Roman"/>
        </w:rPr>
        <w:t xml:space="preserve"> back the original reference </w:t>
      </w:r>
      <w:r w:rsidRPr="000906E1">
        <w:rPr>
          <w:rFonts w:ascii="Times New Roman" w:hAnsi="Times New Roman" w:cs="Times New Roman"/>
        </w:rPr>
        <w:t>used by a recent study</w:t>
      </w:r>
      <w:r w:rsidR="00E81B14" w:rsidRPr="000906E1">
        <w:rPr>
          <w:rFonts w:ascii="Times New Roman" w:hAnsi="Times New Roman" w:cs="Times New Roman"/>
        </w:rPr>
        <w:t xml:space="preserve"> </w:t>
      </w:r>
      <w:r w:rsidR="00E81B14" w:rsidRPr="000906E1">
        <w:rPr>
          <w:rFonts w:ascii="Times New Roman" w:hAnsi="Times New Roman" w:cs="Times New Roman"/>
          <w:noProof/>
        </w:rPr>
        <w:t>(Chen &amp; Graedel 2012)</w:t>
      </w:r>
      <w:r w:rsidR="00E81B14" w:rsidRPr="000906E1">
        <w:rPr>
          <w:rFonts w:ascii="Times New Roman" w:hAnsi="Times New Roman" w:cs="Times New Roman"/>
        </w:rPr>
        <w:t xml:space="preserve">. </w:t>
      </w:r>
      <w:r w:rsidRPr="000906E1">
        <w:rPr>
          <w:rFonts w:ascii="Times New Roman" w:hAnsi="Times New Roman" w:cs="Times New Roman"/>
        </w:rPr>
        <w:t>In addition to molybdenum, d</w:t>
      </w:r>
      <w:r w:rsidR="00E81B14" w:rsidRPr="000906E1">
        <w:rPr>
          <w:rFonts w:ascii="Times New Roman" w:hAnsi="Times New Roman" w:cs="Times New Roman"/>
        </w:rPr>
        <w:t xml:space="preserve">ata </w:t>
      </w:r>
      <w:r w:rsidRPr="000906E1">
        <w:rPr>
          <w:rFonts w:ascii="Times New Roman" w:hAnsi="Times New Roman" w:cs="Times New Roman"/>
        </w:rPr>
        <w:t xml:space="preserve">appears to </w:t>
      </w:r>
      <w:r w:rsidR="00E81B14" w:rsidRPr="000906E1">
        <w:rPr>
          <w:rFonts w:ascii="Times New Roman" w:hAnsi="Times New Roman" w:cs="Times New Roman"/>
        </w:rPr>
        <w:t>be available for chromium for the years 2003 and 2006 as we</w:t>
      </w:r>
      <w:r w:rsidR="00FD6A59" w:rsidRPr="000906E1">
        <w:rPr>
          <w:rFonts w:ascii="Times New Roman" w:hAnsi="Times New Roman" w:cs="Times New Roman"/>
        </w:rPr>
        <w:t>ll as for niobium and vanadium for the years 2000 and 2006</w:t>
      </w:r>
      <w:r w:rsidR="00E81B14" w:rsidRPr="000906E1">
        <w:rPr>
          <w:rFonts w:ascii="Times New Roman" w:hAnsi="Times New Roman" w:cs="Times New Roman"/>
        </w:rPr>
        <w:t xml:space="preserve">. </w:t>
      </w:r>
      <w:r w:rsidRPr="000906E1">
        <w:rPr>
          <w:rFonts w:ascii="Times New Roman" w:hAnsi="Times New Roman" w:cs="Times New Roman"/>
        </w:rPr>
        <w:t>However this cannot be verified.</w:t>
      </w:r>
    </w:p>
    <w:p w:rsidR="00F75864" w:rsidRPr="000906E1" w:rsidRDefault="00113F54" w:rsidP="00F75864">
      <w:pPr>
        <w:spacing w:after="0" w:line="360" w:lineRule="auto"/>
        <w:ind w:firstLine="720"/>
        <w:jc w:val="both"/>
        <w:rPr>
          <w:rFonts w:ascii="Times New Roman" w:hAnsi="Times New Roman" w:cs="Times New Roman"/>
        </w:rPr>
      </w:pPr>
      <w:r w:rsidRPr="000906E1">
        <w:rPr>
          <w:rFonts w:ascii="Times New Roman" w:hAnsi="Times New Roman" w:cs="Times New Roman"/>
        </w:rPr>
        <w:t>Regarding</w:t>
      </w:r>
      <w:r w:rsidR="008333E3" w:rsidRPr="000906E1">
        <w:rPr>
          <w:rFonts w:ascii="Times New Roman" w:hAnsi="Times New Roman" w:cs="Times New Roman"/>
        </w:rPr>
        <w:t xml:space="preserve"> </w:t>
      </w:r>
      <w:r w:rsidR="00ED07F8" w:rsidRPr="000906E1">
        <w:rPr>
          <w:rFonts w:ascii="Times New Roman" w:hAnsi="Times New Roman" w:cs="Times New Roman"/>
        </w:rPr>
        <w:t xml:space="preserve">niobium, studies from </w:t>
      </w:r>
      <w:r w:rsidR="00ED07F8" w:rsidRPr="000906E1">
        <w:rPr>
          <w:rFonts w:ascii="Times New Roman" w:hAnsi="Times New Roman" w:cs="Times New Roman"/>
          <w:noProof/>
        </w:rPr>
        <w:t>(Halada 2008)</w:t>
      </w:r>
      <w:r w:rsidR="00ED07F8" w:rsidRPr="000906E1">
        <w:rPr>
          <w:rFonts w:ascii="Times New Roman" w:hAnsi="Times New Roman" w:cs="Times New Roman"/>
        </w:rPr>
        <w:t xml:space="preserve"> </w:t>
      </w:r>
      <w:r w:rsidR="001D5FB7" w:rsidRPr="000906E1">
        <w:rPr>
          <w:rFonts w:ascii="Times New Roman" w:hAnsi="Times New Roman" w:cs="Times New Roman"/>
        </w:rPr>
        <w:t xml:space="preserve">and </w:t>
      </w:r>
      <w:r w:rsidR="00ED07F8" w:rsidRPr="000906E1">
        <w:rPr>
          <w:rFonts w:ascii="Times New Roman" w:hAnsi="Times New Roman" w:cs="Times New Roman"/>
          <w:noProof/>
        </w:rPr>
        <w:t>(Cunningham 1998)</w:t>
      </w:r>
      <w:r w:rsidR="00E81B14" w:rsidRPr="000906E1">
        <w:rPr>
          <w:rFonts w:ascii="Times New Roman" w:hAnsi="Times New Roman" w:cs="Times New Roman"/>
        </w:rPr>
        <w:t xml:space="preserve"> were</w:t>
      </w:r>
      <w:r w:rsidR="008333E3" w:rsidRPr="000906E1">
        <w:rPr>
          <w:rFonts w:ascii="Times New Roman" w:hAnsi="Times New Roman" w:cs="Times New Roman"/>
        </w:rPr>
        <w:t xml:space="preserve"> the only present sources located in literature.</w:t>
      </w:r>
      <w:r w:rsidR="00E81B14" w:rsidRPr="000906E1">
        <w:rPr>
          <w:rFonts w:ascii="Times New Roman" w:hAnsi="Times New Roman" w:cs="Times New Roman"/>
        </w:rPr>
        <w:t xml:space="preserve"> With the unavailability of the study from </w:t>
      </w:r>
      <w:r w:rsidR="00E81B14" w:rsidRPr="000906E1">
        <w:rPr>
          <w:rFonts w:ascii="Times New Roman" w:hAnsi="Times New Roman" w:cs="Times New Roman"/>
          <w:noProof/>
        </w:rPr>
        <w:t>(Halada 2008)</w:t>
      </w:r>
      <w:r w:rsidR="00E81B14" w:rsidRPr="000906E1">
        <w:rPr>
          <w:rFonts w:ascii="Times New Roman" w:hAnsi="Times New Roman" w:cs="Times New Roman"/>
        </w:rPr>
        <w:t>, t</w:t>
      </w:r>
      <w:r w:rsidR="001D5FB7" w:rsidRPr="000906E1">
        <w:rPr>
          <w:rFonts w:ascii="Times New Roman" w:hAnsi="Times New Roman" w:cs="Times New Roman"/>
        </w:rPr>
        <w:t>he remaining study in literature</w:t>
      </w:r>
      <w:r w:rsidR="008333E3" w:rsidRPr="000906E1">
        <w:rPr>
          <w:rFonts w:ascii="Times New Roman" w:hAnsi="Times New Roman" w:cs="Times New Roman"/>
        </w:rPr>
        <w:t xml:space="preserve"> was from</w:t>
      </w:r>
      <w:r w:rsidR="001D5FB7" w:rsidRPr="000906E1">
        <w:rPr>
          <w:rFonts w:ascii="Times New Roman" w:hAnsi="Times New Roman" w:cs="Times New Roman"/>
        </w:rPr>
        <w:t xml:space="preserve"> </w:t>
      </w:r>
      <w:r w:rsidR="00ED07F8" w:rsidRPr="000906E1">
        <w:rPr>
          <w:rFonts w:ascii="Times New Roman" w:hAnsi="Times New Roman" w:cs="Times New Roman"/>
          <w:noProof/>
        </w:rPr>
        <w:t>(Cunningham 1998)</w:t>
      </w:r>
      <w:r w:rsidR="008333E3" w:rsidRPr="000906E1">
        <w:rPr>
          <w:rFonts w:ascii="Times New Roman" w:hAnsi="Times New Roman" w:cs="Times New Roman"/>
        </w:rPr>
        <w:t>. Although difficult to compare against other models due to niobium’s unique production route, it does highlight a gap where more related studies need to be conducted. Or if they are conducted to be freely available, in order to progress the field</w:t>
      </w:r>
      <w:r w:rsidR="00F75864" w:rsidRPr="000906E1">
        <w:rPr>
          <w:rFonts w:ascii="Times New Roman" w:hAnsi="Times New Roman" w:cs="Times New Roman"/>
        </w:rPr>
        <w:t xml:space="preserve"> within</w:t>
      </w:r>
      <w:r w:rsidR="008333E3" w:rsidRPr="000906E1">
        <w:rPr>
          <w:rFonts w:ascii="Times New Roman" w:hAnsi="Times New Roman" w:cs="Times New Roman"/>
        </w:rPr>
        <w:t xml:space="preserve"> niobium</w:t>
      </w:r>
      <w:r w:rsidR="00F75864" w:rsidRPr="000906E1">
        <w:rPr>
          <w:rFonts w:ascii="Times New Roman" w:hAnsi="Times New Roman" w:cs="Times New Roman"/>
        </w:rPr>
        <w:t>.</w:t>
      </w:r>
    </w:p>
    <w:p w:rsidR="001D5FB7" w:rsidRPr="000906E1" w:rsidRDefault="00F75864" w:rsidP="00F75864">
      <w:pPr>
        <w:spacing w:after="0" w:line="360" w:lineRule="auto"/>
        <w:ind w:firstLine="720"/>
        <w:jc w:val="both"/>
        <w:rPr>
          <w:rFonts w:ascii="Times New Roman" w:hAnsi="Times New Roman" w:cs="Times New Roman"/>
        </w:rPr>
      </w:pPr>
      <w:r w:rsidRPr="000906E1">
        <w:rPr>
          <w:rFonts w:ascii="Times New Roman" w:hAnsi="Times New Roman" w:cs="Times New Roman"/>
        </w:rPr>
        <w:t xml:space="preserve">Finally literature related to </w:t>
      </w:r>
      <w:r w:rsidR="00F827DD" w:rsidRPr="000906E1">
        <w:rPr>
          <w:rFonts w:ascii="Times New Roman" w:hAnsi="Times New Roman" w:cs="Times New Roman"/>
        </w:rPr>
        <w:t>vanadium</w:t>
      </w:r>
      <w:r w:rsidR="001F6625" w:rsidRPr="000906E1">
        <w:rPr>
          <w:rFonts w:ascii="Times New Roman" w:hAnsi="Times New Roman" w:cs="Times New Roman"/>
        </w:rPr>
        <w:t>, s</w:t>
      </w:r>
      <w:r w:rsidR="001D5FB7" w:rsidRPr="000906E1">
        <w:rPr>
          <w:rFonts w:ascii="Times New Roman" w:hAnsi="Times New Roman" w:cs="Times New Roman"/>
        </w:rPr>
        <w:t>imilarly to molybdenum and</w:t>
      </w:r>
      <w:r w:rsidR="00ED07F8" w:rsidRPr="000906E1">
        <w:rPr>
          <w:rFonts w:ascii="Times New Roman" w:hAnsi="Times New Roman" w:cs="Times New Roman"/>
        </w:rPr>
        <w:t xml:space="preserve"> </w:t>
      </w:r>
      <w:r w:rsidRPr="000906E1">
        <w:rPr>
          <w:rFonts w:ascii="Times New Roman" w:hAnsi="Times New Roman" w:cs="Times New Roman"/>
        </w:rPr>
        <w:t>niobium, was</w:t>
      </w:r>
      <w:r w:rsidR="001F6625" w:rsidRPr="000906E1">
        <w:rPr>
          <w:rFonts w:ascii="Times New Roman" w:hAnsi="Times New Roman" w:cs="Times New Roman"/>
        </w:rPr>
        <w:t xml:space="preserve"> </w:t>
      </w:r>
      <w:r w:rsidR="001D5FB7" w:rsidRPr="000906E1">
        <w:rPr>
          <w:rFonts w:ascii="Times New Roman" w:hAnsi="Times New Roman" w:cs="Times New Roman"/>
        </w:rPr>
        <w:t xml:space="preserve">limited </w:t>
      </w:r>
      <w:r w:rsidR="001F6625" w:rsidRPr="000906E1">
        <w:rPr>
          <w:rFonts w:ascii="Times New Roman" w:hAnsi="Times New Roman" w:cs="Times New Roman"/>
        </w:rPr>
        <w:t xml:space="preserve">to a few </w:t>
      </w:r>
      <w:r w:rsidR="001D5FB7" w:rsidRPr="000906E1">
        <w:rPr>
          <w:rFonts w:ascii="Times New Roman" w:hAnsi="Times New Roman" w:cs="Times New Roman"/>
        </w:rPr>
        <w:t>studies</w:t>
      </w:r>
      <w:r w:rsidRPr="000906E1">
        <w:rPr>
          <w:rFonts w:ascii="Times New Roman" w:hAnsi="Times New Roman" w:cs="Times New Roman"/>
        </w:rPr>
        <w:t xml:space="preserve"> specifically:</w:t>
      </w:r>
      <w:r w:rsidR="001F6625" w:rsidRPr="000906E1">
        <w:rPr>
          <w:rFonts w:ascii="Times New Roman" w:hAnsi="Times New Roman" w:cs="Times New Roman"/>
        </w:rPr>
        <w:t xml:space="preserve"> </w:t>
      </w:r>
      <w:r w:rsidRPr="000906E1">
        <w:rPr>
          <w:rFonts w:ascii="Times New Roman" w:hAnsi="Times New Roman" w:cs="Times New Roman"/>
          <w:noProof/>
        </w:rPr>
        <w:t>(Halada 2008; Hope 2008; Hilliard 1994)</w:t>
      </w:r>
      <w:r w:rsidR="001F6625" w:rsidRPr="000906E1">
        <w:rPr>
          <w:rFonts w:ascii="Times New Roman" w:hAnsi="Times New Roman" w:cs="Times New Roman"/>
        </w:rPr>
        <w:t xml:space="preserve">. The </w:t>
      </w:r>
      <w:r w:rsidR="001D5FB7" w:rsidRPr="000906E1">
        <w:rPr>
          <w:rFonts w:ascii="Times New Roman" w:hAnsi="Times New Roman" w:cs="Times New Roman"/>
        </w:rPr>
        <w:t xml:space="preserve">study by </w:t>
      </w:r>
      <w:r w:rsidR="00211B9E" w:rsidRPr="000906E1">
        <w:rPr>
          <w:rFonts w:ascii="Times New Roman" w:hAnsi="Times New Roman" w:cs="Times New Roman"/>
          <w:noProof/>
        </w:rPr>
        <w:t>(Hope 2008)</w:t>
      </w:r>
      <w:r w:rsidR="001D5FB7" w:rsidRPr="000906E1">
        <w:rPr>
          <w:rFonts w:ascii="Times New Roman" w:hAnsi="Times New Roman" w:cs="Times New Roman"/>
        </w:rPr>
        <w:t xml:space="preserve"> was the only dynamic study investigating the global cycling of anthropoge</w:t>
      </w:r>
      <w:r w:rsidR="00211B9E" w:rsidRPr="000906E1">
        <w:rPr>
          <w:rFonts w:ascii="Times New Roman" w:hAnsi="Times New Roman" w:cs="Times New Roman"/>
        </w:rPr>
        <w:t xml:space="preserve">nic vanadium whilst study by </w:t>
      </w:r>
      <w:r w:rsidR="00211B9E" w:rsidRPr="000906E1">
        <w:rPr>
          <w:rFonts w:ascii="Times New Roman" w:hAnsi="Times New Roman" w:cs="Times New Roman"/>
          <w:noProof/>
        </w:rPr>
        <w:t>(Hilliard 1994)</w:t>
      </w:r>
      <w:r w:rsidR="001D5FB7" w:rsidRPr="000906E1">
        <w:rPr>
          <w:rFonts w:ascii="Times New Roman" w:hAnsi="Times New Roman" w:cs="Times New Roman"/>
        </w:rPr>
        <w:t xml:space="preserve"> was more focused on material flow of vanadium within the United States. </w:t>
      </w:r>
      <w:r w:rsidR="00211B9E" w:rsidRPr="000906E1">
        <w:rPr>
          <w:rFonts w:ascii="Times New Roman" w:hAnsi="Times New Roman" w:cs="Times New Roman"/>
          <w:noProof/>
        </w:rPr>
        <w:t>(Hope 2008)</w:t>
      </w:r>
      <w:r w:rsidR="00097301" w:rsidRPr="000906E1">
        <w:rPr>
          <w:rFonts w:ascii="Times New Roman" w:hAnsi="Times New Roman" w:cs="Times New Roman"/>
        </w:rPr>
        <w:t xml:space="preserve"> focu</w:t>
      </w:r>
      <w:r w:rsidR="001D5FB7" w:rsidRPr="000906E1">
        <w:rPr>
          <w:rFonts w:ascii="Times New Roman" w:hAnsi="Times New Roman" w:cs="Times New Roman"/>
        </w:rPr>
        <w:t xml:space="preserve">sed more on the anthropogenic emissions on </w:t>
      </w:r>
      <w:r w:rsidR="00211B9E" w:rsidRPr="000906E1">
        <w:rPr>
          <w:rFonts w:ascii="Times New Roman" w:hAnsi="Times New Roman" w:cs="Times New Roman"/>
        </w:rPr>
        <w:t xml:space="preserve">air, land and water whereas </w:t>
      </w:r>
      <w:r w:rsidR="00211B9E" w:rsidRPr="000906E1">
        <w:rPr>
          <w:rFonts w:ascii="Times New Roman" w:hAnsi="Times New Roman" w:cs="Times New Roman"/>
          <w:noProof/>
        </w:rPr>
        <w:t>(Hope 2008)</w:t>
      </w:r>
      <w:r w:rsidR="001D5FB7" w:rsidRPr="000906E1">
        <w:rPr>
          <w:rFonts w:ascii="Times New Roman" w:hAnsi="Times New Roman" w:cs="Times New Roman"/>
        </w:rPr>
        <w:t xml:space="preserve"> placed more emphasis on recycling.</w:t>
      </w:r>
      <w:r w:rsidR="001F6625" w:rsidRPr="000906E1">
        <w:rPr>
          <w:rFonts w:ascii="Times New Roman" w:hAnsi="Times New Roman" w:cs="Times New Roman"/>
        </w:rPr>
        <w:t xml:space="preserve"> The methodology for the two studies was dissimilar, with </w:t>
      </w:r>
      <w:r w:rsidR="001F6625" w:rsidRPr="000906E1">
        <w:rPr>
          <w:rStyle w:val="ReferenceChar"/>
          <w:noProof/>
          <w:color w:val="auto"/>
        </w:rPr>
        <w:t>(Hilliard 1994</w:t>
      </w:r>
      <w:r w:rsidR="00F827DD" w:rsidRPr="000906E1">
        <w:rPr>
          <w:rStyle w:val="ReferenceChar"/>
          <w:noProof/>
          <w:color w:val="auto"/>
        </w:rPr>
        <w:t>)</w:t>
      </w:r>
      <w:r w:rsidR="00F827DD" w:rsidRPr="000906E1">
        <w:rPr>
          <w:rStyle w:val="ReferenceChar"/>
          <w:color w:val="auto"/>
        </w:rPr>
        <w:t xml:space="preserve"> </w:t>
      </w:r>
      <w:r w:rsidR="00F827DD" w:rsidRPr="000906E1">
        <w:rPr>
          <w:rFonts w:ascii="Times New Roman" w:hAnsi="Times New Roman" w:cs="Times New Roman"/>
        </w:rPr>
        <w:t>following</w:t>
      </w:r>
      <w:r w:rsidR="001F6625" w:rsidRPr="000906E1">
        <w:rPr>
          <w:rFonts w:ascii="Times New Roman" w:hAnsi="Times New Roman" w:cs="Times New Roman"/>
        </w:rPr>
        <w:t xml:space="preserve"> the conventional 4 stages of MFA and creating a simple flow model of vanadium flow. </w:t>
      </w:r>
      <w:r w:rsidR="001F6625" w:rsidRPr="000906E1">
        <w:rPr>
          <w:rFonts w:ascii="Times New Roman" w:hAnsi="Times New Roman" w:cs="Times New Roman"/>
          <w:noProof/>
        </w:rPr>
        <w:t>(Hope 2008)</w:t>
      </w:r>
      <w:r w:rsidR="001F6625" w:rsidRPr="000906E1">
        <w:rPr>
          <w:rFonts w:ascii="Times New Roman" w:hAnsi="Times New Roman" w:cs="Times New Roman"/>
        </w:rPr>
        <w:t xml:space="preserve"> on the other hand utilised a conceptual model of relationships between reservoirs and fluxes</w:t>
      </w:r>
      <w:r w:rsidR="00DD6F88" w:rsidRPr="000906E1">
        <w:rPr>
          <w:rFonts w:ascii="Times New Roman" w:hAnsi="Times New Roman" w:cs="Times New Roman"/>
        </w:rPr>
        <w:t xml:space="preserve"> but in 4 very different stages (Stage 1 - Preindustrial, Stati</w:t>
      </w:r>
      <w:r w:rsidR="00F827DD" w:rsidRPr="000906E1">
        <w:rPr>
          <w:rFonts w:ascii="Times New Roman" w:hAnsi="Times New Roman" w:cs="Times New Roman"/>
        </w:rPr>
        <w:t xml:space="preserve">c, Initial Estimates: Stage 2 </w:t>
      </w:r>
      <w:r w:rsidRPr="000906E1">
        <w:rPr>
          <w:rFonts w:ascii="Times New Roman" w:hAnsi="Times New Roman" w:cs="Times New Roman"/>
        </w:rPr>
        <w:t xml:space="preserve">- </w:t>
      </w:r>
      <w:r w:rsidR="00DD6F88" w:rsidRPr="000906E1">
        <w:rPr>
          <w:rFonts w:ascii="Times New Roman" w:hAnsi="Times New Roman" w:cs="Times New Roman"/>
        </w:rPr>
        <w:t xml:space="preserve">Preindustrial, Static, Balanced: Stage 3 - Preindustrial, Dynamic, Balanced and Stage 4 - Industrial, Dynamic, Balanced). </w:t>
      </w:r>
      <w:r w:rsidR="001D5FB7" w:rsidRPr="000906E1">
        <w:rPr>
          <w:rFonts w:ascii="Times New Roman" w:hAnsi="Times New Roman" w:cs="Times New Roman"/>
        </w:rPr>
        <w:t xml:space="preserve">No static </w:t>
      </w:r>
      <w:r w:rsidR="00DD6F88" w:rsidRPr="000906E1">
        <w:rPr>
          <w:rFonts w:ascii="Times New Roman" w:hAnsi="Times New Roman" w:cs="Times New Roman"/>
        </w:rPr>
        <w:t xml:space="preserve">global models </w:t>
      </w:r>
      <w:r w:rsidR="001D5FB7" w:rsidRPr="000906E1">
        <w:rPr>
          <w:rFonts w:ascii="Times New Roman" w:hAnsi="Times New Roman" w:cs="Times New Roman"/>
        </w:rPr>
        <w:t>of vanadium are currently present in literature.</w:t>
      </w:r>
    </w:p>
    <w:p w:rsidR="00DF7B7F" w:rsidRPr="00F827DD" w:rsidRDefault="001D5FB7" w:rsidP="00F75864">
      <w:pPr>
        <w:spacing w:after="0" w:line="360" w:lineRule="auto"/>
        <w:ind w:firstLine="720"/>
        <w:jc w:val="both"/>
        <w:rPr>
          <w:rFonts w:ascii="Times New Roman" w:hAnsi="Times New Roman" w:cs="Times New Roman"/>
        </w:rPr>
      </w:pPr>
      <w:r w:rsidRPr="00F827DD">
        <w:rPr>
          <w:rFonts w:ascii="Times New Roman" w:hAnsi="Times New Roman" w:cs="Times New Roman"/>
        </w:rPr>
        <w:t xml:space="preserve">More recent publications, involving global level for base metals </w:t>
      </w:r>
      <w:r w:rsidR="00FE1621" w:rsidRPr="00F827DD">
        <w:rPr>
          <w:rFonts w:ascii="Times New Roman" w:hAnsi="Times New Roman" w:cs="Times New Roman"/>
        </w:rPr>
        <w:t xml:space="preserve">such as indium </w:t>
      </w:r>
      <w:r w:rsidR="0053406D" w:rsidRPr="00F827DD">
        <w:rPr>
          <w:rFonts w:ascii="Times New Roman" w:hAnsi="Times New Roman" w:cs="Times New Roman"/>
          <w:noProof/>
        </w:rPr>
        <w:t>(Yoshimura et al. 2013)</w:t>
      </w:r>
      <w:r w:rsidR="00B057F0" w:rsidRPr="00F827DD">
        <w:rPr>
          <w:rFonts w:ascii="Times New Roman" w:hAnsi="Times New Roman" w:cs="Times New Roman"/>
        </w:rPr>
        <w:t xml:space="preserve">, rare earths </w:t>
      </w:r>
      <w:r w:rsidR="00B057F0" w:rsidRPr="00F827DD">
        <w:rPr>
          <w:rFonts w:ascii="Times New Roman" w:hAnsi="Times New Roman" w:cs="Times New Roman"/>
          <w:noProof/>
        </w:rPr>
        <w:t>(Du &amp; Graedel 2011a; Du &amp; Graedel 2011b)</w:t>
      </w:r>
      <w:r w:rsidR="00FE1621" w:rsidRPr="00F827DD">
        <w:rPr>
          <w:rFonts w:ascii="Times New Roman" w:hAnsi="Times New Roman" w:cs="Times New Roman"/>
        </w:rPr>
        <w:t xml:space="preserve">, </w:t>
      </w:r>
      <w:r w:rsidR="00B057F0" w:rsidRPr="00F827DD">
        <w:rPr>
          <w:rFonts w:ascii="Times New Roman" w:hAnsi="Times New Roman" w:cs="Times New Roman"/>
        </w:rPr>
        <w:t xml:space="preserve">steel and aluminium </w:t>
      </w:r>
      <w:r w:rsidR="00B057F0" w:rsidRPr="00F827DD">
        <w:rPr>
          <w:rFonts w:ascii="Times New Roman" w:hAnsi="Times New Roman" w:cs="Times New Roman"/>
          <w:noProof/>
        </w:rPr>
        <w:t>(Cullen et al. 2012; Cullen &amp; Allwood 2013)</w:t>
      </w:r>
      <w:r w:rsidR="00FE1621" w:rsidRPr="00F827DD">
        <w:rPr>
          <w:rFonts w:ascii="Times New Roman" w:hAnsi="Times New Roman" w:cs="Times New Roman"/>
        </w:rPr>
        <w:t>,</w:t>
      </w:r>
      <w:r w:rsidR="0053406D" w:rsidRPr="00F827DD">
        <w:rPr>
          <w:rFonts w:ascii="Times New Roman" w:hAnsi="Times New Roman" w:cs="Times New Roman"/>
        </w:rPr>
        <w:t xml:space="preserve"> tungsten </w:t>
      </w:r>
      <w:r w:rsidR="0053406D" w:rsidRPr="00F827DD">
        <w:rPr>
          <w:rFonts w:ascii="Times New Roman" w:hAnsi="Times New Roman" w:cs="Times New Roman"/>
          <w:noProof/>
        </w:rPr>
        <w:t>(Leal-</w:t>
      </w:r>
      <w:r w:rsidR="008535DC">
        <w:rPr>
          <w:rFonts w:ascii="Times New Roman" w:hAnsi="Times New Roman" w:cs="Times New Roman"/>
          <w:noProof/>
        </w:rPr>
        <w:t>A</w:t>
      </w:r>
      <w:r w:rsidR="0053406D" w:rsidRPr="00F827DD">
        <w:rPr>
          <w:rFonts w:ascii="Times New Roman" w:hAnsi="Times New Roman" w:cs="Times New Roman"/>
          <w:noProof/>
        </w:rPr>
        <w:t>yala et al. 2015)</w:t>
      </w:r>
      <w:r w:rsidR="00F827DD">
        <w:rPr>
          <w:rFonts w:ascii="Times New Roman" w:hAnsi="Times New Roman" w:cs="Times New Roman"/>
        </w:rPr>
        <w:t xml:space="preserve"> and a joint study for </w:t>
      </w:r>
      <w:r w:rsidR="00FE1621" w:rsidRPr="00F827DD">
        <w:rPr>
          <w:rFonts w:ascii="Times New Roman" w:hAnsi="Times New Roman" w:cs="Times New Roman"/>
        </w:rPr>
        <w:t>neodymium, cobalt and platinum (</w:t>
      </w:r>
      <w:proofErr w:type="spellStart"/>
      <w:r w:rsidR="00FE1621" w:rsidRPr="00F827DD">
        <w:rPr>
          <w:rFonts w:ascii="Times New Roman" w:hAnsi="Times New Roman" w:cs="Times New Roman"/>
        </w:rPr>
        <w:t>Nansai</w:t>
      </w:r>
      <w:proofErr w:type="spellEnd"/>
      <w:r w:rsidR="00FE1621" w:rsidRPr="00F827DD">
        <w:rPr>
          <w:rFonts w:ascii="Times New Roman" w:hAnsi="Times New Roman" w:cs="Times New Roman"/>
        </w:rPr>
        <w:t xml:space="preserve"> et al., 2014), highlight</w:t>
      </w:r>
      <w:r w:rsidR="00F75864" w:rsidRPr="00F827DD">
        <w:rPr>
          <w:rFonts w:ascii="Times New Roman" w:hAnsi="Times New Roman" w:cs="Times New Roman"/>
        </w:rPr>
        <w:t xml:space="preserve"> a lack of focus and thus explain the limited studies on molybdenum, niobium and vanadium. </w:t>
      </w:r>
      <w:r w:rsidR="00911098" w:rsidRPr="00F827DD">
        <w:rPr>
          <w:rFonts w:ascii="Times New Roman" w:hAnsi="Times New Roman" w:cs="Times New Roman"/>
        </w:rPr>
        <w:t xml:space="preserve">A more recent publication by </w:t>
      </w:r>
      <w:r w:rsidR="00911098" w:rsidRPr="00F827DD">
        <w:rPr>
          <w:rFonts w:ascii="Times New Roman" w:hAnsi="Times New Roman" w:cs="Times New Roman"/>
          <w:noProof/>
        </w:rPr>
        <w:t>(Muller et al. 2014)</w:t>
      </w:r>
      <w:r w:rsidR="00F75864" w:rsidRPr="00F827DD">
        <w:rPr>
          <w:rFonts w:ascii="Times New Roman" w:hAnsi="Times New Roman" w:cs="Times New Roman"/>
        </w:rPr>
        <w:t>,</w:t>
      </w:r>
      <w:r w:rsidR="00F827DD">
        <w:rPr>
          <w:rFonts w:ascii="Times New Roman" w:hAnsi="Times New Roman" w:cs="Times New Roman"/>
        </w:rPr>
        <w:t xml:space="preserve"> </w:t>
      </w:r>
      <w:r w:rsidR="00F75864" w:rsidRPr="00F827DD">
        <w:rPr>
          <w:rFonts w:ascii="Times New Roman" w:hAnsi="Times New Roman" w:cs="Times New Roman"/>
        </w:rPr>
        <w:t>compiling info</w:t>
      </w:r>
      <w:r w:rsidR="00F827DD">
        <w:rPr>
          <w:rFonts w:ascii="Times New Roman" w:hAnsi="Times New Roman" w:cs="Times New Roman"/>
        </w:rPr>
        <w:t xml:space="preserve">rmation from 60 studies between  the years1999 to </w:t>
      </w:r>
      <w:r w:rsidR="00F75864" w:rsidRPr="00F827DD">
        <w:rPr>
          <w:rFonts w:ascii="Times New Roman" w:hAnsi="Times New Roman" w:cs="Times New Roman"/>
        </w:rPr>
        <w:t xml:space="preserve">2013 and covering a total of 34 metallic elements </w:t>
      </w:r>
      <w:r w:rsidR="00785623" w:rsidRPr="00F827DD">
        <w:rPr>
          <w:rFonts w:ascii="Times New Roman" w:hAnsi="Times New Roman" w:cs="Times New Roman"/>
        </w:rPr>
        <w:t xml:space="preserve">supports the lack of models particularly for molybdenum, niobium and vanadium. </w:t>
      </w:r>
    </w:p>
    <w:p w:rsidR="000E4E4F" w:rsidRDefault="000E4E4F" w:rsidP="00933C68">
      <w:pPr>
        <w:spacing w:after="0" w:line="360" w:lineRule="auto"/>
        <w:ind w:firstLine="720"/>
        <w:jc w:val="both"/>
        <w:rPr>
          <w:rFonts w:ascii="Times New Roman" w:hAnsi="Times New Roman" w:cs="Times New Roman"/>
        </w:rPr>
      </w:pPr>
      <w:r w:rsidRPr="00F827DD">
        <w:rPr>
          <w:rFonts w:ascii="Times New Roman" w:hAnsi="Times New Roman" w:cs="Times New Roman"/>
        </w:rPr>
        <w:t xml:space="preserve">To summarise, there are two principle modelling methods, static or dynamic, and several variables within these respective methods that can be varied to create individual cycles. Although the literature clearly highlights the lack of dynamic to static studies, the former is much more favoured since it can provide information on reservoir stocks as well the progression of stocks and flows over time. Dynamic cycles although regarded as more useful, between the two cycles require extensive information, and consequently </w:t>
      </w:r>
      <w:r w:rsidR="00331E72" w:rsidRPr="00F827DD">
        <w:rPr>
          <w:rFonts w:ascii="Times New Roman" w:hAnsi="Times New Roman" w:cs="Times New Roman"/>
        </w:rPr>
        <w:t xml:space="preserve">this </w:t>
      </w:r>
      <w:r w:rsidRPr="00F827DD">
        <w:rPr>
          <w:rFonts w:ascii="Times New Roman" w:hAnsi="Times New Roman" w:cs="Times New Roman"/>
        </w:rPr>
        <w:t>explains the limited</w:t>
      </w:r>
      <w:r w:rsidR="00331E72" w:rsidRPr="00F827DD">
        <w:rPr>
          <w:rFonts w:ascii="Times New Roman" w:hAnsi="Times New Roman" w:cs="Times New Roman"/>
        </w:rPr>
        <w:t xml:space="preserve"> amount of dynamic</w:t>
      </w:r>
      <w:r w:rsidRPr="00F827DD">
        <w:rPr>
          <w:rFonts w:ascii="Times New Roman" w:hAnsi="Times New Roman" w:cs="Times New Roman"/>
        </w:rPr>
        <w:t xml:space="preserve"> studies in literature.</w:t>
      </w:r>
      <w:r w:rsidR="00331E72" w:rsidRPr="00F827DD">
        <w:rPr>
          <w:rFonts w:ascii="Times New Roman" w:hAnsi="Times New Roman" w:cs="Times New Roman"/>
        </w:rPr>
        <w:t xml:space="preserve"> As far as justification of selection of elements to investigate, the literature clearly points to a gap to create molybdenum, niobium and vanadium global static models. However, chromium will also be created due to plentiful supply of data which should aid in developing a methodology to apply to the more </w:t>
      </w:r>
      <w:r w:rsidR="00331E72" w:rsidRPr="00F827DD">
        <w:rPr>
          <w:rFonts w:ascii="Times New Roman" w:hAnsi="Times New Roman" w:cs="Times New Roman"/>
        </w:rPr>
        <w:lastRenderedPageBreak/>
        <w:t xml:space="preserve">challenging exotic elements. For comprehensiveness, an updated global steel model based on </w:t>
      </w:r>
      <w:r w:rsidR="00331E72" w:rsidRPr="00F827DD">
        <w:rPr>
          <w:rFonts w:ascii="Times New Roman" w:hAnsi="Times New Roman" w:cs="Times New Roman"/>
          <w:noProof/>
        </w:rPr>
        <w:t>(Cullen et al. 2012)</w:t>
      </w:r>
      <w:r w:rsidR="00331E72" w:rsidRPr="00F827DD">
        <w:rPr>
          <w:rFonts w:ascii="Times New Roman" w:hAnsi="Times New Roman" w:cs="Times New Roman"/>
        </w:rPr>
        <w:t xml:space="preserve"> will also be created to link the models since they will focus on production of the metal but also its metallurgical applications.</w:t>
      </w:r>
    </w:p>
    <w:p w:rsidR="00F827DD" w:rsidRDefault="00F827DD" w:rsidP="00F827DD">
      <w:pPr>
        <w:spacing w:after="0" w:line="360" w:lineRule="auto"/>
        <w:jc w:val="both"/>
        <w:rPr>
          <w:rFonts w:ascii="Times New Roman" w:hAnsi="Times New Roman" w:cs="Times New Roman"/>
        </w:rPr>
      </w:pPr>
    </w:p>
    <w:p w:rsidR="00F827DD" w:rsidRDefault="00F827DD" w:rsidP="00F827DD">
      <w:pPr>
        <w:spacing w:after="0" w:line="360" w:lineRule="auto"/>
        <w:jc w:val="both"/>
        <w:rPr>
          <w:rFonts w:ascii="Times New Roman" w:hAnsi="Times New Roman" w:cs="Times New Roman"/>
        </w:rPr>
        <w:sectPr w:rsidR="00F827DD" w:rsidSect="00C24042">
          <w:pgSz w:w="11906" w:h="16838"/>
          <w:pgMar w:top="1440" w:right="1440" w:bottom="1440" w:left="1440" w:header="708" w:footer="708" w:gutter="0"/>
          <w:cols w:space="708"/>
          <w:docGrid w:linePitch="360"/>
        </w:sectPr>
      </w:pPr>
    </w:p>
    <w:p w:rsidR="006A62D1" w:rsidRDefault="001716DC" w:rsidP="00083FA5">
      <w:pPr>
        <w:pStyle w:val="Heading2"/>
        <w:rPr>
          <w:rFonts w:eastAsia="Calibri Light"/>
        </w:rPr>
      </w:pPr>
      <w:r>
        <w:rPr>
          <w:rFonts w:eastAsia="Calibri Light"/>
        </w:rPr>
        <w:lastRenderedPageBreak/>
        <w:t>3</w:t>
      </w:r>
      <w:r w:rsidR="00245619">
        <w:rPr>
          <w:rFonts w:eastAsia="Calibri Light"/>
        </w:rPr>
        <w:t>.3</w:t>
      </w:r>
      <w:r w:rsidR="00171A37">
        <w:rPr>
          <w:rFonts w:eastAsia="Calibri Light"/>
        </w:rPr>
        <w:t>.</w:t>
      </w:r>
      <w:r w:rsidR="00083FA5">
        <w:rPr>
          <w:rFonts w:eastAsia="Calibri Light"/>
        </w:rPr>
        <w:t xml:space="preserve"> </w:t>
      </w:r>
      <w:r w:rsidR="00BE39D7">
        <w:rPr>
          <w:rFonts w:eastAsia="Calibri Light"/>
        </w:rPr>
        <w:t xml:space="preserve">Review and critique of current LCA (electricity) literature </w:t>
      </w:r>
    </w:p>
    <w:p w:rsidR="00451595" w:rsidRPr="00121642" w:rsidRDefault="002D79A4" w:rsidP="000B46A0">
      <w:pPr>
        <w:spacing w:after="0" w:line="360" w:lineRule="auto"/>
        <w:ind w:firstLine="720"/>
        <w:jc w:val="both"/>
        <w:rPr>
          <w:rStyle w:val="ReferenceChar"/>
          <w:rFonts w:asciiTheme="minorHAnsi" w:eastAsiaTheme="minorEastAsia" w:hAnsiTheme="minorHAnsi"/>
          <w:color w:val="auto"/>
        </w:rPr>
      </w:pPr>
      <w:r w:rsidRPr="00121642">
        <w:rPr>
          <w:rFonts w:ascii="Times New Roman" w:eastAsia="Calibri" w:hAnsi="Times New Roman" w:cs="Times New Roman"/>
        </w:rPr>
        <w:t xml:space="preserve">Concerning electricity, it is a topic that is increasing in LCA literature, but still lags behind more prominent topics of focus. As a result, studies by authors on electricity are sporadic and split between direct studies related to electricity such as </w:t>
      </w:r>
      <w:r w:rsidR="00451595" w:rsidRPr="00121642">
        <w:rPr>
          <w:rStyle w:val="ReferenceChar"/>
          <w:noProof/>
          <w:color w:val="auto"/>
        </w:rPr>
        <w:t>(Bartzas &amp; Komnitsas 2015; Turconi et al. 2013; Itten et al. 2014)</w:t>
      </w:r>
      <w:r w:rsidR="00A405C3" w:rsidRPr="00121642">
        <w:rPr>
          <w:rFonts w:ascii="Times New Roman" w:eastAsia="Calibri" w:hAnsi="Times New Roman" w:cs="Times New Roman"/>
        </w:rPr>
        <w:t xml:space="preserve"> or in-direct studies: </w:t>
      </w:r>
      <w:r w:rsidR="00A405C3" w:rsidRPr="00121642">
        <w:rPr>
          <w:rStyle w:val="ReferenceChar"/>
          <w:noProof/>
          <w:color w:val="auto"/>
        </w:rPr>
        <w:t>(Khoo et al. 2016; Haque &amp; Norgate 2013; Norgate et al. 2007; Norgate et al. 2004)</w:t>
      </w:r>
      <w:r w:rsidR="00451595" w:rsidRPr="00121642">
        <w:rPr>
          <w:rStyle w:val="ReferenceChar"/>
          <w:color w:val="auto"/>
        </w:rPr>
        <w:t xml:space="preserve">. </w:t>
      </w:r>
      <w:r w:rsidR="000B46A0" w:rsidRPr="00121642">
        <w:rPr>
          <w:rStyle w:val="ReferenceChar"/>
          <w:color w:val="auto"/>
        </w:rPr>
        <w:t>I</w:t>
      </w:r>
      <w:r w:rsidR="00EA5115" w:rsidRPr="00121642">
        <w:rPr>
          <w:rStyle w:val="ReferenceChar"/>
          <w:color w:val="auto"/>
        </w:rPr>
        <w:t>n-direct studies were classified as studies w</w:t>
      </w:r>
      <w:r w:rsidR="00BC4FB5" w:rsidRPr="00121642">
        <w:rPr>
          <w:rStyle w:val="ReferenceChar"/>
          <w:color w:val="auto"/>
        </w:rPr>
        <w:t>h</w:t>
      </w:r>
      <w:r w:rsidR="00EA5115" w:rsidRPr="00121642">
        <w:rPr>
          <w:rStyle w:val="ReferenceChar"/>
          <w:color w:val="auto"/>
        </w:rPr>
        <w:t xml:space="preserve">ere electricity was not the primary </w:t>
      </w:r>
      <w:r w:rsidR="00BC4FB5" w:rsidRPr="00121642">
        <w:rPr>
          <w:rStyle w:val="ReferenceChar"/>
          <w:color w:val="auto"/>
        </w:rPr>
        <w:t>factor of study</w:t>
      </w:r>
      <w:r w:rsidR="000B46A0" w:rsidRPr="00121642">
        <w:rPr>
          <w:rStyle w:val="ReferenceChar"/>
          <w:color w:val="auto"/>
        </w:rPr>
        <w:t xml:space="preserve">. Taking the example of </w:t>
      </w:r>
      <w:r w:rsidR="000B46A0" w:rsidRPr="00121642">
        <w:rPr>
          <w:rStyle w:val="ReferenceChar"/>
          <w:noProof/>
          <w:color w:val="auto"/>
        </w:rPr>
        <w:t>(Norgate et al. 2007)</w:t>
      </w:r>
      <w:r w:rsidR="000B46A0" w:rsidRPr="00121642">
        <w:rPr>
          <w:rStyle w:val="ReferenceChar"/>
          <w:color w:val="auto"/>
        </w:rPr>
        <w:t>, the primary focus was on the environmental impact of metal production processes. This included GWP, GER and SWB as impact categories.</w:t>
      </w:r>
      <w:r w:rsidR="000B46A0" w:rsidRPr="00121642">
        <w:t xml:space="preserve"> </w:t>
      </w:r>
      <w:r w:rsidR="00EA5115" w:rsidRPr="00121642">
        <w:rPr>
          <w:rStyle w:val="ReferenceChar"/>
          <w:color w:val="auto"/>
        </w:rPr>
        <w:t>E</w:t>
      </w:r>
      <w:r w:rsidR="00451595" w:rsidRPr="00121642">
        <w:rPr>
          <w:rStyle w:val="ReferenceChar"/>
          <w:color w:val="auto"/>
        </w:rPr>
        <w:t xml:space="preserve">lectricity alongside other variables i.e. grade of coal, </w:t>
      </w:r>
      <w:r w:rsidR="00EA5115" w:rsidRPr="00121642">
        <w:rPr>
          <w:rStyle w:val="ReferenceChar"/>
          <w:color w:val="auto"/>
        </w:rPr>
        <w:t xml:space="preserve">were </w:t>
      </w:r>
      <w:r w:rsidR="00451595" w:rsidRPr="00121642">
        <w:rPr>
          <w:rStyle w:val="ReferenceChar"/>
          <w:color w:val="auto"/>
        </w:rPr>
        <w:t>investigated as factors influencing environmental impacts.</w:t>
      </w:r>
    </w:p>
    <w:p w:rsidR="00451595" w:rsidRPr="00121642" w:rsidRDefault="00616D70" w:rsidP="00451595">
      <w:pPr>
        <w:spacing w:after="0" w:line="360" w:lineRule="auto"/>
        <w:ind w:firstLine="720"/>
        <w:jc w:val="both"/>
        <w:rPr>
          <w:rFonts w:ascii="Times New Roman" w:eastAsia="Calibri" w:hAnsi="Times New Roman" w:cs="Times New Roman"/>
        </w:rPr>
      </w:pPr>
      <w:r w:rsidRPr="00121642">
        <w:rPr>
          <w:rFonts w:ascii="Times New Roman" w:eastAsia="Calibri" w:hAnsi="Times New Roman" w:cs="Times New Roman"/>
        </w:rPr>
        <w:t xml:space="preserve">Additionally </w:t>
      </w:r>
      <w:r w:rsidR="00451595" w:rsidRPr="00121642">
        <w:rPr>
          <w:rFonts w:ascii="Times New Roman" w:eastAsia="Calibri" w:hAnsi="Times New Roman" w:cs="Times New Roman"/>
        </w:rPr>
        <w:t xml:space="preserve">the literature could also be split into studies that provided foundation for selection of data and methodology with respect </w:t>
      </w:r>
      <w:r w:rsidR="00BC4FB5" w:rsidRPr="00121642">
        <w:rPr>
          <w:rFonts w:ascii="Times New Roman" w:eastAsia="Calibri" w:hAnsi="Times New Roman" w:cs="Times New Roman"/>
        </w:rPr>
        <w:t>to LCA. In this case</w:t>
      </w:r>
      <w:r w:rsidR="00451595" w:rsidRPr="00121642">
        <w:rPr>
          <w:rFonts w:ascii="Times New Roman" w:eastAsia="Calibri" w:hAnsi="Times New Roman" w:cs="Times New Roman"/>
        </w:rPr>
        <w:t xml:space="preserve"> </w:t>
      </w:r>
      <w:r w:rsidR="00BC4FB5" w:rsidRPr="00121642">
        <w:rPr>
          <w:rFonts w:ascii="Times New Roman" w:eastAsia="Calibri" w:hAnsi="Times New Roman" w:cs="Times New Roman"/>
        </w:rPr>
        <w:t xml:space="preserve">the study by </w:t>
      </w:r>
      <w:r w:rsidR="000B46A0" w:rsidRPr="00121642">
        <w:rPr>
          <w:rStyle w:val="ReferenceChar"/>
          <w:noProof/>
          <w:color w:val="auto"/>
        </w:rPr>
        <w:t>(</w:t>
      </w:r>
      <w:r w:rsidR="00451595" w:rsidRPr="00121642">
        <w:rPr>
          <w:rStyle w:val="ReferenceChar"/>
          <w:noProof/>
          <w:color w:val="auto"/>
        </w:rPr>
        <w:t>Itten et al. 2014)</w:t>
      </w:r>
      <w:r w:rsidR="00451595" w:rsidRPr="00121642">
        <w:rPr>
          <w:rStyle w:val="ReferenceChar"/>
          <w:color w:val="auto"/>
        </w:rPr>
        <w:t xml:space="preserve"> </w:t>
      </w:r>
      <w:r w:rsidR="00451595" w:rsidRPr="00121642">
        <w:rPr>
          <w:rFonts w:ascii="Times New Roman" w:eastAsia="Calibri" w:hAnsi="Times New Roman" w:cs="Times New Roman"/>
        </w:rPr>
        <w:t>could be categorised more as</w:t>
      </w:r>
      <w:r w:rsidR="00BC4FB5" w:rsidRPr="00121642">
        <w:rPr>
          <w:rFonts w:ascii="Times New Roman" w:eastAsia="Calibri" w:hAnsi="Times New Roman" w:cs="Times New Roman"/>
        </w:rPr>
        <w:t xml:space="preserve"> a</w:t>
      </w:r>
      <w:r w:rsidR="00451595" w:rsidRPr="00121642">
        <w:rPr>
          <w:rFonts w:ascii="Times New Roman" w:eastAsia="Calibri" w:hAnsi="Times New Roman" w:cs="Times New Roman"/>
        </w:rPr>
        <w:t xml:space="preserve"> </w:t>
      </w:r>
      <w:r w:rsidR="00451595" w:rsidRPr="00121642">
        <w:rPr>
          <w:rStyle w:val="ReferenceChar"/>
          <w:color w:val="auto"/>
        </w:rPr>
        <w:t>Li</w:t>
      </w:r>
      <w:r w:rsidR="00BC4FB5" w:rsidRPr="00121642">
        <w:rPr>
          <w:rStyle w:val="ReferenceChar"/>
          <w:color w:val="auto"/>
        </w:rPr>
        <w:t>fe Cycle Inventory (LCI) study</w:t>
      </w:r>
      <w:r w:rsidR="00451595" w:rsidRPr="00121642">
        <w:rPr>
          <w:rStyle w:val="ReferenceChar"/>
          <w:color w:val="auto"/>
        </w:rPr>
        <w:t xml:space="preserve"> rather than</w:t>
      </w:r>
      <w:r w:rsidR="00121642">
        <w:rPr>
          <w:rStyle w:val="ReferenceChar"/>
          <w:color w:val="auto"/>
        </w:rPr>
        <w:t xml:space="preserve"> Life Cycle Assessment.</w:t>
      </w:r>
    </w:p>
    <w:p w:rsidR="0065202F" w:rsidRPr="00121642" w:rsidRDefault="00BF1A33" w:rsidP="0065202F">
      <w:pPr>
        <w:spacing w:after="0" w:line="360" w:lineRule="auto"/>
        <w:ind w:firstLine="720"/>
        <w:jc w:val="both"/>
        <w:rPr>
          <w:rFonts w:ascii="Times New Roman" w:eastAsia="Calibri" w:hAnsi="Times New Roman" w:cs="Times New Roman"/>
        </w:rPr>
      </w:pPr>
      <w:r w:rsidRPr="00121642">
        <w:rPr>
          <w:rFonts w:ascii="Times New Roman" w:eastAsia="Calibri" w:hAnsi="Times New Roman" w:cs="Times New Roman"/>
        </w:rPr>
        <w:t xml:space="preserve">Analysis of the in-direct studies revealed some common trends and differences between them. Although electricity was not the main variable of investigation, it was investigated more in terms of a ‘scenario’ due to its effect on energy and in particular greenhouse gas emissions. In the case of </w:t>
      </w:r>
      <w:r w:rsidRPr="00121642">
        <w:rPr>
          <w:rFonts w:ascii="Times New Roman" w:eastAsia="Calibri" w:hAnsi="Times New Roman" w:cs="Times New Roman"/>
          <w:noProof/>
        </w:rPr>
        <w:t>(Haque &amp; Norgate 2013)</w:t>
      </w:r>
      <w:r w:rsidRPr="00121642">
        <w:rPr>
          <w:rFonts w:ascii="Times New Roman" w:eastAsia="Calibri" w:hAnsi="Times New Roman" w:cs="Times New Roman"/>
        </w:rPr>
        <w:t xml:space="preserve"> this study used two different electricity types, Tasmanian and Australian. The Tasmanian mix was mainly composed of coal, hydro-electricity and natural gas, whilst the Australian electricity grid mix was made up of coal and gas fuel. Haque argued that contributions from renewable energy into electricity grid mixes produced lower GWP values and thus decreased environmental impacts.</w:t>
      </w:r>
      <w:r w:rsidR="0065202F" w:rsidRPr="00121642">
        <w:rPr>
          <w:rFonts w:ascii="Times New Roman" w:eastAsia="Calibri" w:hAnsi="Times New Roman" w:cs="Times New Roman"/>
        </w:rPr>
        <w:t xml:space="preserve"> Results across all ferro-alloys investigated by Haque (see later) supported this argument.</w:t>
      </w:r>
    </w:p>
    <w:p w:rsidR="0065202F" w:rsidRPr="00121642" w:rsidRDefault="0065202F" w:rsidP="0065202F">
      <w:pPr>
        <w:spacing w:after="0" w:line="360" w:lineRule="auto"/>
        <w:ind w:firstLine="720"/>
        <w:jc w:val="both"/>
        <w:rPr>
          <w:rFonts w:ascii="Times New Roman" w:eastAsia="Calibri" w:hAnsi="Times New Roman" w:cs="Times New Roman"/>
        </w:rPr>
      </w:pPr>
      <w:r w:rsidRPr="00121642">
        <w:rPr>
          <w:rFonts w:ascii="Times New Roman" w:eastAsia="Calibri" w:hAnsi="Times New Roman" w:cs="Times New Roman"/>
        </w:rPr>
        <w:t xml:space="preserve">Aside from Haque, studies by </w:t>
      </w:r>
      <w:r w:rsidRPr="00121642">
        <w:rPr>
          <w:rFonts w:ascii="Times New Roman" w:eastAsia="Calibri" w:hAnsi="Times New Roman" w:cs="Times New Roman"/>
          <w:noProof/>
        </w:rPr>
        <w:t>(Khoo et al. 2016)</w:t>
      </w:r>
      <w:r w:rsidRPr="00121642">
        <w:rPr>
          <w:rFonts w:ascii="Times New Roman" w:eastAsia="Calibri" w:hAnsi="Times New Roman" w:cs="Times New Roman"/>
        </w:rPr>
        <w:t xml:space="preserve"> and</w:t>
      </w:r>
      <w:r w:rsidR="00EA3F39" w:rsidRPr="00121642">
        <w:rPr>
          <w:rFonts w:ascii="Times New Roman" w:eastAsia="Calibri" w:hAnsi="Times New Roman" w:cs="Times New Roman"/>
        </w:rPr>
        <w:t xml:space="preserve"> </w:t>
      </w:r>
      <w:r w:rsidR="00EA3F39" w:rsidRPr="00121642">
        <w:rPr>
          <w:rStyle w:val="ReferenceChar"/>
          <w:noProof/>
          <w:color w:val="auto"/>
        </w:rPr>
        <w:t>(Norgate et al. 2007; Norgate et al. 2004)</w:t>
      </w:r>
      <w:r w:rsidRPr="00121642">
        <w:rPr>
          <w:rStyle w:val="ReferenceChar"/>
          <w:color w:val="auto"/>
        </w:rPr>
        <w:t xml:space="preserve"> </w:t>
      </w:r>
      <w:r w:rsidRPr="00121642">
        <w:rPr>
          <w:rFonts w:ascii="Times New Roman" w:eastAsia="Calibri" w:hAnsi="Times New Roman" w:cs="Times New Roman"/>
        </w:rPr>
        <w:t xml:space="preserve">also assessed the impact of substituting fossil fuel energy sources with alternative fossil fuels as well as renewable energy sources. Utilising black coal as the main source of electricity, this was </w:t>
      </w:r>
      <w:r w:rsidR="00BF1A33" w:rsidRPr="00121642">
        <w:rPr>
          <w:rFonts w:ascii="Times New Roman" w:eastAsia="Calibri" w:hAnsi="Times New Roman" w:cs="Times New Roman"/>
        </w:rPr>
        <w:t>substituted with natural gas and hydro-electricity in both studies</w:t>
      </w:r>
      <w:r w:rsidRPr="00121642">
        <w:rPr>
          <w:rFonts w:ascii="Times New Roman" w:eastAsia="Calibri" w:hAnsi="Times New Roman" w:cs="Times New Roman"/>
        </w:rPr>
        <w:t>,</w:t>
      </w:r>
      <w:r w:rsidR="00BF1A33" w:rsidRPr="00121642">
        <w:rPr>
          <w:rFonts w:ascii="Times New Roman" w:eastAsia="Calibri" w:hAnsi="Times New Roman" w:cs="Times New Roman"/>
        </w:rPr>
        <w:t xml:space="preserve"> with </w:t>
      </w:r>
      <w:r w:rsidR="00BF1A33" w:rsidRPr="00121642">
        <w:rPr>
          <w:rFonts w:ascii="Times New Roman" w:eastAsia="Calibri" w:hAnsi="Times New Roman" w:cs="Times New Roman"/>
          <w:noProof/>
        </w:rPr>
        <w:t>(Khoo et al. 2016)</w:t>
      </w:r>
      <w:r w:rsidR="00BF1A33" w:rsidRPr="00121642">
        <w:rPr>
          <w:rFonts w:ascii="Times New Roman" w:eastAsia="Calibri" w:hAnsi="Times New Roman" w:cs="Times New Roman"/>
        </w:rPr>
        <w:t xml:space="preserve"> going</w:t>
      </w:r>
      <w:r w:rsidRPr="00121642">
        <w:rPr>
          <w:rFonts w:ascii="Times New Roman" w:eastAsia="Calibri" w:hAnsi="Times New Roman" w:cs="Times New Roman"/>
        </w:rPr>
        <w:t xml:space="preserve"> one step</w:t>
      </w:r>
      <w:r w:rsidR="00BF1A33" w:rsidRPr="00121642">
        <w:rPr>
          <w:rFonts w:ascii="Times New Roman" w:eastAsia="Calibri" w:hAnsi="Times New Roman" w:cs="Times New Roman"/>
        </w:rPr>
        <w:t xml:space="preserve"> furt</w:t>
      </w:r>
      <w:r w:rsidRPr="00121642">
        <w:rPr>
          <w:rFonts w:ascii="Times New Roman" w:eastAsia="Calibri" w:hAnsi="Times New Roman" w:cs="Times New Roman"/>
        </w:rPr>
        <w:t>her and also investigating alterations with energies from</w:t>
      </w:r>
      <w:r w:rsidR="00BF1A33" w:rsidRPr="00121642">
        <w:rPr>
          <w:rFonts w:ascii="Times New Roman" w:eastAsia="Calibri" w:hAnsi="Times New Roman" w:cs="Times New Roman"/>
        </w:rPr>
        <w:t xml:space="preserve"> solar and wind. </w:t>
      </w:r>
    </w:p>
    <w:p w:rsidR="00BF1A33" w:rsidRPr="00121642" w:rsidRDefault="002E6486" w:rsidP="0065202F">
      <w:pPr>
        <w:spacing w:after="0" w:line="360" w:lineRule="auto"/>
        <w:ind w:firstLine="720"/>
        <w:jc w:val="both"/>
        <w:rPr>
          <w:rFonts w:ascii="TimesNewRoman" w:eastAsiaTheme="minorHAnsi" w:hAnsi="TimesNewRoman" w:cs="TimesNewRoman"/>
          <w:lang w:eastAsia="en-US"/>
        </w:rPr>
      </w:pPr>
      <w:r w:rsidRPr="00121642">
        <w:rPr>
          <w:rFonts w:ascii="Times New Roman" w:eastAsia="Calibri" w:hAnsi="Times New Roman" w:cs="Times New Roman"/>
        </w:rPr>
        <w:t>Results from</w:t>
      </w:r>
      <w:r w:rsidR="00EA3F39" w:rsidRPr="00121642">
        <w:rPr>
          <w:rFonts w:ascii="Times New Roman" w:eastAsia="Calibri" w:hAnsi="Times New Roman" w:cs="Times New Roman"/>
        </w:rPr>
        <w:t xml:space="preserve"> Haque’s first study</w:t>
      </w:r>
      <w:r w:rsidRPr="00121642">
        <w:rPr>
          <w:rFonts w:ascii="Times New Roman" w:eastAsia="Calibri" w:hAnsi="Times New Roman" w:cs="Times New Roman"/>
        </w:rPr>
        <w:t xml:space="preserve"> </w:t>
      </w:r>
      <w:r w:rsidR="00BF1A33" w:rsidRPr="00121642">
        <w:rPr>
          <w:rFonts w:ascii="Times New Roman" w:eastAsia="Calibri" w:hAnsi="Times New Roman" w:cs="Times New Roman"/>
          <w:noProof/>
        </w:rPr>
        <w:t>(Norgate et al. 2004)</w:t>
      </w:r>
      <w:r w:rsidR="00BF1A33" w:rsidRPr="00121642">
        <w:rPr>
          <w:rFonts w:ascii="Times New Roman" w:eastAsia="Calibri" w:hAnsi="Times New Roman" w:cs="Times New Roman"/>
        </w:rPr>
        <w:t xml:space="preserve"> illustrated that both hydro-electricity (</w:t>
      </w:r>
      <w:r w:rsidR="00BF1A33" w:rsidRPr="00121642">
        <w:rPr>
          <w:rFonts w:ascii="TimesNewRoman" w:eastAsiaTheme="minorHAnsi" w:hAnsi="TimesNewRoman" w:cs="TimesNewRoman"/>
          <w:lang w:eastAsia="en-US"/>
        </w:rPr>
        <w:t>190 kg CO</w:t>
      </w:r>
      <w:r w:rsidR="00BF1A33" w:rsidRPr="00121642">
        <w:rPr>
          <w:rFonts w:ascii="TimesNewRoman" w:eastAsiaTheme="minorHAnsi" w:hAnsi="TimesNewRoman" w:cs="TimesNewRoman"/>
          <w:sz w:val="14"/>
          <w:szCs w:val="14"/>
          <w:lang w:eastAsia="en-US"/>
        </w:rPr>
        <w:t>2</w:t>
      </w:r>
      <w:r w:rsidR="00BF1A33" w:rsidRPr="00121642">
        <w:rPr>
          <w:rFonts w:ascii="TimesNewRoman" w:eastAsiaTheme="minorHAnsi" w:hAnsi="TimesNewRoman" w:cs="TimesNewRoman"/>
          <w:lang w:eastAsia="en-US"/>
        </w:rPr>
        <w:t>-e/MWh)</w:t>
      </w:r>
      <w:r w:rsidR="00BF1A33" w:rsidRPr="00121642">
        <w:rPr>
          <w:rFonts w:ascii="Times New Roman" w:eastAsia="Calibri" w:hAnsi="Times New Roman" w:cs="Times New Roman"/>
        </w:rPr>
        <w:t xml:space="preserve"> and natural gas (</w:t>
      </w:r>
      <w:r w:rsidR="00BF1A33" w:rsidRPr="00121642">
        <w:rPr>
          <w:rFonts w:ascii="TimesNewRoman" w:eastAsiaTheme="minorHAnsi" w:hAnsi="TimesNewRoman" w:cs="TimesNewRoman"/>
          <w:lang w:eastAsia="en-US"/>
        </w:rPr>
        <w:t>570 kg CO</w:t>
      </w:r>
      <w:r w:rsidR="00BF1A33" w:rsidRPr="00121642">
        <w:rPr>
          <w:rFonts w:ascii="TimesNewRoman" w:eastAsiaTheme="minorHAnsi" w:hAnsi="TimesNewRoman" w:cs="TimesNewRoman"/>
          <w:sz w:val="14"/>
          <w:szCs w:val="14"/>
          <w:lang w:eastAsia="en-US"/>
        </w:rPr>
        <w:t>2</w:t>
      </w:r>
      <w:r w:rsidR="00BF1A33" w:rsidRPr="00121642">
        <w:rPr>
          <w:rFonts w:ascii="TimesNewRoman" w:eastAsiaTheme="minorHAnsi" w:hAnsi="TimesNewRoman" w:cs="TimesNewRoman"/>
          <w:lang w:eastAsia="en-US"/>
        </w:rPr>
        <w:t>-e/MWh)</w:t>
      </w:r>
      <w:r w:rsidR="00BF1A33" w:rsidRPr="00121642">
        <w:rPr>
          <w:rFonts w:ascii="Times New Roman" w:eastAsia="Calibri" w:hAnsi="Times New Roman" w:cs="Times New Roman"/>
        </w:rPr>
        <w:t xml:space="preserve"> produced lower greenhouse gas emission values than coal </w:t>
      </w:r>
      <w:r w:rsidR="00BF1A33" w:rsidRPr="00121642">
        <w:rPr>
          <w:rFonts w:ascii="TimesNewRoman" w:eastAsiaTheme="minorHAnsi" w:hAnsi="TimesNewRoman" w:cs="TimesNewRoman"/>
          <w:lang w:eastAsia="en-US"/>
        </w:rPr>
        <w:t>(960 kg CO</w:t>
      </w:r>
      <w:r w:rsidR="00BF1A33" w:rsidRPr="00121642">
        <w:rPr>
          <w:rFonts w:ascii="TimesNewRoman" w:eastAsiaTheme="minorHAnsi" w:hAnsi="TimesNewRoman" w:cs="TimesNewRoman"/>
          <w:sz w:val="14"/>
          <w:szCs w:val="14"/>
          <w:lang w:eastAsia="en-US"/>
        </w:rPr>
        <w:t>2</w:t>
      </w:r>
      <w:r w:rsidR="00BF1A33" w:rsidRPr="00121642">
        <w:rPr>
          <w:rFonts w:ascii="TimesNewRoman" w:eastAsiaTheme="minorHAnsi" w:hAnsi="TimesNewRoman" w:cs="TimesNewRoman"/>
          <w:lang w:eastAsia="en-US"/>
        </w:rPr>
        <w:t>-e/MWh). However substitution for hydro-electricity also resulted in total energy also being lower, which was not the case</w:t>
      </w:r>
      <w:r w:rsidR="0065202F" w:rsidRPr="00121642">
        <w:rPr>
          <w:rFonts w:ascii="TimesNewRoman" w:eastAsiaTheme="minorHAnsi" w:hAnsi="TimesNewRoman" w:cs="TimesNewRoman"/>
          <w:lang w:eastAsia="en-US"/>
        </w:rPr>
        <w:t xml:space="preserve"> for natural gas. Norgate claimed</w:t>
      </w:r>
      <w:r w:rsidR="00BF1A33" w:rsidRPr="00121642">
        <w:rPr>
          <w:rFonts w:ascii="TimesNewRoman" w:eastAsiaTheme="minorHAnsi" w:hAnsi="TimesNewRoman" w:cs="TimesNewRoman"/>
          <w:lang w:eastAsia="en-US"/>
        </w:rPr>
        <w:t xml:space="preserve"> this was due to generation efficiency of natural gas being the same as coal (35%), whereas it was 80% with hydro-electricity thus explaining the lower total energy</w:t>
      </w:r>
      <w:r w:rsidR="006B1DE2">
        <w:rPr>
          <w:rFonts w:ascii="TimesNewRoman" w:eastAsiaTheme="minorHAnsi" w:hAnsi="TimesNewRoman" w:cs="TimesNewRoman"/>
          <w:lang w:eastAsia="en-US"/>
        </w:rPr>
        <w:t xml:space="preserve"> being produced</w:t>
      </w:r>
      <w:r w:rsidR="00BF1A33" w:rsidRPr="00121642">
        <w:rPr>
          <w:rFonts w:ascii="TimesNewRoman" w:eastAsiaTheme="minorHAnsi" w:hAnsi="TimesNewRoman" w:cs="TimesNewRoman"/>
          <w:lang w:eastAsia="en-US"/>
        </w:rPr>
        <w:t>.</w:t>
      </w:r>
    </w:p>
    <w:p w:rsidR="00EA3F39" w:rsidRPr="00121642" w:rsidRDefault="00EA3F39" w:rsidP="00EA3F39">
      <w:pPr>
        <w:spacing w:after="0" w:line="360" w:lineRule="auto"/>
        <w:ind w:firstLine="720"/>
        <w:jc w:val="both"/>
        <w:rPr>
          <w:rFonts w:ascii="TimesNewRoman" w:eastAsiaTheme="minorHAnsi" w:hAnsi="TimesNewRoman" w:cs="TimesNewRoman"/>
          <w:lang w:eastAsia="en-US"/>
        </w:rPr>
      </w:pPr>
      <w:r w:rsidRPr="00121642">
        <w:rPr>
          <w:rFonts w:ascii="TimesNewRoman" w:eastAsiaTheme="minorHAnsi" w:hAnsi="TimesNewRoman" w:cs="TimesNewRoman"/>
          <w:lang w:eastAsia="en-US"/>
        </w:rPr>
        <w:t xml:space="preserve">Norgate building on his earlier study, advanced his work </w:t>
      </w:r>
      <w:r w:rsidRPr="00121642">
        <w:rPr>
          <w:rStyle w:val="ReferenceChar"/>
          <w:noProof/>
          <w:color w:val="auto"/>
        </w:rPr>
        <w:t>(Norgate et al. 2007)</w:t>
      </w:r>
      <w:r w:rsidRPr="00121642">
        <w:rPr>
          <w:rStyle w:val="ReferenceChar"/>
          <w:color w:val="auto"/>
        </w:rPr>
        <w:t xml:space="preserve"> </w:t>
      </w:r>
      <w:r w:rsidRPr="00121642">
        <w:rPr>
          <w:rFonts w:ascii="TimesNewRoman" w:eastAsiaTheme="minorHAnsi" w:hAnsi="TimesNewRoman" w:cs="TimesNewRoman"/>
          <w:lang w:eastAsia="en-US"/>
        </w:rPr>
        <w:t>by repeating his variations in electricity (coal, hydro-electricity and natural gas) but this time for aluminium production worldwide. Drawing parallels with his earlier study Norgate stated that greenhouse gas intensity of the energy source and electricity generation efficiency were the two chief variables that can affect and potentially reduce both GWP and GER.</w:t>
      </w:r>
    </w:p>
    <w:p w:rsidR="002E6486" w:rsidRPr="00121642" w:rsidRDefault="0065202F" w:rsidP="002E6486">
      <w:pPr>
        <w:spacing w:after="0" w:line="360" w:lineRule="auto"/>
        <w:ind w:firstLine="720"/>
        <w:jc w:val="both"/>
        <w:rPr>
          <w:rFonts w:ascii="TimesNewRoman" w:eastAsiaTheme="minorHAnsi" w:hAnsi="TimesNewRoman" w:cs="TimesNewRoman"/>
          <w:lang w:eastAsia="en-US"/>
        </w:rPr>
      </w:pPr>
      <w:r w:rsidRPr="00121642">
        <w:rPr>
          <w:rFonts w:ascii="TimesNewRoman" w:eastAsiaTheme="minorHAnsi" w:hAnsi="TimesNewRoman" w:cs="TimesNewRoman"/>
          <w:lang w:eastAsia="en-US"/>
        </w:rPr>
        <w:lastRenderedPageBreak/>
        <w:t>On the other hand</w:t>
      </w:r>
      <w:r w:rsidR="002E6486" w:rsidRPr="00121642">
        <w:rPr>
          <w:rFonts w:ascii="TimesNewRoman" w:eastAsiaTheme="minorHAnsi" w:hAnsi="TimesNewRoman" w:cs="TimesNewRoman"/>
          <w:lang w:eastAsia="en-US"/>
        </w:rPr>
        <w:t>, results from</w:t>
      </w:r>
      <w:r w:rsidRPr="00121642">
        <w:rPr>
          <w:rFonts w:ascii="TimesNewRoman" w:eastAsiaTheme="minorHAnsi" w:hAnsi="TimesNewRoman" w:cs="TimesNewRoman"/>
          <w:lang w:eastAsia="en-US"/>
        </w:rPr>
        <w:t xml:space="preserve"> </w:t>
      </w:r>
      <w:r w:rsidRPr="00121642">
        <w:rPr>
          <w:rFonts w:ascii="TimesNewRoman" w:eastAsiaTheme="minorHAnsi" w:hAnsi="TimesNewRoman" w:cs="TimesNewRoman"/>
          <w:noProof/>
          <w:lang w:eastAsia="en-US"/>
        </w:rPr>
        <w:t>(Khoo et al. 2016)</w:t>
      </w:r>
      <w:r w:rsidRPr="00121642">
        <w:rPr>
          <w:rFonts w:ascii="TimesNewRoman" w:eastAsiaTheme="minorHAnsi" w:hAnsi="TimesNewRoman" w:cs="TimesNewRoman"/>
          <w:lang w:eastAsia="en-US"/>
        </w:rPr>
        <w:t xml:space="preserve"> </w:t>
      </w:r>
      <w:r w:rsidR="002E6486" w:rsidRPr="00121642">
        <w:rPr>
          <w:rFonts w:ascii="TimesNewRoman" w:eastAsiaTheme="minorHAnsi" w:hAnsi="TimesNewRoman" w:cs="TimesNewRoman"/>
          <w:lang w:eastAsia="en-US"/>
        </w:rPr>
        <w:t xml:space="preserve">supported earlier statements by Haque and Norgate in that coal had the highest GWP value. Khoo also investigated the results in terms of fossil fuel depletion, something not considered in the other two </w:t>
      </w:r>
      <w:r w:rsidR="008535DC">
        <w:rPr>
          <w:rFonts w:ascii="TimesNewRoman" w:eastAsiaTheme="minorHAnsi" w:hAnsi="TimesNewRoman" w:cs="TimesNewRoman"/>
          <w:lang w:eastAsia="en-US"/>
        </w:rPr>
        <w:t>studies, and surprisingly found</w:t>
      </w:r>
      <w:r w:rsidR="002E6486" w:rsidRPr="00121642">
        <w:rPr>
          <w:rFonts w:ascii="TimesNewRoman" w:eastAsiaTheme="minorHAnsi" w:hAnsi="TimesNewRoman" w:cs="TimesNewRoman"/>
          <w:lang w:eastAsia="en-US"/>
        </w:rPr>
        <w:t xml:space="preserve"> natural gas had a similar value to coal for fossil fuel depletion. </w:t>
      </w:r>
      <w:r w:rsidR="00B04F2F" w:rsidRPr="00121642">
        <w:rPr>
          <w:rFonts w:ascii="TimesNewRoman" w:eastAsiaTheme="minorHAnsi" w:hAnsi="TimesNewRoman" w:cs="TimesNewRoman"/>
          <w:lang w:eastAsia="en-US"/>
        </w:rPr>
        <w:t>Khoo</w:t>
      </w:r>
      <w:r w:rsidR="002E6486" w:rsidRPr="00121642">
        <w:rPr>
          <w:rFonts w:ascii="TimesNewRoman" w:eastAsiaTheme="minorHAnsi" w:hAnsi="TimesNewRoman" w:cs="TimesNewRoman"/>
          <w:lang w:eastAsia="en-US"/>
        </w:rPr>
        <w:t xml:space="preserve"> explained</w:t>
      </w:r>
      <w:r w:rsidR="00B04F2F" w:rsidRPr="00121642">
        <w:rPr>
          <w:rFonts w:ascii="TimesNewRoman" w:eastAsiaTheme="minorHAnsi" w:hAnsi="TimesNewRoman" w:cs="TimesNewRoman"/>
          <w:lang w:eastAsia="en-US"/>
        </w:rPr>
        <w:t xml:space="preserve"> the</w:t>
      </w:r>
      <w:r w:rsidR="00AC1856" w:rsidRPr="00121642">
        <w:rPr>
          <w:rFonts w:ascii="TimesNewRoman" w:eastAsiaTheme="minorHAnsi" w:hAnsi="TimesNewRoman" w:cs="TimesNewRoman"/>
          <w:lang w:eastAsia="en-US"/>
        </w:rPr>
        <w:t xml:space="preserve"> heating value of natural gas is</w:t>
      </w:r>
      <w:r w:rsidR="00B04F2F" w:rsidRPr="00121642">
        <w:rPr>
          <w:rFonts w:ascii="TimesNewRoman" w:eastAsiaTheme="minorHAnsi" w:hAnsi="TimesNewRoman" w:cs="TimesNewRoman"/>
          <w:lang w:eastAsia="en-US"/>
        </w:rPr>
        <w:t xml:space="preserve"> two to three times generally lower than coal therefore</w:t>
      </w:r>
      <w:r w:rsidR="00AC1856" w:rsidRPr="00121642">
        <w:rPr>
          <w:rFonts w:ascii="TimesNewRoman" w:eastAsiaTheme="minorHAnsi" w:hAnsi="TimesNewRoman" w:cs="TimesNewRoman"/>
          <w:lang w:eastAsia="en-US"/>
        </w:rPr>
        <w:t>,</w:t>
      </w:r>
      <w:r w:rsidR="00B04F2F" w:rsidRPr="00121642">
        <w:rPr>
          <w:rFonts w:ascii="TimesNewRoman" w:eastAsiaTheme="minorHAnsi" w:hAnsi="TimesNewRoman" w:cs="TimesNewRoman"/>
          <w:lang w:eastAsia="en-US"/>
        </w:rPr>
        <w:t xml:space="preserve"> the fossil fuel depletion value should also be lower. However</w:t>
      </w:r>
      <w:r w:rsidR="00AC1856" w:rsidRPr="00121642">
        <w:rPr>
          <w:rFonts w:ascii="TimesNewRoman" w:eastAsiaTheme="minorHAnsi" w:hAnsi="TimesNewRoman" w:cs="TimesNewRoman"/>
          <w:lang w:eastAsia="en-US"/>
        </w:rPr>
        <w:t>,</w:t>
      </w:r>
      <w:r w:rsidR="00B04F2F" w:rsidRPr="00121642">
        <w:rPr>
          <w:rFonts w:ascii="TimesNewRoman" w:eastAsiaTheme="minorHAnsi" w:hAnsi="TimesNewRoman" w:cs="TimesNewRoman"/>
          <w:lang w:eastAsia="en-US"/>
        </w:rPr>
        <w:t xml:space="preserve"> inclusion of extraction and upstream processing of natural gas before it is used as a fuel</w:t>
      </w:r>
      <w:r w:rsidR="00AC1856" w:rsidRPr="00121642">
        <w:rPr>
          <w:rFonts w:ascii="TimesNewRoman" w:eastAsiaTheme="minorHAnsi" w:hAnsi="TimesNewRoman" w:cs="TimesNewRoman"/>
          <w:lang w:eastAsia="en-US"/>
        </w:rPr>
        <w:t>,</w:t>
      </w:r>
      <w:r w:rsidR="00B04F2F" w:rsidRPr="00121642">
        <w:rPr>
          <w:rFonts w:ascii="TimesNewRoman" w:eastAsiaTheme="minorHAnsi" w:hAnsi="TimesNewRoman" w:cs="TimesNewRoman"/>
          <w:lang w:eastAsia="en-US"/>
        </w:rPr>
        <w:t xml:space="preserve"> could have contributed to its unexpected higher fossil fuel depletion value. </w:t>
      </w:r>
    </w:p>
    <w:p w:rsidR="00D75B90" w:rsidRPr="00121642" w:rsidRDefault="00B04F2F" w:rsidP="00D75B90">
      <w:pPr>
        <w:spacing w:after="0" w:line="360" w:lineRule="auto"/>
        <w:ind w:firstLine="720"/>
        <w:jc w:val="both"/>
        <w:rPr>
          <w:rFonts w:ascii="TimesNewRoman" w:eastAsiaTheme="minorHAnsi" w:hAnsi="TimesNewRoman" w:cs="TimesNewRoman"/>
          <w:lang w:eastAsia="en-US"/>
        </w:rPr>
      </w:pPr>
      <w:r w:rsidRPr="00121642">
        <w:rPr>
          <w:rFonts w:ascii="TimesNewRoman" w:eastAsiaTheme="minorHAnsi" w:hAnsi="TimesNewRoman" w:cs="TimesNewRoman"/>
          <w:lang w:eastAsia="en-US"/>
        </w:rPr>
        <w:t>In regards to hydro, solar and wind power, solar had the hi</w:t>
      </w:r>
      <w:r w:rsidR="00B717E3" w:rsidRPr="00121642">
        <w:rPr>
          <w:rFonts w:ascii="TimesNewRoman" w:eastAsiaTheme="minorHAnsi" w:hAnsi="TimesNewRoman" w:cs="TimesNewRoman"/>
          <w:lang w:eastAsia="en-US"/>
        </w:rPr>
        <w:t xml:space="preserve">ghest global warming due to the </w:t>
      </w:r>
      <w:r w:rsidRPr="00121642">
        <w:rPr>
          <w:rFonts w:ascii="TimesNewRoman" w:eastAsiaTheme="minorHAnsi" w:hAnsi="TimesNewRoman" w:cs="TimesNewRoman"/>
          <w:lang w:eastAsia="en-US"/>
        </w:rPr>
        <w:t>manufacturing of photovoltaic (PV) modules which contained aluminium, cadmium, silicon, silver and lead.</w:t>
      </w:r>
    </w:p>
    <w:p w:rsidR="00DE32D6" w:rsidRPr="00121642" w:rsidRDefault="00EA3F39" w:rsidP="00DE32D6">
      <w:pPr>
        <w:spacing w:after="0" w:line="360" w:lineRule="auto"/>
        <w:ind w:firstLine="720"/>
        <w:jc w:val="both"/>
        <w:rPr>
          <w:rFonts w:ascii="TimesNewRoman" w:eastAsiaTheme="minorHAnsi" w:hAnsi="TimesNewRoman" w:cs="TimesNewRoman"/>
          <w:lang w:eastAsia="en-US"/>
        </w:rPr>
      </w:pPr>
      <w:r w:rsidRPr="00121642">
        <w:rPr>
          <w:rFonts w:ascii="TimesNewRoman" w:eastAsiaTheme="minorHAnsi" w:hAnsi="TimesNewRoman" w:cs="TimesNewRoman"/>
          <w:lang w:eastAsia="en-US"/>
        </w:rPr>
        <w:t>Summing up the 4</w:t>
      </w:r>
      <w:r w:rsidR="00D75B90" w:rsidRPr="00121642">
        <w:rPr>
          <w:rFonts w:ascii="TimesNewRoman" w:eastAsiaTheme="minorHAnsi" w:hAnsi="TimesNewRoman" w:cs="TimesNewRoman"/>
          <w:lang w:eastAsia="en-US"/>
        </w:rPr>
        <w:t xml:space="preserve"> studies, although the end applications were different in each study, the results of substituting a fossil fuel based energy source with a renewable energy source were identical. Although </w:t>
      </w:r>
      <w:r w:rsidRPr="00121642">
        <w:rPr>
          <w:rFonts w:ascii="TimesNewRoman" w:eastAsiaTheme="minorHAnsi" w:hAnsi="TimesNewRoman" w:cs="TimesNewRoman"/>
          <w:lang w:eastAsia="en-US"/>
        </w:rPr>
        <w:t>Khoo</w:t>
      </w:r>
      <w:r w:rsidR="00D75B90" w:rsidRPr="00121642">
        <w:rPr>
          <w:rFonts w:ascii="TimesNewRoman" w:eastAsiaTheme="minorHAnsi" w:hAnsi="TimesNewRoman" w:cs="TimesNewRoman"/>
          <w:lang w:eastAsia="en-US"/>
        </w:rPr>
        <w:t xml:space="preserve"> and </w:t>
      </w:r>
      <w:r w:rsidRPr="00121642">
        <w:rPr>
          <w:rStyle w:val="ReferenceChar"/>
          <w:color w:val="auto"/>
        </w:rPr>
        <w:t xml:space="preserve">Norgate </w:t>
      </w:r>
      <w:r w:rsidR="00D75B90" w:rsidRPr="00121642">
        <w:rPr>
          <w:rFonts w:ascii="TimesNewRoman" w:eastAsiaTheme="minorHAnsi" w:hAnsi="TimesNewRoman" w:cs="TimesNewRoman"/>
          <w:lang w:eastAsia="en-US"/>
        </w:rPr>
        <w:t>went further in their individual studies</w:t>
      </w:r>
      <w:r w:rsidRPr="00121642">
        <w:rPr>
          <w:rFonts w:ascii="TimesNewRoman" w:eastAsiaTheme="minorHAnsi" w:hAnsi="TimesNewRoman" w:cs="TimesNewRoman"/>
          <w:lang w:eastAsia="en-US"/>
        </w:rPr>
        <w:t>,</w:t>
      </w:r>
      <w:r w:rsidR="00D75B90" w:rsidRPr="00121642">
        <w:rPr>
          <w:rFonts w:ascii="TimesNewRoman" w:eastAsiaTheme="minorHAnsi" w:hAnsi="TimesNewRoman" w:cs="TimesNewRoman"/>
          <w:lang w:eastAsia="en-US"/>
        </w:rPr>
        <w:t xml:space="preserve"> by also investigating fossil fuel depletion and generation efficiencies respectively. </w:t>
      </w:r>
    </w:p>
    <w:p w:rsidR="004C30FF" w:rsidRPr="00121642" w:rsidRDefault="00DE32D6" w:rsidP="004C30FF">
      <w:pPr>
        <w:spacing w:after="0" w:line="360" w:lineRule="auto"/>
        <w:ind w:firstLine="720"/>
        <w:jc w:val="both"/>
        <w:rPr>
          <w:rFonts w:ascii="TimesNewRoman" w:eastAsiaTheme="minorHAnsi" w:hAnsi="TimesNewRoman" w:cs="TimesNewRoman"/>
          <w:lang w:eastAsia="en-US"/>
        </w:rPr>
      </w:pPr>
      <w:r w:rsidRPr="00121642">
        <w:rPr>
          <w:rFonts w:ascii="Times New Roman" w:eastAsiaTheme="minorHAnsi" w:hAnsi="Times New Roman" w:cs="Times New Roman"/>
          <w:lang w:eastAsia="en-US"/>
        </w:rPr>
        <w:t>Studies by</w:t>
      </w:r>
      <w:r w:rsidRPr="00121642">
        <w:rPr>
          <w:rFonts w:eastAsiaTheme="minorHAnsi"/>
          <w:lang w:eastAsia="en-US"/>
        </w:rPr>
        <w:t xml:space="preserve"> </w:t>
      </w:r>
      <w:r w:rsidR="004C30FF" w:rsidRPr="00121642">
        <w:rPr>
          <w:rStyle w:val="ReferenceChar"/>
          <w:noProof/>
          <w:color w:val="auto"/>
        </w:rPr>
        <w:t>(Bartzas &amp; Komnitsas 2015; Turconi et al. 2013; Itten et al. 2014)</w:t>
      </w:r>
      <w:r w:rsidR="00451595" w:rsidRPr="00121642">
        <w:rPr>
          <w:rStyle w:val="ReferenceChar"/>
          <w:color w:val="auto"/>
        </w:rPr>
        <w:t xml:space="preserve"> </w:t>
      </w:r>
      <w:r w:rsidRPr="00121642">
        <w:rPr>
          <w:rStyle w:val="ReferenceChar"/>
          <w:color w:val="auto"/>
        </w:rPr>
        <w:t>although more directly related in their investigations</w:t>
      </w:r>
      <w:r w:rsidR="004C30FF" w:rsidRPr="00121642">
        <w:rPr>
          <w:rStyle w:val="ReferenceChar"/>
          <w:color w:val="auto"/>
        </w:rPr>
        <w:t xml:space="preserve"> of</w:t>
      </w:r>
      <w:r w:rsidRPr="00121642">
        <w:rPr>
          <w:rStyle w:val="ReferenceChar"/>
          <w:color w:val="auto"/>
        </w:rPr>
        <w:t xml:space="preserve"> electricity </w:t>
      </w:r>
      <w:r w:rsidR="004C30FF" w:rsidRPr="00121642">
        <w:rPr>
          <w:rFonts w:ascii="TimesNewRoman" w:eastAsiaTheme="minorHAnsi" w:hAnsi="TimesNewRoman" w:cs="TimesNewRoman"/>
          <w:lang w:eastAsia="en-US"/>
        </w:rPr>
        <w:t xml:space="preserve">took </w:t>
      </w:r>
      <w:r w:rsidRPr="00121642">
        <w:rPr>
          <w:rFonts w:ascii="TimesNewRoman" w:eastAsiaTheme="minorHAnsi" w:hAnsi="TimesNewRoman" w:cs="TimesNewRoman"/>
          <w:lang w:eastAsia="en-US"/>
        </w:rPr>
        <w:t>slightly different approach</w:t>
      </w:r>
      <w:r w:rsidR="004C30FF" w:rsidRPr="00121642">
        <w:rPr>
          <w:rFonts w:ascii="TimesNewRoman" w:eastAsiaTheme="minorHAnsi" w:hAnsi="TimesNewRoman" w:cs="TimesNewRoman"/>
          <w:lang w:eastAsia="en-US"/>
        </w:rPr>
        <w:t>es</w:t>
      </w:r>
      <w:r w:rsidRPr="00121642">
        <w:rPr>
          <w:rFonts w:ascii="TimesNewRoman" w:eastAsiaTheme="minorHAnsi" w:hAnsi="TimesNewRoman" w:cs="TimesNewRoman"/>
          <w:lang w:eastAsia="en-US"/>
        </w:rPr>
        <w:t>.</w:t>
      </w:r>
    </w:p>
    <w:p w:rsidR="00A72F35" w:rsidRPr="00121642" w:rsidRDefault="00BF1A33" w:rsidP="000D4472">
      <w:pPr>
        <w:spacing w:after="0" w:line="360" w:lineRule="auto"/>
        <w:ind w:firstLine="720"/>
        <w:jc w:val="both"/>
        <w:rPr>
          <w:rFonts w:ascii="Times New Roman" w:hAnsi="Times New Roman"/>
        </w:rPr>
      </w:pPr>
      <w:r w:rsidRPr="00121642">
        <w:rPr>
          <w:rFonts w:ascii="TimesNewRoman" w:eastAsiaTheme="minorHAnsi" w:hAnsi="TimesNewRoman" w:cs="TimesNewRoman"/>
          <w:noProof/>
          <w:lang w:eastAsia="en-US"/>
        </w:rPr>
        <w:t>(Bartzas &amp; Komnitsas 2015)</w:t>
      </w:r>
      <w:r w:rsidR="00DE32D6" w:rsidRPr="00121642">
        <w:rPr>
          <w:rFonts w:ascii="TimesNewRoman" w:eastAsiaTheme="minorHAnsi" w:hAnsi="TimesNewRoman" w:cs="TimesNewRoman"/>
          <w:lang w:eastAsia="en-US"/>
        </w:rPr>
        <w:t xml:space="preserve"> </w:t>
      </w:r>
      <w:r w:rsidRPr="00121642">
        <w:rPr>
          <w:rFonts w:ascii="TimesNewRoman" w:eastAsiaTheme="minorHAnsi" w:hAnsi="TimesNewRoman" w:cs="TimesNewRoman"/>
          <w:lang w:eastAsia="en-US"/>
        </w:rPr>
        <w:t xml:space="preserve">using alternative scenario GE (Green Energy), investigated </w:t>
      </w:r>
      <w:r w:rsidRPr="00121642">
        <w:rPr>
          <w:rFonts w:ascii="Times New Roman" w:hAnsi="Times New Roman"/>
        </w:rPr>
        <w:t xml:space="preserve">50% substitution of fossil fuels mix with biochar and </w:t>
      </w:r>
      <w:r w:rsidRPr="00121642">
        <w:rPr>
          <w:rFonts w:ascii="TimesNewRoman" w:eastAsiaTheme="minorHAnsi" w:hAnsi="TimesNewRoman" w:cs="TimesNewRoman"/>
          <w:lang w:eastAsia="en-US"/>
        </w:rPr>
        <w:t xml:space="preserve">50% substitution of lignite with renewable resources for electricity production. Analysis of the results indicated </w:t>
      </w:r>
      <w:r w:rsidRPr="00121642">
        <w:rPr>
          <w:rFonts w:ascii="Times New Roman" w:hAnsi="Times New Roman"/>
        </w:rPr>
        <w:t>reduced energy savings and greenhouse gas emissions by 17% and 35% respectively, compared to base line values (common</w:t>
      </w:r>
      <w:r w:rsidR="00DE32D6" w:rsidRPr="00121642">
        <w:rPr>
          <w:rFonts w:ascii="Times New Roman" w:hAnsi="Times New Roman"/>
        </w:rPr>
        <w:t>ly used fossil fuels). B</w:t>
      </w:r>
      <w:r w:rsidRPr="00121642">
        <w:rPr>
          <w:rFonts w:ascii="Times New Roman" w:hAnsi="Times New Roman"/>
        </w:rPr>
        <w:t>ased on his findings</w:t>
      </w:r>
      <w:r w:rsidR="00DE32D6" w:rsidRPr="00121642">
        <w:rPr>
          <w:rFonts w:ascii="Times New Roman" w:hAnsi="Times New Roman"/>
        </w:rPr>
        <w:t xml:space="preserve">, </w:t>
      </w:r>
      <w:proofErr w:type="spellStart"/>
      <w:r w:rsidR="00DE32D6" w:rsidRPr="00121642">
        <w:rPr>
          <w:rFonts w:ascii="Times New Roman" w:hAnsi="Times New Roman"/>
        </w:rPr>
        <w:t>Bartzas</w:t>
      </w:r>
      <w:proofErr w:type="spellEnd"/>
      <w:r w:rsidRPr="00121642">
        <w:rPr>
          <w:rFonts w:ascii="Times New Roman" w:hAnsi="Times New Roman"/>
        </w:rPr>
        <w:t xml:space="preserve"> proposed replacing fossil fuels with renewable carbo</w:t>
      </w:r>
      <w:r w:rsidR="006B1DE2">
        <w:rPr>
          <w:rFonts w:ascii="Times New Roman" w:hAnsi="Times New Roman"/>
        </w:rPr>
        <w:t>n such as bio-char, a recommendation</w:t>
      </w:r>
      <w:r w:rsidRPr="00121642">
        <w:rPr>
          <w:rFonts w:ascii="Times New Roman" w:hAnsi="Times New Roman"/>
        </w:rPr>
        <w:t xml:space="preserve"> also</w:t>
      </w:r>
      <w:r w:rsidR="006B1DE2">
        <w:rPr>
          <w:rFonts w:ascii="Times New Roman" w:hAnsi="Times New Roman"/>
        </w:rPr>
        <w:t xml:space="preserve"> proposed</w:t>
      </w:r>
      <w:r w:rsidRPr="00121642">
        <w:rPr>
          <w:rFonts w:ascii="Times New Roman" w:hAnsi="Times New Roman"/>
        </w:rPr>
        <w:t xml:space="preserve"> by </w:t>
      </w:r>
      <w:r w:rsidRPr="00121642">
        <w:rPr>
          <w:rFonts w:ascii="Times New Roman" w:hAnsi="Times New Roman"/>
          <w:noProof/>
        </w:rPr>
        <w:t>(Haque &amp; Norgate 2013)</w:t>
      </w:r>
      <w:r w:rsidRPr="00121642">
        <w:rPr>
          <w:rFonts w:ascii="Times New Roman" w:hAnsi="Times New Roman"/>
        </w:rPr>
        <w:t xml:space="preserve"> and </w:t>
      </w:r>
      <w:r w:rsidRPr="00121642">
        <w:rPr>
          <w:rFonts w:ascii="Times New Roman" w:hAnsi="Times New Roman"/>
          <w:noProof/>
        </w:rPr>
        <w:t>(Westfall 2016)</w:t>
      </w:r>
      <w:r w:rsidRPr="00121642">
        <w:rPr>
          <w:rFonts w:ascii="Times New Roman" w:hAnsi="Times New Roman"/>
        </w:rPr>
        <w:t>.</w:t>
      </w:r>
    </w:p>
    <w:p w:rsidR="000D4472" w:rsidRPr="00121642" w:rsidRDefault="000D4472" w:rsidP="000D4472">
      <w:pPr>
        <w:spacing w:after="0" w:line="360" w:lineRule="auto"/>
        <w:ind w:firstLine="720"/>
        <w:jc w:val="both"/>
        <w:rPr>
          <w:rFonts w:ascii="Times New Roman" w:hAnsi="Times New Roman"/>
        </w:rPr>
      </w:pPr>
      <w:r w:rsidRPr="00121642">
        <w:rPr>
          <w:rFonts w:ascii="Times New Roman" w:hAnsi="Times New Roman"/>
        </w:rPr>
        <w:t xml:space="preserve">On the other hand, </w:t>
      </w:r>
      <w:r w:rsidR="00D874E7" w:rsidRPr="00121642">
        <w:rPr>
          <w:rFonts w:ascii="Times New Roman" w:hAnsi="Times New Roman"/>
        </w:rPr>
        <w:t xml:space="preserve">the </w:t>
      </w:r>
      <w:r w:rsidRPr="00121642">
        <w:rPr>
          <w:rFonts w:ascii="Times New Roman" w:hAnsi="Times New Roman"/>
        </w:rPr>
        <w:t>studies by T</w:t>
      </w:r>
      <w:r w:rsidR="00D23648" w:rsidRPr="00121642">
        <w:rPr>
          <w:rFonts w:ascii="Times New Roman" w:hAnsi="Times New Roman"/>
        </w:rPr>
        <w:t>urconi and Itten were more focu</w:t>
      </w:r>
      <w:r w:rsidRPr="00121642">
        <w:rPr>
          <w:rFonts w:ascii="Times New Roman" w:hAnsi="Times New Roman"/>
        </w:rPr>
        <w:t xml:space="preserve">sed on </w:t>
      </w:r>
      <w:r w:rsidRPr="00121642">
        <w:rPr>
          <w:rFonts w:ascii="Times New Roman" w:eastAsia="Calibri" w:hAnsi="Times New Roman" w:cs="Times New Roman"/>
        </w:rPr>
        <w:t>electricity generation but from different perspectives.</w:t>
      </w:r>
    </w:p>
    <w:p w:rsidR="0077312B" w:rsidRPr="00121642" w:rsidRDefault="00451595" w:rsidP="0077312B">
      <w:pPr>
        <w:spacing w:after="0" w:line="360" w:lineRule="auto"/>
        <w:ind w:firstLine="720"/>
        <w:jc w:val="both"/>
        <w:rPr>
          <w:rFonts w:ascii="Times New Roman" w:eastAsia="Calibri" w:hAnsi="Times New Roman" w:cs="Times New Roman"/>
        </w:rPr>
      </w:pPr>
      <w:r w:rsidRPr="00121642">
        <w:rPr>
          <w:rFonts w:ascii="Times New Roman" w:eastAsia="Calibri" w:hAnsi="Times New Roman" w:cs="Times New Roman"/>
        </w:rPr>
        <w:t>Concerning Turconi, the study was an attempt by researchers at the Technical University of Denmark, to provide a thorough foundation for selection of data and methodology with respect to LCA modelling of electricity generation. In this study, focusing on electricity generation technologies, the researchers critically reviewed 167 case studies based on these technologies in order to provide a systematic overview of the important emissions.</w:t>
      </w:r>
    </w:p>
    <w:p w:rsidR="000D4472" w:rsidRPr="00121642" w:rsidRDefault="000D4472" w:rsidP="0077312B">
      <w:pPr>
        <w:spacing w:after="0" w:line="360" w:lineRule="auto"/>
        <w:ind w:firstLine="720"/>
        <w:jc w:val="both"/>
        <w:rPr>
          <w:rFonts w:ascii="Times New Roman" w:eastAsia="Calibri" w:hAnsi="Times New Roman" w:cs="Times New Roman"/>
        </w:rPr>
      </w:pPr>
      <w:r w:rsidRPr="00121642">
        <w:rPr>
          <w:rFonts w:ascii="Times New Roman" w:eastAsia="Calibri" w:hAnsi="Times New Roman" w:cs="Times New Roman"/>
        </w:rPr>
        <w:t xml:space="preserve">Contrastingly the report by Itten described the life cycle inventories of electricity production. Emphasis on the report was updating </w:t>
      </w:r>
      <w:r w:rsidR="0077312B" w:rsidRPr="00121642">
        <w:rPr>
          <w:rFonts w:ascii="Times New Roman" w:eastAsia="Calibri" w:hAnsi="Times New Roman" w:cs="Times New Roman"/>
        </w:rPr>
        <w:t>European electricity models since global</w:t>
      </w:r>
      <w:r w:rsidR="006B1DE2">
        <w:rPr>
          <w:rFonts w:ascii="Times New Roman" w:eastAsia="Calibri" w:hAnsi="Times New Roman" w:cs="Times New Roman"/>
        </w:rPr>
        <w:t xml:space="preserve"> electricity markets had substantially altered</w:t>
      </w:r>
      <w:r w:rsidR="0077312B" w:rsidRPr="00121642">
        <w:rPr>
          <w:rFonts w:ascii="Times New Roman" w:eastAsia="Calibri" w:hAnsi="Times New Roman" w:cs="Times New Roman"/>
        </w:rPr>
        <w:t xml:space="preserve"> from</w:t>
      </w:r>
      <w:r w:rsidR="006B1DE2">
        <w:rPr>
          <w:rFonts w:ascii="Times New Roman" w:eastAsia="Calibri" w:hAnsi="Times New Roman" w:cs="Times New Roman"/>
        </w:rPr>
        <w:t xml:space="preserve"> when</w:t>
      </w:r>
      <w:r w:rsidR="0077312B" w:rsidRPr="00121642">
        <w:rPr>
          <w:rFonts w:ascii="Times New Roman" w:eastAsia="Calibri" w:hAnsi="Times New Roman" w:cs="Times New Roman"/>
        </w:rPr>
        <w:t xml:space="preserve"> the previous models</w:t>
      </w:r>
      <w:r w:rsidR="006B1DE2">
        <w:rPr>
          <w:rFonts w:ascii="Times New Roman" w:eastAsia="Calibri" w:hAnsi="Times New Roman" w:cs="Times New Roman"/>
        </w:rPr>
        <w:t xml:space="preserve"> were</w:t>
      </w:r>
      <w:r w:rsidR="0077312B" w:rsidRPr="00121642">
        <w:rPr>
          <w:rFonts w:ascii="Times New Roman" w:eastAsia="Calibri" w:hAnsi="Times New Roman" w:cs="Times New Roman"/>
        </w:rPr>
        <w:t xml:space="preserve"> created in the 1990s. </w:t>
      </w:r>
      <w:r w:rsidRPr="00121642">
        <w:rPr>
          <w:rFonts w:ascii="Times New Roman" w:eastAsia="Calibri" w:hAnsi="Times New Roman" w:cs="Times New Roman"/>
        </w:rPr>
        <w:t>Besides t</w:t>
      </w:r>
      <w:r w:rsidR="0077312B" w:rsidRPr="00121642">
        <w:rPr>
          <w:rFonts w:ascii="Times New Roman" w:eastAsia="Calibri" w:hAnsi="Times New Roman" w:cs="Times New Roman"/>
        </w:rPr>
        <w:t>he European electricity supply, l</w:t>
      </w:r>
      <w:r w:rsidRPr="00121642">
        <w:rPr>
          <w:rFonts w:ascii="Times New Roman" w:eastAsia="Calibri" w:hAnsi="Times New Roman" w:cs="Times New Roman"/>
        </w:rPr>
        <w:t>ife cycle inventories of electricity production were described for 11 Asian and Australasian, 3 African and 6 American countries, covering 84% of global electricity production.</w:t>
      </w:r>
    </w:p>
    <w:p w:rsidR="00A36956" w:rsidRPr="00121642" w:rsidRDefault="00D874E7" w:rsidP="00A36956">
      <w:pPr>
        <w:spacing w:after="0" w:line="360" w:lineRule="auto"/>
        <w:ind w:firstLine="720"/>
        <w:jc w:val="both"/>
        <w:rPr>
          <w:rFonts w:ascii="Times New Roman" w:eastAsia="Calibri" w:hAnsi="Times New Roman" w:cs="Times New Roman"/>
        </w:rPr>
      </w:pPr>
      <w:r w:rsidRPr="00121642">
        <w:rPr>
          <w:rFonts w:ascii="Times New Roman" w:eastAsia="Calibri" w:hAnsi="Times New Roman" w:cs="Times New Roman"/>
        </w:rPr>
        <w:t>Although the report by Itten is an excellent data source in terms of obtaining quantitative data, and stands out particularly by including transmission and distribution losses</w:t>
      </w:r>
      <w:r w:rsidR="00A36956" w:rsidRPr="00121642">
        <w:rPr>
          <w:rFonts w:ascii="Times New Roman" w:eastAsia="Calibri" w:hAnsi="Times New Roman" w:cs="Times New Roman"/>
        </w:rPr>
        <w:t>: the study</w:t>
      </w:r>
      <w:r w:rsidRPr="00121642">
        <w:rPr>
          <w:rFonts w:ascii="Times New Roman" w:eastAsia="Calibri" w:hAnsi="Times New Roman" w:cs="Times New Roman"/>
        </w:rPr>
        <w:t xml:space="preserve"> is more of a method to create electricity grid mix</w:t>
      </w:r>
      <w:r w:rsidR="00A36956" w:rsidRPr="00121642">
        <w:rPr>
          <w:rFonts w:ascii="Times New Roman" w:eastAsia="Calibri" w:hAnsi="Times New Roman" w:cs="Times New Roman"/>
        </w:rPr>
        <w:t xml:space="preserve">es. In addition it cannot be considered a comprehensive report </w:t>
      </w:r>
      <w:r w:rsidR="00A36956" w:rsidRPr="00121642">
        <w:rPr>
          <w:rFonts w:ascii="Times New Roman" w:eastAsia="Calibri" w:hAnsi="Times New Roman" w:cs="Times New Roman"/>
        </w:rPr>
        <w:lastRenderedPageBreak/>
        <w:t>particularly in terms of environmental impacts, as it only focuses on emissions related to GWP (ozone, sulphur hexafluoride and nitrous oxide) and does not consider other categories such as AP and EU. On the other hand, Turconi provides a much more thorough investigation particularly in terms of emissions and breakdown by fuel source, leading to two main conclusions.</w:t>
      </w:r>
    </w:p>
    <w:p w:rsidR="00451595" w:rsidRPr="00121642" w:rsidRDefault="00451595" w:rsidP="00A36956">
      <w:pPr>
        <w:spacing w:after="0" w:line="360" w:lineRule="auto"/>
        <w:ind w:firstLine="720"/>
        <w:jc w:val="both"/>
        <w:rPr>
          <w:rFonts w:ascii="Times New Roman" w:eastAsia="Calibri" w:hAnsi="Times New Roman" w:cs="Times New Roman"/>
        </w:rPr>
      </w:pPr>
      <w:r w:rsidRPr="00121642">
        <w:rPr>
          <w:rFonts w:ascii="Times New Roman" w:eastAsia="Calibri" w:hAnsi="Times New Roman" w:cs="Times New Roman"/>
        </w:rPr>
        <w:t>From an LCA methodological perspective, the definition of the functional unit, the LCA meth</w:t>
      </w:r>
      <w:r w:rsidR="00E60086" w:rsidRPr="00121642">
        <w:rPr>
          <w:rFonts w:ascii="Times New Roman" w:eastAsia="Calibri" w:hAnsi="Times New Roman" w:cs="Times New Roman"/>
        </w:rPr>
        <w:t>od employed (e.g. Input-Output a</w:t>
      </w:r>
      <w:r w:rsidRPr="00121642">
        <w:rPr>
          <w:rFonts w:ascii="Times New Roman" w:eastAsia="Calibri" w:hAnsi="Times New Roman" w:cs="Times New Roman"/>
        </w:rPr>
        <w:t>nalysis) and allocation principle when used affected the tra</w:t>
      </w:r>
      <w:r w:rsidR="00A36956" w:rsidRPr="00121642">
        <w:rPr>
          <w:rFonts w:ascii="Times New Roman" w:eastAsia="Calibri" w:hAnsi="Times New Roman" w:cs="Times New Roman"/>
        </w:rPr>
        <w:t>nsparency and consistency of Turconi’s</w:t>
      </w:r>
      <w:r w:rsidRPr="00121642">
        <w:rPr>
          <w:rFonts w:ascii="Times New Roman" w:eastAsia="Calibri" w:hAnsi="Times New Roman" w:cs="Times New Roman"/>
        </w:rPr>
        <w:t xml:space="preserve"> results. In terms of technological aspects, three trends were highlighted. For fossil fuel technologies, direct emissions from plant operation represented the majority of the life cycle emissions. For biomass technologies (71% for GHG, 54% for NOx and 61% for SO</w:t>
      </w:r>
      <w:r w:rsidRPr="00121642">
        <w:rPr>
          <w:rFonts w:ascii="Times New Roman" w:eastAsia="Calibri" w:hAnsi="Times New Roman" w:cs="Times New Roman"/>
          <w:vertAlign w:val="subscript"/>
        </w:rPr>
        <w:t>2</w:t>
      </w:r>
      <w:r w:rsidRPr="00121642">
        <w:rPr>
          <w:rFonts w:ascii="Times New Roman" w:eastAsia="Calibri" w:hAnsi="Times New Roman" w:cs="Times New Roman"/>
        </w:rPr>
        <w:t>) and nuclear power (60% for GHG, 82% for NOx and 92% for SO</w:t>
      </w:r>
      <w:r w:rsidRPr="00121642">
        <w:rPr>
          <w:rFonts w:ascii="Times New Roman" w:eastAsia="Calibri" w:hAnsi="Times New Roman" w:cs="Times New Roman"/>
          <w:vertAlign w:val="subscript"/>
        </w:rPr>
        <w:t>2</w:t>
      </w:r>
      <w:r w:rsidRPr="00121642">
        <w:rPr>
          <w:rFonts w:ascii="Times New Roman" w:eastAsia="Calibri" w:hAnsi="Times New Roman" w:cs="Times New Roman"/>
        </w:rPr>
        <w:t>) fuel provision represented the largest contribution. For renewables, infrastructure provided the highest impact.</w:t>
      </w:r>
    </w:p>
    <w:p w:rsidR="00EA5115" w:rsidRPr="00121642" w:rsidRDefault="00EA5115" w:rsidP="00EA5115">
      <w:pPr>
        <w:spacing w:after="0" w:line="360" w:lineRule="auto"/>
        <w:ind w:firstLine="720"/>
        <w:jc w:val="both"/>
        <w:rPr>
          <w:rFonts w:ascii="Times New Roman" w:eastAsia="Calibri" w:hAnsi="Times New Roman" w:cs="Times New Roman"/>
        </w:rPr>
      </w:pPr>
      <w:r w:rsidRPr="00121642">
        <w:rPr>
          <w:rFonts w:ascii="Times New Roman" w:eastAsia="Calibri" w:hAnsi="Times New Roman" w:cs="Times New Roman"/>
        </w:rPr>
        <w:t xml:space="preserve">To summarise, though Itten provides an in-depth analysis of how to model electricity grid mixes in terms of breakdown by fuel source and inclusion of transmission, distribution and grid losses: the study was limited. But the study from Turconi was </w:t>
      </w:r>
      <w:r w:rsidR="00451595" w:rsidRPr="00121642">
        <w:rPr>
          <w:rFonts w:ascii="Times New Roman" w:eastAsia="Calibri" w:hAnsi="Times New Roman" w:cs="Times New Roman"/>
        </w:rPr>
        <w:t>an excellent example of the variability present in LCA results for electricity generation. The LCA methodology</w:t>
      </w:r>
      <w:r w:rsidRPr="00121642">
        <w:rPr>
          <w:rFonts w:ascii="Times New Roman" w:eastAsia="Calibri" w:hAnsi="Times New Roman" w:cs="Times New Roman"/>
        </w:rPr>
        <w:t xml:space="preserve"> utilised here was</w:t>
      </w:r>
      <w:r w:rsidR="00451595" w:rsidRPr="00121642">
        <w:rPr>
          <w:rFonts w:ascii="Times New Roman" w:eastAsia="Calibri" w:hAnsi="Times New Roman" w:cs="Times New Roman"/>
        </w:rPr>
        <w:t xml:space="preserve"> clearly </w:t>
      </w:r>
      <w:r w:rsidRPr="00121642">
        <w:rPr>
          <w:rFonts w:ascii="Times New Roman" w:eastAsia="Calibri" w:hAnsi="Times New Roman" w:cs="Times New Roman"/>
        </w:rPr>
        <w:t>explained alongside</w:t>
      </w:r>
      <w:r w:rsidR="00451595" w:rsidRPr="00121642">
        <w:rPr>
          <w:rFonts w:ascii="Times New Roman" w:eastAsia="Calibri" w:hAnsi="Times New Roman" w:cs="Times New Roman"/>
        </w:rPr>
        <w:t xml:space="preserve"> the selection and review of emissions data related to elect</w:t>
      </w:r>
      <w:r w:rsidRPr="00121642">
        <w:rPr>
          <w:rFonts w:ascii="Times New Roman" w:eastAsia="Calibri" w:hAnsi="Times New Roman" w:cs="Times New Roman"/>
        </w:rPr>
        <w:t>ricity generation technologies. The results were also</w:t>
      </w:r>
      <w:r w:rsidR="00451595" w:rsidRPr="00121642">
        <w:rPr>
          <w:rFonts w:ascii="Times New Roman" w:eastAsia="Calibri" w:hAnsi="Times New Roman" w:cs="Times New Roman"/>
        </w:rPr>
        <w:t xml:space="preserve"> broken up into individual electricity generation technologies so that the impact of emissi</w:t>
      </w:r>
      <w:r w:rsidRPr="00121642">
        <w:rPr>
          <w:rFonts w:ascii="Times New Roman" w:eastAsia="Calibri" w:hAnsi="Times New Roman" w:cs="Times New Roman"/>
        </w:rPr>
        <w:t>ons could</w:t>
      </w:r>
      <w:r w:rsidR="00451595" w:rsidRPr="00121642">
        <w:rPr>
          <w:rFonts w:ascii="Times New Roman" w:eastAsia="Calibri" w:hAnsi="Times New Roman" w:cs="Times New Roman"/>
        </w:rPr>
        <w:t xml:space="preserve"> easily</w:t>
      </w:r>
      <w:r w:rsidRPr="00121642">
        <w:rPr>
          <w:rFonts w:ascii="Times New Roman" w:eastAsia="Calibri" w:hAnsi="Times New Roman" w:cs="Times New Roman"/>
        </w:rPr>
        <w:t xml:space="preserve"> be</w:t>
      </w:r>
      <w:r w:rsidR="008535DC">
        <w:rPr>
          <w:rFonts w:ascii="Times New Roman" w:eastAsia="Calibri" w:hAnsi="Times New Roman" w:cs="Times New Roman"/>
        </w:rPr>
        <w:t xml:space="preserve"> deduced. In addition </w:t>
      </w:r>
      <w:r w:rsidRPr="00121642">
        <w:rPr>
          <w:rFonts w:ascii="Times New Roman" w:eastAsia="Calibri" w:hAnsi="Times New Roman" w:cs="Times New Roman"/>
        </w:rPr>
        <w:t xml:space="preserve">Turconi </w:t>
      </w:r>
      <w:r w:rsidR="008535DC">
        <w:rPr>
          <w:rFonts w:ascii="Times New Roman" w:eastAsia="Calibri" w:hAnsi="Times New Roman" w:cs="Times New Roman"/>
        </w:rPr>
        <w:t>et al</w:t>
      </w:r>
      <w:r w:rsidR="00451595" w:rsidRPr="00121642">
        <w:rPr>
          <w:rFonts w:ascii="Times New Roman" w:eastAsia="Calibri" w:hAnsi="Times New Roman" w:cs="Times New Roman"/>
        </w:rPr>
        <w:t xml:space="preserve"> acknowledge</w:t>
      </w:r>
      <w:r w:rsidR="008535DC">
        <w:rPr>
          <w:rFonts w:ascii="Times New Roman" w:eastAsia="Calibri" w:hAnsi="Times New Roman" w:cs="Times New Roman"/>
        </w:rPr>
        <w:t>d</w:t>
      </w:r>
      <w:r w:rsidR="00451595" w:rsidRPr="00121642">
        <w:rPr>
          <w:rFonts w:ascii="Times New Roman" w:eastAsia="Calibri" w:hAnsi="Times New Roman" w:cs="Times New Roman"/>
        </w:rPr>
        <w:t xml:space="preserve"> several key areas such as direct/indirect emissions, data inventory, and functional unit to name a few in the discussion. </w:t>
      </w:r>
    </w:p>
    <w:p w:rsidR="00451595" w:rsidRPr="00121642" w:rsidRDefault="00451595" w:rsidP="00EA5115">
      <w:pPr>
        <w:spacing w:after="0" w:line="360" w:lineRule="auto"/>
        <w:ind w:firstLine="720"/>
        <w:jc w:val="both"/>
        <w:rPr>
          <w:rFonts w:ascii="Times New Roman" w:eastAsia="Calibri" w:hAnsi="Times New Roman" w:cs="Times New Roman"/>
        </w:rPr>
      </w:pPr>
      <w:r w:rsidRPr="00121642">
        <w:rPr>
          <w:rFonts w:ascii="Times New Roman" w:eastAsia="Calibri" w:hAnsi="Times New Roman" w:cs="Times New Roman"/>
        </w:rPr>
        <w:t>However, the key learning objective tha</w:t>
      </w:r>
      <w:r w:rsidR="00EA5115" w:rsidRPr="00121642">
        <w:rPr>
          <w:rFonts w:ascii="Times New Roman" w:eastAsia="Calibri" w:hAnsi="Times New Roman" w:cs="Times New Roman"/>
        </w:rPr>
        <w:t>t can be taken from this study was</w:t>
      </w:r>
      <w:r w:rsidRPr="00121642">
        <w:rPr>
          <w:rFonts w:ascii="Times New Roman" w:eastAsia="Calibri" w:hAnsi="Times New Roman" w:cs="Times New Roman"/>
        </w:rPr>
        <w:t xml:space="preserve"> that data applicability and methodological limitations have to be clear so that r</w:t>
      </w:r>
      <w:r w:rsidR="00A72F35" w:rsidRPr="00121642">
        <w:rPr>
          <w:rFonts w:ascii="Times New Roman" w:eastAsia="Calibri" w:hAnsi="Times New Roman" w:cs="Times New Roman"/>
        </w:rPr>
        <w:t>esults taken from LCA studies are</w:t>
      </w:r>
      <w:r w:rsidRPr="00121642">
        <w:rPr>
          <w:rFonts w:ascii="Times New Roman" w:eastAsia="Calibri" w:hAnsi="Times New Roman" w:cs="Times New Roman"/>
        </w:rPr>
        <w:t xml:space="preserve"> useable</w:t>
      </w:r>
      <w:r w:rsidR="00A72F35" w:rsidRPr="00121642">
        <w:rPr>
          <w:rFonts w:ascii="Times New Roman" w:eastAsia="Calibri" w:hAnsi="Times New Roman" w:cs="Times New Roman"/>
        </w:rPr>
        <w:t xml:space="preserve"> and repeatable</w:t>
      </w:r>
      <w:r w:rsidRPr="00121642">
        <w:rPr>
          <w:rFonts w:ascii="Times New Roman" w:eastAsia="Calibri" w:hAnsi="Times New Roman" w:cs="Times New Roman"/>
        </w:rPr>
        <w:t>.</w:t>
      </w:r>
    </w:p>
    <w:p w:rsidR="00451595" w:rsidRPr="00121642" w:rsidRDefault="00451595" w:rsidP="006A62D1">
      <w:pPr>
        <w:spacing w:line="360" w:lineRule="auto"/>
        <w:ind w:firstLine="720"/>
        <w:jc w:val="both"/>
        <w:rPr>
          <w:rFonts w:ascii="Times New Roman" w:eastAsia="Calibri" w:hAnsi="Times New Roman" w:cs="Times New Roman"/>
        </w:rPr>
      </w:pPr>
    </w:p>
    <w:p w:rsidR="004D658E" w:rsidRPr="00121642" w:rsidRDefault="004D658E" w:rsidP="006A62D1">
      <w:pPr>
        <w:spacing w:line="360" w:lineRule="auto"/>
        <w:ind w:firstLine="720"/>
        <w:jc w:val="both"/>
        <w:rPr>
          <w:rFonts w:ascii="Times New Roman" w:eastAsia="Calibri" w:hAnsi="Times New Roman" w:cs="Times New Roman"/>
        </w:rPr>
      </w:pPr>
    </w:p>
    <w:p w:rsidR="004D658E" w:rsidRDefault="004D658E" w:rsidP="006A62D1">
      <w:pPr>
        <w:spacing w:line="360" w:lineRule="auto"/>
        <w:ind w:firstLine="720"/>
        <w:jc w:val="both"/>
        <w:rPr>
          <w:rFonts w:ascii="Times New Roman" w:eastAsia="Calibri" w:hAnsi="Times New Roman" w:cs="Times New Roman"/>
        </w:rPr>
      </w:pPr>
    </w:p>
    <w:p w:rsidR="004D658E" w:rsidRDefault="004D658E" w:rsidP="006A62D1">
      <w:pPr>
        <w:spacing w:line="360" w:lineRule="auto"/>
        <w:ind w:firstLine="720"/>
        <w:jc w:val="both"/>
        <w:rPr>
          <w:rFonts w:ascii="Times New Roman" w:eastAsia="Calibri" w:hAnsi="Times New Roman" w:cs="Times New Roman"/>
        </w:rPr>
      </w:pPr>
    </w:p>
    <w:p w:rsidR="00885977" w:rsidRDefault="00885977" w:rsidP="006A62D1">
      <w:pPr>
        <w:spacing w:line="360" w:lineRule="auto"/>
        <w:ind w:firstLine="720"/>
        <w:jc w:val="both"/>
        <w:rPr>
          <w:rFonts w:ascii="Times New Roman" w:eastAsia="Calibri" w:hAnsi="Times New Roman" w:cs="Times New Roman"/>
        </w:rPr>
      </w:pPr>
    </w:p>
    <w:p w:rsidR="00885977" w:rsidRDefault="00885977" w:rsidP="006A62D1">
      <w:pPr>
        <w:spacing w:line="360" w:lineRule="auto"/>
        <w:ind w:firstLine="720"/>
        <w:jc w:val="both"/>
        <w:rPr>
          <w:rFonts w:ascii="Times New Roman" w:eastAsia="Calibri" w:hAnsi="Times New Roman" w:cs="Times New Roman"/>
        </w:rPr>
      </w:pPr>
    </w:p>
    <w:p w:rsidR="00885977" w:rsidRDefault="00885977" w:rsidP="006A62D1">
      <w:pPr>
        <w:spacing w:line="360" w:lineRule="auto"/>
        <w:ind w:firstLine="720"/>
        <w:jc w:val="both"/>
        <w:rPr>
          <w:rFonts w:ascii="Times New Roman" w:eastAsia="Calibri" w:hAnsi="Times New Roman" w:cs="Times New Roman"/>
        </w:rPr>
      </w:pPr>
    </w:p>
    <w:p w:rsidR="00E015F2" w:rsidRDefault="00E015F2" w:rsidP="00EA5115">
      <w:pPr>
        <w:spacing w:line="360" w:lineRule="auto"/>
        <w:ind w:firstLine="720"/>
        <w:jc w:val="both"/>
        <w:rPr>
          <w:rFonts w:ascii="Times New Roman" w:eastAsia="Calibri" w:hAnsi="Times New Roman" w:cs="Times New Roman"/>
        </w:rPr>
      </w:pPr>
    </w:p>
    <w:p w:rsidR="00E015F2" w:rsidRDefault="00E015F2" w:rsidP="00171A37">
      <w:pPr>
        <w:spacing w:line="360" w:lineRule="auto"/>
        <w:jc w:val="both"/>
        <w:rPr>
          <w:rFonts w:ascii="Times New Roman" w:eastAsia="Calibri" w:hAnsi="Times New Roman" w:cs="Times New Roman"/>
        </w:rPr>
      </w:pPr>
    </w:p>
    <w:p w:rsidR="006A62D1" w:rsidRPr="00067A27" w:rsidRDefault="001716DC" w:rsidP="00083FA5">
      <w:pPr>
        <w:pStyle w:val="Heading2"/>
        <w:rPr>
          <w:rFonts w:eastAsia="Calibri Light"/>
        </w:rPr>
      </w:pPr>
      <w:r>
        <w:rPr>
          <w:rFonts w:eastAsia="Calibri Light"/>
        </w:rPr>
        <w:lastRenderedPageBreak/>
        <w:t>3</w:t>
      </w:r>
      <w:r w:rsidR="00245619">
        <w:rPr>
          <w:rFonts w:eastAsia="Calibri Light"/>
        </w:rPr>
        <w:t>.4</w:t>
      </w:r>
      <w:r w:rsidR="00171A37" w:rsidRPr="00067A27">
        <w:rPr>
          <w:rFonts w:eastAsia="Calibri Light"/>
        </w:rPr>
        <w:t>.</w:t>
      </w:r>
      <w:r w:rsidR="00083FA5" w:rsidRPr="00067A27">
        <w:rPr>
          <w:rFonts w:eastAsia="Calibri Light"/>
        </w:rPr>
        <w:t xml:space="preserve"> </w:t>
      </w:r>
      <w:r w:rsidR="00BE39D7">
        <w:rPr>
          <w:rFonts w:eastAsia="Calibri Light"/>
        </w:rPr>
        <w:t xml:space="preserve">Review and critique of current LCA </w:t>
      </w:r>
      <w:r w:rsidR="0070645B">
        <w:rPr>
          <w:rFonts w:eastAsia="Calibri Light"/>
        </w:rPr>
        <w:t>(ferro-alloy) literature</w:t>
      </w:r>
    </w:p>
    <w:p w:rsidR="00BD02C3" w:rsidRPr="0070645B" w:rsidRDefault="001F1EF9" w:rsidP="001F1EF9">
      <w:pPr>
        <w:spacing w:after="0" w:line="360" w:lineRule="auto"/>
        <w:ind w:firstLine="720"/>
        <w:jc w:val="both"/>
        <w:rPr>
          <w:rFonts w:ascii="Times New Roman" w:hAnsi="Times New Roman"/>
        </w:rPr>
      </w:pPr>
      <w:r w:rsidRPr="0070645B">
        <w:rPr>
          <w:rFonts w:ascii="Times New Roman" w:hAnsi="Times New Roman"/>
        </w:rPr>
        <w:t xml:space="preserve">To date, for the assessment of sustainability in all industrial sectors, LCA is considered the best approach </w:t>
      </w:r>
      <w:r w:rsidRPr="0070645B">
        <w:rPr>
          <w:rFonts w:ascii="Times New Roman" w:hAnsi="Times New Roman"/>
          <w:noProof/>
        </w:rPr>
        <w:t>(Finnveden et al. 2009)</w:t>
      </w:r>
      <w:r w:rsidRPr="0070645B">
        <w:rPr>
          <w:rFonts w:ascii="Times New Roman" w:hAnsi="Times New Roman"/>
        </w:rPr>
        <w:t>.</w:t>
      </w:r>
      <w:r w:rsidR="00E155FE" w:rsidRPr="0070645B">
        <w:rPr>
          <w:rFonts w:ascii="Times New Roman" w:hAnsi="Times New Roman"/>
        </w:rPr>
        <w:t xml:space="preserve"> </w:t>
      </w:r>
      <w:r w:rsidR="00BD02C3" w:rsidRPr="0070645B">
        <w:rPr>
          <w:rFonts w:ascii="Times New Roman" w:hAnsi="Times New Roman"/>
        </w:rPr>
        <w:t>Over the last decade the number of LCA studies has increased particul</w:t>
      </w:r>
      <w:r w:rsidR="00E75271" w:rsidRPr="0070645B">
        <w:rPr>
          <w:rFonts w:ascii="Times New Roman" w:hAnsi="Times New Roman"/>
        </w:rPr>
        <w:t>arly in areas such as batteries, electric vehicles</w:t>
      </w:r>
      <w:r w:rsidR="00BD02C3" w:rsidRPr="0070645B">
        <w:rPr>
          <w:rFonts w:ascii="Times New Roman" w:hAnsi="Times New Roman"/>
        </w:rPr>
        <w:t xml:space="preserve">, </w:t>
      </w:r>
      <w:r w:rsidR="00E75271" w:rsidRPr="0070645B">
        <w:rPr>
          <w:rFonts w:ascii="Times New Roman" w:hAnsi="Times New Roman"/>
        </w:rPr>
        <w:t>and renewable energy</w:t>
      </w:r>
      <w:r w:rsidR="00BD02C3" w:rsidRPr="0070645B">
        <w:rPr>
          <w:rFonts w:ascii="Times New Roman" w:hAnsi="Times New Roman"/>
        </w:rPr>
        <w:t xml:space="preserve">. </w:t>
      </w:r>
      <w:r w:rsidR="00E75271" w:rsidRPr="0070645B">
        <w:rPr>
          <w:rFonts w:ascii="Times New Roman" w:hAnsi="Times New Roman"/>
        </w:rPr>
        <w:t>But,</w:t>
      </w:r>
      <w:r w:rsidR="00BD02C3" w:rsidRPr="0070645B">
        <w:rPr>
          <w:rFonts w:ascii="Times New Roman" w:hAnsi="Times New Roman"/>
        </w:rPr>
        <w:t xml:space="preserve"> </w:t>
      </w:r>
      <w:r w:rsidR="00E155FE" w:rsidRPr="0070645B">
        <w:rPr>
          <w:rFonts w:ascii="Times New Roman" w:hAnsi="Times New Roman"/>
        </w:rPr>
        <w:t>the quantity</w:t>
      </w:r>
      <w:r w:rsidR="00E07DBD" w:rsidRPr="0070645B">
        <w:rPr>
          <w:rFonts w:ascii="Times New Roman" w:hAnsi="Times New Roman"/>
        </w:rPr>
        <w:t xml:space="preserve"> of </w:t>
      </w:r>
      <w:r w:rsidR="00BD02C3" w:rsidRPr="0070645B">
        <w:rPr>
          <w:rFonts w:ascii="Times New Roman" w:hAnsi="Times New Roman"/>
        </w:rPr>
        <w:t>LCA studies related to ferro-alloys in the steel industry</w:t>
      </w:r>
      <w:r w:rsidR="00E07DBD" w:rsidRPr="0070645B">
        <w:rPr>
          <w:rFonts w:ascii="Times New Roman" w:hAnsi="Times New Roman"/>
        </w:rPr>
        <w:t xml:space="preserve"> still </w:t>
      </w:r>
      <w:r w:rsidR="00BD02C3" w:rsidRPr="0070645B">
        <w:rPr>
          <w:rFonts w:ascii="Times New Roman" w:hAnsi="Times New Roman"/>
        </w:rPr>
        <w:t>r</w:t>
      </w:r>
      <w:r w:rsidR="00E07DBD" w:rsidRPr="0070645B">
        <w:rPr>
          <w:rFonts w:ascii="Times New Roman" w:hAnsi="Times New Roman"/>
        </w:rPr>
        <w:t>em</w:t>
      </w:r>
      <w:r w:rsidR="00E155FE" w:rsidRPr="0070645B">
        <w:rPr>
          <w:rFonts w:ascii="Times New Roman" w:hAnsi="Times New Roman"/>
        </w:rPr>
        <w:t>ains small and limited. However</w:t>
      </w:r>
      <w:r w:rsidR="00E07DBD" w:rsidRPr="0070645B">
        <w:rPr>
          <w:rFonts w:ascii="Times New Roman" w:hAnsi="Times New Roman"/>
        </w:rPr>
        <w:t xml:space="preserve"> this is changing</w:t>
      </w:r>
      <w:r w:rsidR="00E155FE" w:rsidRPr="0070645B">
        <w:rPr>
          <w:rFonts w:ascii="Times New Roman" w:hAnsi="Times New Roman"/>
        </w:rPr>
        <w:t>,</w:t>
      </w:r>
      <w:r w:rsidR="00E07DBD" w:rsidRPr="0070645B">
        <w:rPr>
          <w:rFonts w:ascii="Times New Roman" w:hAnsi="Times New Roman"/>
        </w:rPr>
        <w:t xml:space="preserve"> especially due to an increase on emphasis in areas such as</w:t>
      </w:r>
      <w:r w:rsidR="00BD02C3" w:rsidRPr="0070645B">
        <w:rPr>
          <w:rFonts w:ascii="Times New Roman" w:hAnsi="Times New Roman"/>
        </w:rPr>
        <w:t xml:space="preserve"> criticality and recycling. </w:t>
      </w:r>
    </w:p>
    <w:p w:rsidR="007E7C2E" w:rsidRPr="0070645B" w:rsidRDefault="001E7C0A" w:rsidP="007E7C2E">
      <w:pPr>
        <w:spacing w:after="0" w:line="360" w:lineRule="auto"/>
        <w:ind w:firstLine="720"/>
        <w:jc w:val="both"/>
        <w:rPr>
          <w:rFonts w:ascii="Times New Roman" w:hAnsi="Times New Roman"/>
        </w:rPr>
      </w:pPr>
      <w:r w:rsidRPr="0070645B">
        <w:rPr>
          <w:rFonts w:ascii="Times New Roman" w:hAnsi="Times New Roman"/>
        </w:rPr>
        <w:t>T</w:t>
      </w:r>
      <w:r w:rsidR="0079462D" w:rsidRPr="0070645B">
        <w:rPr>
          <w:rFonts w:ascii="Times New Roman" w:hAnsi="Times New Roman"/>
        </w:rPr>
        <w:t>he</w:t>
      </w:r>
      <w:r w:rsidR="00DF7C9C" w:rsidRPr="0070645B">
        <w:rPr>
          <w:rFonts w:ascii="Times New Roman" w:hAnsi="Times New Roman"/>
        </w:rPr>
        <w:t xml:space="preserve"> aim of this</w:t>
      </w:r>
      <w:r w:rsidR="00976F39" w:rsidRPr="0070645B">
        <w:rPr>
          <w:rFonts w:ascii="Times New Roman" w:hAnsi="Times New Roman"/>
        </w:rPr>
        <w:t xml:space="preserve"> section of</w:t>
      </w:r>
      <w:r w:rsidR="00DF7C9C" w:rsidRPr="0070645B">
        <w:rPr>
          <w:rFonts w:ascii="Times New Roman" w:hAnsi="Times New Roman"/>
        </w:rPr>
        <w:t xml:space="preserve"> literature revi</w:t>
      </w:r>
      <w:r w:rsidR="001577A2" w:rsidRPr="0070645B">
        <w:rPr>
          <w:rFonts w:ascii="Times New Roman" w:hAnsi="Times New Roman"/>
        </w:rPr>
        <w:t>ew</w:t>
      </w:r>
      <w:r w:rsidR="007E7C2E" w:rsidRPr="0070645B">
        <w:rPr>
          <w:rFonts w:ascii="Times New Roman" w:hAnsi="Times New Roman"/>
        </w:rPr>
        <w:t xml:space="preserve"> was</w:t>
      </w:r>
      <w:r w:rsidR="00DF7C9C" w:rsidRPr="0070645B">
        <w:rPr>
          <w:rFonts w:ascii="Times New Roman" w:hAnsi="Times New Roman"/>
        </w:rPr>
        <w:t xml:space="preserve"> to firstly </w:t>
      </w:r>
      <w:r w:rsidR="00791BA0" w:rsidRPr="0070645B">
        <w:rPr>
          <w:rFonts w:ascii="Times New Roman" w:hAnsi="Times New Roman"/>
        </w:rPr>
        <w:t xml:space="preserve">evaluate existing literature and identify </w:t>
      </w:r>
      <w:r w:rsidR="00C52F3B" w:rsidRPr="0070645B">
        <w:rPr>
          <w:rFonts w:ascii="Times New Roman" w:hAnsi="Times New Roman"/>
        </w:rPr>
        <w:t>in particular, ferro-alloys not studied or modelled previously.</w:t>
      </w:r>
      <w:r w:rsidR="00791BA0" w:rsidRPr="0070645B">
        <w:rPr>
          <w:rFonts w:ascii="Times New Roman" w:hAnsi="Times New Roman"/>
        </w:rPr>
        <w:t xml:space="preserve"> </w:t>
      </w:r>
      <w:r w:rsidR="007E7C2E" w:rsidRPr="0070645B">
        <w:rPr>
          <w:rFonts w:ascii="Times New Roman" w:hAnsi="Times New Roman"/>
        </w:rPr>
        <w:t>Secondly to identify key sources of literature that could be used to produce an original contribution in the field of LCA. Thirdly</w:t>
      </w:r>
      <w:r w:rsidR="000F52CC" w:rsidRPr="0070645B">
        <w:rPr>
          <w:rFonts w:ascii="Times New Roman" w:hAnsi="Times New Roman"/>
        </w:rPr>
        <w:t xml:space="preserve"> to identify key variables within </w:t>
      </w:r>
      <w:r w:rsidR="007E7C2E" w:rsidRPr="0070645B">
        <w:rPr>
          <w:rFonts w:ascii="Times New Roman" w:hAnsi="Times New Roman"/>
        </w:rPr>
        <w:t>these studies that were commonly used, but varied</w:t>
      </w:r>
      <w:r w:rsidR="000F52CC" w:rsidRPr="0070645B">
        <w:rPr>
          <w:rFonts w:ascii="Times New Roman" w:hAnsi="Times New Roman"/>
        </w:rPr>
        <w:t xml:space="preserve"> from study to study. </w:t>
      </w:r>
    </w:p>
    <w:p w:rsidR="00B4614C" w:rsidRPr="0070645B" w:rsidRDefault="00B24A89" w:rsidP="007E7C2E">
      <w:pPr>
        <w:spacing w:after="0" w:line="360" w:lineRule="auto"/>
        <w:ind w:firstLine="720"/>
        <w:jc w:val="both"/>
        <w:rPr>
          <w:rFonts w:ascii="Times New Roman" w:hAnsi="Times New Roman"/>
        </w:rPr>
      </w:pPr>
      <w:r w:rsidRPr="0070645B">
        <w:rPr>
          <w:rFonts w:ascii="Times New Roman" w:hAnsi="Times New Roman"/>
        </w:rPr>
        <w:t xml:space="preserve">Currently, there are several </w:t>
      </w:r>
      <w:r w:rsidR="00F64117" w:rsidRPr="0070645B">
        <w:rPr>
          <w:rFonts w:ascii="Times New Roman" w:hAnsi="Times New Roman"/>
        </w:rPr>
        <w:t>LCA studies available for the metal industry in general.</w:t>
      </w:r>
      <w:r w:rsidR="00386242" w:rsidRPr="0070645B">
        <w:rPr>
          <w:rFonts w:ascii="Times New Roman" w:hAnsi="Times New Roman"/>
        </w:rPr>
        <w:t xml:space="preserve"> </w:t>
      </w:r>
      <w:r w:rsidR="00386242" w:rsidRPr="0070645B">
        <w:rPr>
          <w:rFonts w:ascii="Times New Roman" w:hAnsi="Times New Roman"/>
          <w:noProof/>
        </w:rPr>
        <w:t>(Berkel 2007)</w:t>
      </w:r>
      <w:r w:rsidR="00F64117" w:rsidRPr="0070645B">
        <w:rPr>
          <w:rFonts w:ascii="Times New Roman" w:hAnsi="Times New Roman"/>
        </w:rPr>
        <w:t xml:space="preserve"> conducted a case study to define </w:t>
      </w:r>
      <w:r w:rsidR="00340B16" w:rsidRPr="0070645B">
        <w:rPr>
          <w:rFonts w:ascii="Times New Roman" w:hAnsi="Times New Roman"/>
        </w:rPr>
        <w:t xml:space="preserve">how environmental sustainability and social advancement had competing goals with metal production and suggested </w:t>
      </w:r>
      <w:r w:rsidR="00F64117" w:rsidRPr="0070645B">
        <w:rPr>
          <w:rFonts w:ascii="Times New Roman" w:hAnsi="Times New Roman"/>
        </w:rPr>
        <w:t>the pursuit of eco-efficiency</w:t>
      </w:r>
      <w:r w:rsidR="00340B16" w:rsidRPr="0070645B">
        <w:rPr>
          <w:rFonts w:ascii="Times New Roman" w:hAnsi="Times New Roman"/>
        </w:rPr>
        <w:t xml:space="preserve"> (EE)</w:t>
      </w:r>
      <w:r w:rsidR="00F64117" w:rsidRPr="0070645B">
        <w:rPr>
          <w:rFonts w:ascii="Times New Roman" w:hAnsi="Times New Roman"/>
        </w:rPr>
        <w:t xml:space="preserve"> in tandem </w:t>
      </w:r>
      <w:r w:rsidR="00340B16" w:rsidRPr="0070645B">
        <w:rPr>
          <w:rFonts w:ascii="Times New Roman" w:hAnsi="Times New Roman"/>
        </w:rPr>
        <w:t xml:space="preserve">with </w:t>
      </w:r>
      <w:r w:rsidR="00340B16" w:rsidRPr="0070645B">
        <w:rPr>
          <w:rFonts w:ascii="Times New Roman" w:eastAsia="Calibri" w:hAnsi="Times New Roman" w:cs="Times New Roman"/>
        </w:rPr>
        <w:t>innovations in primary metal production to reconcile these competing objectives</w:t>
      </w:r>
      <w:r w:rsidR="00203584" w:rsidRPr="0070645B">
        <w:rPr>
          <w:rFonts w:ascii="Times New Roman" w:eastAsia="Calibri" w:hAnsi="Times New Roman" w:cs="Times New Roman"/>
        </w:rPr>
        <w:t>.</w:t>
      </w:r>
      <w:r w:rsidR="00085101" w:rsidRPr="0070645B">
        <w:rPr>
          <w:rFonts w:ascii="Times New Roman" w:eastAsia="Calibri" w:hAnsi="Times New Roman" w:cs="Times New Roman"/>
        </w:rPr>
        <w:t xml:space="preserve"> </w:t>
      </w:r>
      <w:r w:rsidR="00B36439" w:rsidRPr="0070645B">
        <w:rPr>
          <w:rFonts w:ascii="Times New Roman" w:eastAsia="Calibri" w:hAnsi="Times New Roman" w:cs="Times New Roman"/>
          <w:noProof/>
        </w:rPr>
        <w:t>(Yellishetty et al. 2009)</w:t>
      </w:r>
      <w:r w:rsidR="00085101" w:rsidRPr="0070645B">
        <w:rPr>
          <w:rFonts w:ascii="Times New Roman" w:eastAsia="Calibri" w:hAnsi="Times New Roman" w:cs="Times New Roman"/>
        </w:rPr>
        <w:t xml:space="preserve"> presented a critical review of existing LCA methods in the metal and mineral sectors. In particular the focus was on determining allocation issues related to abiotic resource depletion, land use impacts and open-loop recycling within the LCA, as well as accounting </w:t>
      </w:r>
      <w:r w:rsidR="001E18F6">
        <w:rPr>
          <w:rFonts w:ascii="Times New Roman" w:hAnsi="Times New Roman"/>
        </w:rPr>
        <w:t>for</w:t>
      </w:r>
      <w:r w:rsidR="00085101" w:rsidRPr="0070645B">
        <w:rPr>
          <w:rFonts w:ascii="Times New Roman" w:hAnsi="Times New Roman"/>
        </w:rPr>
        <w:t xml:space="preserve"> spatial and temporal dimension</w:t>
      </w:r>
      <w:r w:rsidR="009073C3" w:rsidRPr="0070645B">
        <w:rPr>
          <w:rFonts w:ascii="Times New Roman" w:hAnsi="Times New Roman"/>
        </w:rPr>
        <w:t>s</w:t>
      </w:r>
      <w:r w:rsidR="00085101" w:rsidRPr="0070645B">
        <w:rPr>
          <w:rFonts w:ascii="Times New Roman" w:hAnsi="Times New Roman"/>
        </w:rPr>
        <w:t xml:space="preserve"> in LCA practice.</w:t>
      </w:r>
      <w:r w:rsidR="009073C3" w:rsidRPr="0070645B">
        <w:rPr>
          <w:rFonts w:ascii="Times New Roman" w:eastAsia="Calibri" w:hAnsi="Times New Roman" w:cs="Times New Roman"/>
        </w:rPr>
        <w:t xml:space="preserve"> </w:t>
      </w:r>
      <w:r w:rsidR="009073C3" w:rsidRPr="0070645B">
        <w:rPr>
          <w:rFonts w:ascii="Times New Roman" w:hAnsi="Times New Roman"/>
        </w:rPr>
        <w:t xml:space="preserve">On the other hand </w:t>
      </w:r>
      <w:r w:rsidR="00386242" w:rsidRPr="0070645B">
        <w:rPr>
          <w:rFonts w:ascii="Times New Roman" w:hAnsi="Times New Roman"/>
          <w:noProof/>
        </w:rPr>
        <w:t>(Paraskevas et al. 2015)</w:t>
      </w:r>
      <w:r w:rsidR="009073C3" w:rsidRPr="0070645B">
        <w:rPr>
          <w:rFonts w:ascii="Times New Roman" w:hAnsi="Times New Roman"/>
        </w:rPr>
        <w:t xml:space="preserve"> highlighted the role of dilution losses and quality degradation during metal recycling and thus presented an LCA tool to determine, from an environmental perspective, the optimum metal inputs for aluminium recyc</w:t>
      </w:r>
      <w:r w:rsidR="00AD7B05" w:rsidRPr="0070645B">
        <w:rPr>
          <w:rFonts w:ascii="Times New Roman" w:hAnsi="Times New Roman"/>
        </w:rPr>
        <w:t>ling depending on the final en</w:t>
      </w:r>
      <w:r w:rsidR="005538ED" w:rsidRPr="0070645B">
        <w:rPr>
          <w:rFonts w:ascii="Times New Roman" w:hAnsi="Times New Roman"/>
        </w:rPr>
        <w:t xml:space="preserve">d </w:t>
      </w:r>
      <w:r w:rsidR="009073C3" w:rsidRPr="0070645B">
        <w:rPr>
          <w:rFonts w:ascii="Times New Roman" w:hAnsi="Times New Roman"/>
        </w:rPr>
        <w:t>product.</w:t>
      </w:r>
      <w:r w:rsidR="00676DCC" w:rsidRPr="0070645B">
        <w:rPr>
          <w:rFonts w:ascii="Times New Roman" w:hAnsi="Times New Roman"/>
        </w:rPr>
        <w:t xml:space="preserve"> </w:t>
      </w:r>
    </w:p>
    <w:p w:rsidR="00553BA3" w:rsidRPr="0070645B" w:rsidRDefault="00676DCC" w:rsidP="00096C20">
      <w:pPr>
        <w:spacing w:after="0" w:line="360" w:lineRule="auto"/>
        <w:ind w:firstLine="720"/>
        <w:jc w:val="both"/>
        <w:rPr>
          <w:rFonts w:ascii="Times New Roman" w:hAnsi="Times New Roman"/>
        </w:rPr>
      </w:pPr>
      <w:r w:rsidRPr="0070645B">
        <w:rPr>
          <w:rFonts w:ascii="Times New Roman" w:hAnsi="Times New Roman"/>
        </w:rPr>
        <w:t>Similarly</w:t>
      </w:r>
      <w:r w:rsidR="00F97F05" w:rsidRPr="0070645B">
        <w:rPr>
          <w:rFonts w:ascii="Times New Roman" w:hAnsi="Times New Roman"/>
        </w:rPr>
        <w:t>,</w:t>
      </w:r>
      <w:r w:rsidR="001F4212" w:rsidRPr="0070645B">
        <w:rPr>
          <w:rFonts w:ascii="Times New Roman" w:hAnsi="Times New Roman"/>
        </w:rPr>
        <w:t xml:space="preserve"> st</w:t>
      </w:r>
      <w:r w:rsidR="00096C20" w:rsidRPr="0070645B">
        <w:rPr>
          <w:rFonts w:ascii="Times New Roman" w:hAnsi="Times New Roman"/>
        </w:rPr>
        <w:t xml:space="preserve">eel industries around the world for example the European Steel Industry </w:t>
      </w:r>
      <w:r w:rsidR="006773EA" w:rsidRPr="0070645B">
        <w:rPr>
          <w:rFonts w:ascii="Times New Roman" w:hAnsi="Times New Roman"/>
          <w:noProof/>
        </w:rPr>
        <w:t>(Iosif et al. 2009)</w:t>
      </w:r>
      <w:r w:rsidR="00096C20" w:rsidRPr="0070645B">
        <w:rPr>
          <w:rFonts w:ascii="Times New Roman" w:hAnsi="Times New Roman"/>
        </w:rPr>
        <w:t xml:space="preserve"> and steel production in Thailand</w:t>
      </w:r>
      <w:r w:rsidR="001F4212" w:rsidRPr="0070645B">
        <w:rPr>
          <w:rFonts w:ascii="Times New Roman" w:hAnsi="Times New Roman"/>
        </w:rPr>
        <w:t xml:space="preserve"> </w:t>
      </w:r>
      <w:r w:rsidR="00B36439" w:rsidRPr="0070645B">
        <w:rPr>
          <w:rFonts w:ascii="Times New Roman" w:hAnsi="Times New Roman"/>
          <w:noProof/>
        </w:rPr>
        <w:t>(Tongpool et al. 2010)</w:t>
      </w:r>
      <w:r w:rsidR="00096C20" w:rsidRPr="0070645B">
        <w:rPr>
          <w:rFonts w:ascii="Times New Roman" w:hAnsi="Times New Roman"/>
        </w:rPr>
        <w:t xml:space="preserve">, </w:t>
      </w:r>
      <w:r w:rsidR="001F4212" w:rsidRPr="0070645B">
        <w:rPr>
          <w:rFonts w:ascii="Times New Roman" w:hAnsi="Times New Roman"/>
        </w:rPr>
        <w:t>are addressing the energy shortage and carbon emission reduction issues.</w:t>
      </w:r>
      <w:r w:rsidR="00F97F05" w:rsidRPr="0070645B">
        <w:rPr>
          <w:rFonts w:ascii="Times New Roman" w:hAnsi="Times New Roman"/>
        </w:rPr>
        <w:t xml:space="preserve"> </w:t>
      </w:r>
      <w:r w:rsidRPr="0070645B">
        <w:rPr>
          <w:rFonts w:ascii="Times New Roman" w:hAnsi="Times New Roman"/>
        </w:rPr>
        <w:t>Though from these selection of studies, ‘steel’ has been the area o</w:t>
      </w:r>
      <w:r w:rsidR="00B24A89" w:rsidRPr="0070645B">
        <w:rPr>
          <w:rFonts w:ascii="Times New Roman" w:hAnsi="Times New Roman"/>
        </w:rPr>
        <w:t xml:space="preserve">f focus, a number of related </w:t>
      </w:r>
      <w:r w:rsidR="00096C20" w:rsidRPr="0070645B">
        <w:rPr>
          <w:rFonts w:ascii="Times New Roman" w:hAnsi="Times New Roman"/>
        </w:rPr>
        <w:t>studies have gone more in-detail</w:t>
      </w:r>
      <w:r w:rsidRPr="0070645B">
        <w:rPr>
          <w:rFonts w:ascii="Times New Roman" w:hAnsi="Times New Roman"/>
        </w:rPr>
        <w:t xml:space="preserve"> and applied the LCA approach to specific metals and ferro-alloys</w:t>
      </w:r>
      <w:r w:rsidR="00B43784" w:rsidRPr="0070645B">
        <w:rPr>
          <w:rFonts w:ascii="Times New Roman" w:hAnsi="Times New Roman"/>
        </w:rPr>
        <w:t>. CSIRO based in Australia, is one organisation</w:t>
      </w:r>
      <w:r w:rsidR="00AC5E7C" w:rsidRPr="0070645B">
        <w:rPr>
          <w:rFonts w:ascii="Times New Roman" w:hAnsi="Times New Roman"/>
        </w:rPr>
        <w:t xml:space="preserve"> responsible for these supplementary</w:t>
      </w:r>
      <w:r w:rsidR="00B43784" w:rsidRPr="0070645B">
        <w:rPr>
          <w:rFonts w:ascii="Times New Roman" w:hAnsi="Times New Roman"/>
        </w:rPr>
        <w:t xml:space="preserve"> studies.</w:t>
      </w:r>
    </w:p>
    <w:p w:rsidR="001C473B" w:rsidRPr="0070645B" w:rsidRDefault="001E7C0A" w:rsidP="00427519">
      <w:pPr>
        <w:spacing w:after="0" w:line="360" w:lineRule="auto"/>
        <w:ind w:firstLine="720"/>
        <w:jc w:val="both"/>
        <w:rPr>
          <w:rFonts w:ascii="Times New Roman" w:hAnsi="Times New Roman"/>
        </w:rPr>
      </w:pPr>
      <w:r w:rsidRPr="0070645B">
        <w:rPr>
          <w:rFonts w:ascii="Times New Roman" w:hAnsi="Times New Roman"/>
        </w:rPr>
        <w:t>Pre-dominantly t</w:t>
      </w:r>
      <w:r w:rsidR="00AC5E7C" w:rsidRPr="0070645B">
        <w:rPr>
          <w:rFonts w:ascii="Times New Roman" w:hAnsi="Times New Roman"/>
        </w:rPr>
        <w:t>hrough authors</w:t>
      </w:r>
      <w:r w:rsidR="00A53049" w:rsidRPr="0070645B">
        <w:rPr>
          <w:rFonts w:ascii="Times New Roman" w:hAnsi="Times New Roman"/>
        </w:rPr>
        <w:t xml:space="preserve"> Nawshad</w:t>
      </w:r>
      <w:r w:rsidR="00AC5E7C" w:rsidRPr="0070645B">
        <w:rPr>
          <w:rFonts w:ascii="Times New Roman" w:hAnsi="Times New Roman"/>
        </w:rPr>
        <w:t xml:space="preserve"> Haque and</w:t>
      </w:r>
      <w:r w:rsidR="00A53049" w:rsidRPr="0070645B">
        <w:rPr>
          <w:rFonts w:ascii="Times New Roman" w:hAnsi="Times New Roman"/>
        </w:rPr>
        <w:t xml:space="preserve"> Terry</w:t>
      </w:r>
      <w:r w:rsidR="00AC5E7C" w:rsidRPr="0070645B">
        <w:rPr>
          <w:rFonts w:ascii="Times New Roman" w:hAnsi="Times New Roman"/>
        </w:rPr>
        <w:t xml:space="preserve"> Norgate, a </w:t>
      </w:r>
      <w:r w:rsidR="00BD6008" w:rsidRPr="0070645B">
        <w:rPr>
          <w:rFonts w:ascii="Times New Roman" w:hAnsi="Times New Roman"/>
        </w:rPr>
        <w:t xml:space="preserve">number of LCA studies </w:t>
      </w:r>
      <w:r w:rsidR="00427519" w:rsidRPr="0070645B">
        <w:rPr>
          <w:rFonts w:ascii="Times New Roman" w:hAnsi="Times New Roman"/>
        </w:rPr>
        <w:t>have been published investigating</w:t>
      </w:r>
      <w:r w:rsidRPr="0070645B">
        <w:rPr>
          <w:rFonts w:ascii="Times New Roman" w:hAnsi="Times New Roman"/>
        </w:rPr>
        <w:t xml:space="preserve"> the environmental impacts</w:t>
      </w:r>
      <w:r w:rsidR="00BD6008" w:rsidRPr="0070645B">
        <w:rPr>
          <w:rFonts w:ascii="Times New Roman" w:hAnsi="Times New Roman"/>
        </w:rPr>
        <w:t xml:space="preserve"> of either products or processes</w:t>
      </w:r>
      <w:r w:rsidRPr="0070645B">
        <w:rPr>
          <w:rFonts w:ascii="Times New Roman" w:hAnsi="Times New Roman"/>
        </w:rPr>
        <w:t xml:space="preserve">. One </w:t>
      </w:r>
      <w:r w:rsidR="00BD6008" w:rsidRPr="0070645B">
        <w:rPr>
          <w:rFonts w:ascii="Times New Roman" w:hAnsi="Times New Roman"/>
        </w:rPr>
        <w:t>such study by</w:t>
      </w:r>
      <w:r w:rsidRPr="0070645B">
        <w:rPr>
          <w:rFonts w:ascii="Times New Roman" w:hAnsi="Times New Roman"/>
        </w:rPr>
        <w:t xml:space="preserve">, </w:t>
      </w:r>
      <w:r w:rsidRPr="0070645B">
        <w:rPr>
          <w:rFonts w:ascii="Times New Roman" w:hAnsi="Times New Roman"/>
          <w:noProof/>
        </w:rPr>
        <w:t>(Haque &amp; Norgate 2013)</w:t>
      </w:r>
      <w:r w:rsidR="00BD6008" w:rsidRPr="0070645B">
        <w:rPr>
          <w:rFonts w:ascii="Times New Roman" w:hAnsi="Times New Roman"/>
        </w:rPr>
        <w:t xml:space="preserve"> stands</w:t>
      </w:r>
      <w:r w:rsidRPr="0070645B">
        <w:rPr>
          <w:rFonts w:ascii="Times New Roman" w:hAnsi="Times New Roman"/>
        </w:rPr>
        <w:t xml:space="preserve"> out as an exemplary study</w:t>
      </w:r>
      <w:r w:rsidR="00BD6008" w:rsidRPr="0070645B">
        <w:rPr>
          <w:rFonts w:ascii="Times New Roman" w:hAnsi="Times New Roman"/>
        </w:rPr>
        <w:t>,</w:t>
      </w:r>
      <w:r w:rsidRPr="0070645B">
        <w:rPr>
          <w:rFonts w:ascii="Times New Roman" w:hAnsi="Times New Roman"/>
        </w:rPr>
        <w:t xml:space="preserve"> from w</w:t>
      </w:r>
      <w:r w:rsidR="00553BA3" w:rsidRPr="0070645B">
        <w:rPr>
          <w:rFonts w:ascii="Times New Roman" w:hAnsi="Times New Roman"/>
        </w:rPr>
        <w:t xml:space="preserve">hich to </w:t>
      </w:r>
      <w:r w:rsidR="00BD6008" w:rsidRPr="0070645B">
        <w:rPr>
          <w:rFonts w:ascii="Times New Roman" w:hAnsi="Times New Roman"/>
        </w:rPr>
        <w:t>understand</w:t>
      </w:r>
      <w:r w:rsidR="00427519" w:rsidRPr="0070645B">
        <w:rPr>
          <w:rFonts w:ascii="Times New Roman" w:hAnsi="Times New Roman"/>
        </w:rPr>
        <w:t xml:space="preserve"> and build upon</w:t>
      </w:r>
      <w:r w:rsidR="00BD6008" w:rsidRPr="0070645B">
        <w:rPr>
          <w:rFonts w:ascii="Times New Roman" w:hAnsi="Times New Roman"/>
        </w:rPr>
        <w:t xml:space="preserve"> present </w:t>
      </w:r>
      <w:r w:rsidR="00427519" w:rsidRPr="0070645B">
        <w:rPr>
          <w:rFonts w:ascii="Times New Roman" w:hAnsi="Times New Roman"/>
        </w:rPr>
        <w:t>literature</w:t>
      </w:r>
      <w:r w:rsidR="00553BA3" w:rsidRPr="0070645B">
        <w:rPr>
          <w:rFonts w:ascii="Times New Roman" w:hAnsi="Times New Roman"/>
        </w:rPr>
        <w:t xml:space="preserve"> on the topic of ferro-alloys</w:t>
      </w:r>
      <w:r w:rsidR="00BD03A5" w:rsidRPr="0070645B">
        <w:rPr>
          <w:rFonts w:ascii="Times New Roman" w:hAnsi="Times New Roman"/>
        </w:rPr>
        <w:t>. This study was</w:t>
      </w:r>
      <w:r w:rsidRPr="0070645B">
        <w:rPr>
          <w:rFonts w:ascii="Times New Roman" w:hAnsi="Times New Roman"/>
        </w:rPr>
        <w:t xml:space="preserve"> a cradle-to-gate LCA study on ferro-alloy production with the functional unit one tonne of ferro-alloy. The LCA results</w:t>
      </w:r>
      <w:r w:rsidR="00BD6008" w:rsidRPr="0070645B">
        <w:rPr>
          <w:rFonts w:ascii="Times New Roman" w:hAnsi="Times New Roman"/>
        </w:rPr>
        <w:t>,</w:t>
      </w:r>
      <w:r w:rsidRPr="0070645B">
        <w:rPr>
          <w:rFonts w:ascii="Times New Roman" w:hAnsi="Times New Roman"/>
        </w:rPr>
        <w:t xml:space="preserve"> showed that coke and coal contributed approximately 60% of GHG emissions from ferro-alloy production. However</w:t>
      </w:r>
      <w:r w:rsidR="00BD6008" w:rsidRPr="0070645B">
        <w:rPr>
          <w:rFonts w:ascii="Times New Roman" w:hAnsi="Times New Roman"/>
        </w:rPr>
        <w:t xml:space="preserve">, limitations of the study included </w:t>
      </w:r>
      <w:r w:rsidRPr="0070645B">
        <w:rPr>
          <w:rFonts w:ascii="Times New Roman" w:hAnsi="Times New Roman"/>
        </w:rPr>
        <w:t>inventory data provided for the ferro-alloys not being as detailed as the others i.e. missing transportation data</w:t>
      </w:r>
      <w:r w:rsidR="00CD3B43" w:rsidRPr="0070645B">
        <w:rPr>
          <w:rFonts w:ascii="Times New Roman" w:hAnsi="Times New Roman"/>
        </w:rPr>
        <w:t>.</w:t>
      </w:r>
      <w:r w:rsidRPr="0070645B">
        <w:rPr>
          <w:rFonts w:ascii="Times New Roman" w:hAnsi="Times New Roman"/>
        </w:rPr>
        <w:t xml:space="preserve"> In addition only five ferro-alloys were investigated namely Fe-Cr, Fe-</w:t>
      </w:r>
      <w:r w:rsidR="00427519" w:rsidRPr="0070645B">
        <w:rPr>
          <w:rFonts w:ascii="Times New Roman" w:hAnsi="Times New Roman"/>
        </w:rPr>
        <w:t>Mn, Fe-Ni, Fe-Si and Si-Mn. More exotic alloying elements such as Fe-B, Fe-Mo, Fe-Nb, Fe-Ti and Fe-V were missing and highlighted a gap in which this research aims to fill.</w:t>
      </w:r>
    </w:p>
    <w:p w:rsidR="00C0581A" w:rsidRPr="0070645B" w:rsidRDefault="00A04BB6" w:rsidP="00C32EEC">
      <w:pPr>
        <w:spacing w:after="0" w:line="360" w:lineRule="auto"/>
        <w:ind w:firstLine="720"/>
        <w:jc w:val="both"/>
        <w:rPr>
          <w:rFonts w:ascii="Times New Roman" w:hAnsi="Times New Roman"/>
        </w:rPr>
      </w:pPr>
      <w:r w:rsidRPr="0070645B">
        <w:rPr>
          <w:rFonts w:ascii="Times New Roman" w:hAnsi="Times New Roman"/>
        </w:rPr>
        <w:lastRenderedPageBreak/>
        <w:t xml:space="preserve">Since the study of primary interest, in terms of ferro-alloys, was </w:t>
      </w:r>
      <w:r w:rsidRPr="0070645B">
        <w:rPr>
          <w:rFonts w:ascii="Times New Roman" w:hAnsi="Times New Roman"/>
          <w:noProof/>
        </w:rPr>
        <w:t>(Haque &amp; Norgate 2013)</w:t>
      </w:r>
      <w:r w:rsidRPr="0070645B">
        <w:rPr>
          <w:rFonts w:ascii="Times New Roman" w:hAnsi="Times New Roman"/>
        </w:rPr>
        <w:t xml:space="preserve"> a methodical search was don</w:t>
      </w:r>
      <w:r w:rsidR="00DC7AEC" w:rsidRPr="0070645B">
        <w:rPr>
          <w:rFonts w:ascii="Times New Roman" w:hAnsi="Times New Roman"/>
        </w:rPr>
        <w:t xml:space="preserve">e </w:t>
      </w:r>
      <w:r w:rsidRPr="0070645B">
        <w:rPr>
          <w:rFonts w:ascii="Times New Roman" w:hAnsi="Times New Roman"/>
        </w:rPr>
        <w:t xml:space="preserve">based </w:t>
      </w:r>
      <w:r w:rsidR="00DC7AEC" w:rsidRPr="0070645B">
        <w:rPr>
          <w:rFonts w:ascii="Times New Roman" w:hAnsi="Times New Roman"/>
        </w:rPr>
        <w:t xml:space="preserve">initially </w:t>
      </w:r>
      <w:r w:rsidRPr="0070645B">
        <w:rPr>
          <w:rFonts w:ascii="Times New Roman" w:hAnsi="Times New Roman"/>
        </w:rPr>
        <w:t>on this study</w:t>
      </w:r>
      <w:r w:rsidR="00DC7AEC" w:rsidRPr="0070645B">
        <w:rPr>
          <w:rFonts w:ascii="Times New Roman" w:hAnsi="Times New Roman"/>
        </w:rPr>
        <w:t>,</w:t>
      </w:r>
      <w:r w:rsidRPr="0070645B">
        <w:rPr>
          <w:rFonts w:ascii="Times New Roman" w:hAnsi="Times New Roman"/>
        </w:rPr>
        <w:t xml:space="preserve"> and then expanded to locate as many relevant studies to compare and</w:t>
      </w:r>
      <w:r w:rsidR="005F02C7" w:rsidRPr="0070645B">
        <w:rPr>
          <w:rFonts w:ascii="Times New Roman" w:hAnsi="Times New Roman"/>
        </w:rPr>
        <w:t xml:space="preserve"> contrast with. Four of these studies came from either Haque as the main or contributing author. These 4 other publications included, studies on gold production </w:t>
      </w:r>
      <w:r w:rsidR="005F02C7" w:rsidRPr="0070645B">
        <w:rPr>
          <w:rFonts w:ascii="Times New Roman" w:hAnsi="Times New Roman"/>
          <w:noProof/>
        </w:rPr>
        <w:t>(Norgate &amp; Haque 2012)</w:t>
      </w:r>
      <w:r w:rsidR="005F02C7" w:rsidRPr="0070645B">
        <w:rPr>
          <w:rFonts w:ascii="Times New Roman" w:hAnsi="Times New Roman"/>
        </w:rPr>
        <w:t xml:space="preserve">, laterite processing technology </w:t>
      </w:r>
      <w:r w:rsidR="005F02C7" w:rsidRPr="0070645B">
        <w:rPr>
          <w:rFonts w:ascii="Times New Roman" w:hAnsi="Times New Roman"/>
          <w:noProof/>
        </w:rPr>
        <w:t>(Khoo et al. 2016)</w:t>
      </w:r>
      <w:r w:rsidR="005F02C7" w:rsidRPr="0070645B">
        <w:rPr>
          <w:rFonts w:ascii="Times New Roman" w:hAnsi="Times New Roman"/>
        </w:rPr>
        <w:t xml:space="preserve">, production of REE </w:t>
      </w:r>
      <w:r w:rsidR="005F02C7" w:rsidRPr="0070645B">
        <w:rPr>
          <w:rFonts w:ascii="Times New Roman" w:hAnsi="Times New Roman"/>
          <w:noProof/>
        </w:rPr>
        <w:t>(Weng et al. 2016)</w:t>
      </w:r>
      <w:r w:rsidR="005F02C7" w:rsidRPr="0070645B">
        <w:rPr>
          <w:rFonts w:ascii="Times New Roman" w:hAnsi="Times New Roman"/>
        </w:rPr>
        <w:t xml:space="preserve"> and REE production from Monazite </w:t>
      </w:r>
      <w:r w:rsidR="005F02C7" w:rsidRPr="0070645B">
        <w:rPr>
          <w:rFonts w:ascii="Times New Roman" w:hAnsi="Times New Roman"/>
          <w:noProof/>
        </w:rPr>
        <w:t>(Browning et al. 2016)</w:t>
      </w:r>
      <w:r w:rsidR="005F02C7" w:rsidRPr="0070645B">
        <w:rPr>
          <w:rFonts w:ascii="Times New Roman" w:hAnsi="Times New Roman"/>
        </w:rPr>
        <w:t>.</w:t>
      </w:r>
      <w:r w:rsidR="00DC7AEC" w:rsidRPr="0070645B">
        <w:rPr>
          <w:rFonts w:ascii="Times New Roman" w:hAnsi="Times New Roman"/>
        </w:rPr>
        <w:t xml:space="preserve"> </w:t>
      </w:r>
      <w:r w:rsidR="001D19AE" w:rsidRPr="0070645B">
        <w:rPr>
          <w:rFonts w:ascii="Times New Roman" w:hAnsi="Times New Roman"/>
        </w:rPr>
        <w:t>Similarl</w:t>
      </w:r>
      <w:r w:rsidR="001C473B" w:rsidRPr="0070645B">
        <w:rPr>
          <w:rFonts w:ascii="Times New Roman" w:hAnsi="Times New Roman"/>
        </w:rPr>
        <w:t xml:space="preserve">y Haque’s colleague </w:t>
      </w:r>
      <w:r w:rsidR="00A27BAD" w:rsidRPr="0070645B">
        <w:rPr>
          <w:rFonts w:ascii="Times New Roman" w:hAnsi="Times New Roman"/>
        </w:rPr>
        <w:t>Norgate</w:t>
      </w:r>
      <w:r w:rsidR="001C473B" w:rsidRPr="0070645B">
        <w:rPr>
          <w:rFonts w:ascii="Times New Roman" w:hAnsi="Times New Roman"/>
        </w:rPr>
        <w:t xml:space="preserve">, </w:t>
      </w:r>
      <w:r w:rsidR="00A27BAD" w:rsidRPr="0070645B">
        <w:rPr>
          <w:rFonts w:ascii="Times New Roman" w:hAnsi="Times New Roman"/>
        </w:rPr>
        <w:t>also produced a number of publications</w:t>
      </w:r>
      <w:r w:rsidR="00DC7AEC" w:rsidRPr="0070645B">
        <w:rPr>
          <w:rFonts w:ascii="Times New Roman" w:hAnsi="Times New Roman"/>
        </w:rPr>
        <w:t xml:space="preserve"> of interest including: </w:t>
      </w:r>
      <w:r w:rsidR="00A27BAD" w:rsidRPr="0070645B">
        <w:rPr>
          <w:rFonts w:ascii="Times New Roman" w:hAnsi="Times New Roman"/>
          <w:noProof/>
        </w:rPr>
        <w:t>(Norgate &amp; Haque 2012; Norgate &amp; Jahanshahi 2011; Norgate et al. 2007; Norgate et al. 2004)</w:t>
      </w:r>
      <w:r w:rsidR="00DC7AEC" w:rsidRPr="0070645B">
        <w:rPr>
          <w:rFonts w:ascii="Times New Roman" w:hAnsi="Times New Roman"/>
        </w:rPr>
        <w:t xml:space="preserve">. Metals covered by these studies </w:t>
      </w:r>
      <w:r w:rsidR="000F52CC" w:rsidRPr="0070645B">
        <w:rPr>
          <w:rFonts w:ascii="Times New Roman" w:hAnsi="Times New Roman"/>
        </w:rPr>
        <w:t>include</w:t>
      </w:r>
      <w:r w:rsidR="00DC7AEC" w:rsidRPr="0070645B">
        <w:rPr>
          <w:rFonts w:ascii="Times New Roman" w:hAnsi="Times New Roman"/>
        </w:rPr>
        <w:t>d:</w:t>
      </w:r>
      <w:r w:rsidR="001D19AE" w:rsidRPr="0070645B">
        <w:rPr>
          <w:rFonts w:ascii="Times New Roman" w:hAnsi="Times New Roman"/>
        </w:rPr>
        <w:t xml:space="preserve"> aluminium, copper, lead, nickel, stainless steel, zinc and titanium </w:t>
      </w:r>
      <w:r w:rsidR="00725841" w:rsidRPr="0070645B">
        <w:rPr>
          <w:rFonts w:ascii="Times New Roman" w:hAnsi="Times New Roman"/>
        </w:rPr>
        <w:t>(</w:t>
      </w:r>
      <w:r w:rsidR="001D19AE" w:rsidRPr="0070645B">
        <w:rPr>
          <w:rFonts w:ascii="Times New Roman" w:hAnsi="Times New Roman"/>
        </w:rPr>
        <w:t>unpublished</w:t>
      </w:r>
      <w:r w:rsidR="00725841" w:rsidRPr="0070645B">
        <w:rPr>
          <w:rFonts w:ascii="Times New Roman" w:hAnsi="Times New Roman"/>
        </w:rPr>
        <w:t>)</w:t>
      </w:r>
      <w:r w:rsidR="001D19AE" w:rsidRPr="0070645B">
        <w:rPr>
          <w:rFonts w:ascii="Times New Roman" w:hAnsi="Times New Roman"/>
        </w:rPr>
        <w:t xml:space="preserve">. </w:t>
      </w:r>
      <w:r w:rsidR="00E37AA6" w:rsidRPr="0070645B">
        <w:rPr>
          <w:rFonts w:ascii="Times New Roman" w:hAnsi="Times New Roman"/>
        </w:rPr>
        <w:t>A</w:t>
      </w:r>
      <w:r w:rsidR="00725841" w:rsidRPr="0070645B">
        <w:rPr>
          <w:rFonts w:ascii="Times New Roman" w:hAnsi="Times New Roman"/>
        </w:rPr>
        <w:t>dditional</w:t>
      </w:r>
      <w:r w:rsidR="000C14A8" w:rsidRPr="0070645B">
        <w:rPr>
          <w:rFonts w:ascii="Times New Roman" w:hAnsi="Times New Roman"/>
        </w:rPr>
        <w:t xml:space="preserve"> studies</w:t>
      </w:r>
      <w:r w:rsidR="00E37AA6" w:rsidRPr="0070645B">
        <w:rPr>
          <w:rFonts w:ascii="Times New Roman" w:hAnsi="Times New Roman"/>
        </w:rPr>
        <w:t xml:space="preserve"> especially for nickel, were present in literature</w:t>
      </w:r>
      <w:r w:rsidR="000C14A8" w:rsidRPr="0070645B">
        <w:rPr>
          <w:rFonts w:ascii="Times New Roman" w:hAnsi="Times New Roman"/>
        </w:rPr>
        <w:t xml:space="preserve"> from</w:t>
      </w:r>
      <w:r w:rsidR="001D19AE" w:rsidRPr="0070645B">
        <w:rPr>
          <w:rFonts w:ascii="Times New Roman" w:hAnsi="Times New Roman"/>
        </w:rPr>
        <w:t xml:space="preserve"> </w:t>
      </w:r>
      <w:r w:rsidR="0052727A" w:rsidRPr="0070645B">
        <w:rPr>
          <w:rFonts w:ascii="Times New Roman" w:hAnsi="Times New Roman"/>
          <w:noProof/>
        </w:rPr>
        <w:t>(Bartzas &amp; Komnitsas 2015)</w:t>
      </w:r>
      <w:r w:rsidR="001D19AE" w:rsidRPr="0070645B">
        <w:rPr>
          <w:rFonts w:ascii="Times New Roman" w:hAnsi="Times New Roman"/>
        </w:rPr>
        <w:t xml:space="preserve"> and</w:t>
      </w:r>
      <w:r w:rsidR="002C6B10" w:rsidRPr="0070645B">
        <w:rPr>
          <w:rFonts w:ascii="Times New Roman" w:hAnsi="Times New Roman"/>
        </w:rPr>
        <w:t xml:space="preserve"> </w:t>
      </w:r>
      <w:r w:rsidR="002C6B10" w:rsidRPr="0070645B">
        <w:rPr>
          <w:rFonts w:ascii="Times New Roman" w:hAnsi="Times New Roman"/>
          <w:noProof/>
        </w:rPr>
        <w:t>(Northey et al. 2014)</w:t>
      </w:r>
      <w:r w:rsidR="006D3C5D" w:rsidRPr="0070645B">
        <w:rPr>
          <w:rFonts w:ascii="Times New Roman" w:hAnsi="Times New Roman"/>
        </w:rPr>
        <w:t xml:space="preserve">. </w:t>
      </w:r>
      <w:r w:rsidR="00C32EEC" w:rsidRPr="0070645B">
        <w:rPr>
          <w:rFonts w:ascii="Times New Roman" w:hAnsi="Times New Roman"/>
        </w:rPr>
        <w:t xml:space="preserve"> Though this</w:t>
      </w:r>
      <w:r w:rsidR="001F1EA8" w:rsidRPr="0070645B">
        <w:rPr>
          <w:rFonts w:ascii="Times New Roman" w:hAnsi="Times New Roman"/>
        </w:rPr>
        <w:t xml:space="preserve"> list of</w:t>
      </w:r>
      <w:r w:rsidR="008A3C33" w:rsidRPr="0070645B">
        <w:rPr>
          <w:rFonts w:ascii="Times New Roman" w:hAnsi="Times New Roman"/>
        </w:rPr>
        <w:t xml:space="preserve"> journals</w:t>
      </w:r>
      <w:r w:rsidR="00C32EEC" w:rsidRPr="0070645B">
        <w:rPr>
          <w:rFonts w:ascii="Times New Roman" w:hAnsi="Times New Roman"/>
        </w:rPr>
        <w:t xml:space="preserve"> </w:t>
      </w:r>
      <w:r w:rsidR="008A3C33" w:rsidRPr="0070645B">
        <w:rPr>
          <w:rFonts w:ascii="Times New Roman" w:hAnsi="Times New Roman"/>
        </w:rPr>
        <w:t xml:space="preserve">would be useful in developing LCA methodology and comparing results </w:t>
      </w:r>
      <w:r w:rsidR="001F1EA8" w:rsidRPr="0070645B">
        <w:rPr>
          <w:rFonts w:ascii="Times New Roman" w:hAnsi="Times New Roman"/>
        </w:rPr>
        <w:t>in terms of GWP. They</w:t>
      </w:r>
      <w:r w:rsidR="008A3C33" w:rsidRPr="0070645B">
        <w:rPr>
          <w:rFonts w:ascii="Times New Roman" w:hAnsi="Times New Roman"/>
        </w:rPr>
        <w:t xml:space="preserve"> lacked quantitative data to model some of the more exotic ferro-alloy elements. </w:t>
      </w:r>
    </w:p>
    <w:p w:rsidR="008A3C33" w:rsidRPr="0070645B" w:rsidRDefault="007E7C2E" w:rsidP="00C0581A">
      <w:pPr>
        <w:spacing w:after="0" w:line="360" w:lineRule="auto"/>
        <w:ind w:firstLine="720"/>
        <w:contextualSpacing/>
        <w:jc w:val="both"/>
        <w:rPr>
          <w:rFonts w:ascii="Times New Roman" w:hAnsi="Times New Roman"/>
        </w:rPr>
      </w:pPr>
      <w:r w:rsidRPr="0070645B">
        <w:rPr>
          <w:rFonts w:ascii="Times New Roman" w:hAnsi="Times New Roman"/>
        </w:rPr>
        <w:t xml:space="preserve">To overcome this data gap, </w:t>
      </w:r>
      <w:r w:rsidR="00C0581A" w:rsidRPr="0070645B">
        <w:rPr>
          <w:rFonts w:ascii="Times New Roman" w:hAnsi="Times New Roman"/>
        </w:rPr>
        <w:t>a literature review was conducted on data availability of ferro-alloys. Three</w:t>
      </w:r>
      <w:r w:rsidRPr="0070645B">
        <w:rPr>
          <w:rFonts w:ascii="Times New Roman" w:hAnsi="Times New Roman"/>
        </w:rPr>
        <w:t xml:space="preserve"> types of literature sources were pre-dominantly </w:t>
      </w:r>
      <w:r w:rsidR="00C0581A" w:rsidRPr="0070645B">
        <w:rPr>
          <w:rFonts w:ascii="Times New Roman" w:hAnsi="Times New Roman"/>
        </w:rPr>
        <w:t>identified and examined, namely</w:t>
      </w:r>
      <w:r w:rsidRPr="0070645B">
        <w:rPr>
          <w:rFonts w:ascii="Times New Roman" w:hAnsi="Times New Roman"/>
        </w:rPr>
        <w:t xml:space="preserve">:  </w:t>
      </w:r>
      <w:r w:rsidRPr="0070645B">
        <w:rPr>
          <w:rFonts w:ascii="Times New Roman" w:hAnsi="Times New Roman" w:cs="Times New Roman"/>
        </w:rPr>
        <w:t xml:space="preserve">journal publications, life cycle inventory (LCI) databases and company reports. A summary of the primary data sources located and used in the literature are presented by </w:t>
      </w:r>
      <w:r w:rsidR="00A6415F" w:rsidRPr="0070645B">
        <w:fldChar w:fldCharType="begin"/>
      </w:r>
      <w:r w:rsidR="00A6415F" w:rsidRPr="0070645B">
        <w:instrText xml:space="preserve"> REF _Ref475061994 \h  \* MERGEFORMAT </w:instrText>
      </w:r>
      <w:r w:rsidR="00A6415F" w:rsidRPr="0070645B">
        <w:fldChar w:fldCharType="separate"/>
      </w:r>
      <w:r w:rsidR="009F5483" w:rsidRPr="009F5483">
        <w:rPr>
          <w:rStyle w:val="FiguresChar"/>
          <w:color w:val="auto"/>
        </w:rPr>
        <w:t>Table 6</w:t>
      </w:r>
      <w:r w:rsidR="00A6415F" w:rsidRPr="0070645B">
        <w:fldChar w:fldCharType="end"/>
      </w:r>
      <w:r w:rsidRPr="0070645B">
        <w:rPr>
          <w:rStyle w:val="FiguresChar"/>
          <w:color w:val="auto"/>
        </w:rPr>
        <w:t>.</w:t>
      </w:r>
    </w:p>
    <w:p w:rsidR="0069787D" w:rsidRPr="0070645B" w:rsidRDefault="004C481D" w:rsidP="006D3C5D">
      <w:pPr>
        <w:jc w:val="both"/>
        <w:rPr>
          <w:rFonts w:ascii="Times New Roman" w:hAnsi="Times New Roman" w:cs="Times New Roman"/>
        </w:rPr>
      </w:pPr>
      <w:bookmarkStart w:id="45" w:name="_Ref475061994"/>
      <w:bookmarkStart w:id="46" w:name="_Toc495852684"/>
      <w:r w:rsidRPr="0070645B">
        <w:rPr>
          <w:rFonts w:ascii="Times New Roman" w:hAnsi="Times New Roman" w:cs="Times New Roman"/>
        </w:rPr>
        <w:t xml:space="preserve">Table </w:t>
      </w:r>
      <w:r w:rsidR="009A0ED7" w:rsidRPr="0070645B">
        <w:rPr>
          <w:rFonts w:ascii="Times New Roman" w:hAnsi="Times New Roman" w:cs="Times New Roman"/>
        </w:rPr>
        <w:fldChar w:fldCharType="begin"/>
      </w:r>
      <w:r w:rsidRPr="0070645B">
        <w:rPr>
          <w:rFonts w:ascii="Times New Roman" w:hAnsi="Times New Roman" w:cs="Times New Roman"/>
        </w:rPr>
        <w:instrText xml:space="preserve"> SEQ Table \* ARABIC </w:instrText>
      </w:r>
      <w:r w:rsidR="009A0ED7" w:rsidRPr="0070645B">
        <w:rPr>
          <w:rFonts w:ascii="Times New Roman" w:hAnsi="Times New Roman" w:cs="Times New Roman"/>
        </w:rPr>
        <w:fldChar w:fldCharType="separate"/>
      </w:r>
      <w:r w:rsidR="009F5483">
        <w:rPr>
          <w:rFonts w:ascii="Times New Roman" w:hAnsi="Times New Roman" w:cs="Times New Roman"/>
          <w:noProof/>
        </w:rPr>
        <w:t>6</w:t>
      </w:r>
      <w:r w:rsidR="009A0ED7" w:rsidRPr="0070645B">
        <w:rPr>
          <w:rFonts w:ascii="Times New Roman" w:hAnsi="Times New Roman" w:cs="Times New Roman"/>
        </w:rPr>
        <w:fldChar w:fldCharType="end"/>
      </w:r>
      <w:bookmarkEnd w:id="45"/>
      <w:r w:rsidRPr="0070645B">
        <w:rPr>
          <w:rFonts w:ascii="Times New Roman" w:hAnsi="Times New Roman" w:cs="Times New Roman"/>
        </w:rPr>
        <w:t>. Summary of</w:t>
      </w:r>
      <w:r w:rsidR="006D3C5D" w:rsidRPr="0070645B">
        <w:rPr>
          <w:rFonts w:ascii="Times New Roman" w:hAnsi="Times New Roman" w:cs="Times New Roman"/>
        </w:rPr>
        <w:t xml:space="preserve"> the 4</w:t>
      </w:r>
      <w:r w:rsidRPr="0070645B">
        <w:rPr>
          <w:rFonts w:ascii="Times New Roman" w:hAnsi="Times New Roman" w:cs="Times New Roman"/>
        </w:rPr>
        <w:t xml:space="preserve"> </w:t>
      </w:r>
      <w:r w:rsidR="006D3C5D" w:rsidRPr="0070645B">
        <w:rPr>
          <w:rFonts w:ascii="Times New Roman" w:hAnsi="Times New Roman" w:cs="Times New Roman"/>
        </w:rPr>
        <w:t>principle literature sources used to investigate the 10</w:t>
      </w:r>
      <w:r w:rsidRPr="0070645B">
        <w:rPr>
          <w:rFonts w:ascii="Times New Roman" w:hAnsi="Times New Roman" w:cs="Times New Roman"/>
        </w:rPr>
        <w:t xml:space="preserve"> ferro-alloys</w:t>
      </w:r>
      <w:r w:rsidR="006D3C5D" w:rsidRPr="0070645B">
        <w:rPr>
          <w:rFonts w:ascii="Times New Roman" w:hAnsi="Times New Roman" w:cs="Times New Roman"/>
        </w:rPr>
        <w:t xml:space="preserve"> of interest</w:t>
      </w:r>
      <w:r w:rsidRPr="0070645B">
        <w:rPr>
          <w:rFonts w:ascii="Times New Roman" w:hAnsi="Times New Roman" w:cs="Times New Roman"/>
        </w:rPr>
        <w:t>.</w:t>
      </w:r>
      <w:bookmarkEnd w:id="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2"/>
        <w:gridCol w:w="1529"/>
        <w:gridCol w:w="2840"/>
        <w:gridCol w:w="1446"/>
        <w:gridCol w:w="1929"/>
      </w:tblGrid>
      <w:tr w:rsidR="00976F39" w:rsidRPr="0070645B" w:rsidTr="004C481D">
        <w:trPr>
          <w:trHeight w:val="300"/>
        </w:trPr>
        <w:tc>
          <w:tcPr>
            <w:tcW w:w="705" w:type="pct"/>
            <w:shd w:val="clear" w:color="auto" w:fill="auto"/>
            <w:noWrap/>
            <w:vAlign w:val="bottom"/>
            <w:hideMark/>
          </w:tcPr>
          <w:p w:rsidR="0069787D" w:rsidRPr="0070645B" w:rsidRDefault="0069787D" w:rsidP="00D051CF">
            <w:pPr>
              <w:spacing w:after="0" w:line="240" w:lineRule="auto"/>
              <w:rPr>
                <w:rFonts w:ascii="Times New Roman" w:eastAsia="Times New Roman" w:hAnsi="Times New Roman" w:cs="Times New Roman"/>
                <w:sz w:val="24"/>
                <w:szCs w:val="24"/>
              </w:rPr>
            </w:pPr>
          </w:p>
        </w:tc>
        <w:tc>
          <w:tcPr>
            <w:tcW w:w="4295" w:type="pct"/>
            <w:gridSpan w:val="4"/>
            <w:shd w:val="clear" w:color="auto" w:fill="auto"/>
            <w:noWrap/>
            <w:vAlign w:val="bottom"/>
            <w:hideMark/>
          </w:tcPr>
          <w:p w:rsidR="0069787D" w:rsidRPr="0070645B" w:rsidRDefault="0069787D" w:rsidP="00D051CF">
            <w:pPr>
              <w:spacing w:after="0" w:line="240" w:lineRule="auto"/>
              <w:jc w:val="center"/>
              <w:rPr>
                <w:rFonts w:ascii="Times New Roman" w:eastAsia="Times New Roman" w:hAnsi="Times New Roman" w:cs="Times New Roman"/>
              </w:rPr>
            </w:pPr>
            <w:r w:rsidRPr="0070645B">
              <w:rPr>
                <w:rFonts w:ascii="Times New Roman" w:eastAsia="Times New Roman" w:hAnsi="Times New Roman" w:cs="Times New Roman"/>
              </w:rPr>
              <w:t>Data source from literature</w:t>
            </w:r>
          </w:p>
        </w:tc>
      </w:tr>
      <w:tr w:rsidR="00976F39" w:rsidRPr="0070645B" w:rsidTr="004C481D">
        <w:trPr>
          <w:trHeight w:val="300"/>
        </w:trPr>
        <w:tc>
          <w:tcPr>
            <w:tcW w:w="705" w:type="pct"/>
            <w:shd w:val="clear" w:color="auto" w:fill="auto"/>
            <w:noWrap/>
            <w:vAlign w:val="bottom"/>
            <w:hideMark/>
          </w:tcPr>
          <w:p w:rsidR="0069787D" w:rsidRPr="0070645B" w:rsidRDefault="0069787D" w:rsidP="00D051CF">
            <w:pPr>
              <w:spacing w:after="0" w:line="240" w:lineRule="auto"/>
              <w:jc w:val="center"/>
              <w:rPr>
                <w:rFonts w:ascii="Times New Roman" w:eastAsia="Times New Roman" w:hAnsi="Times New Roman" w:cs="Times New Roman"/>
              </w:rPr>
            </w:pPr>
            <w:r w:rsidRPr="0070645B">
              <w:rPr>
                <w:rFonts w:ascii="Times New Roman" w:eastAsia="Times New Roman" w:hAnsi="Times New Roman" w:cs="Times New Roman"/>
              </w:rPr>
              <w:t>Ferro-alloy</w:t>
            </w:r>
          </w:p>
        </w:tc>
        <w:tc>
          <w:tcPr>
            <w:tcW w:w="848" w:type="pct"/>
            <w:shd w:val="clear" w:color="auto" w:fill="auto"/>
            <w:noWrap/>
            <w:vAlign w:val="bottom"/>
            <w:hideMark/>
          </w:tcPr>
          <w:p w:rsidR="0069787D" w:rsidRPr="0070645B" w:rsidRDefault="004D2D91" w:rsidP="00D051CF">
            <w:pPr>
              <w:spacing w:after="0" w:line="240" w:lineRule="auto"/>
              <w:jc w:val="center"/>
              <w:rPr>
                <w:rFonts w:ascii="Times New Roman" w:eastAsia="Times New Roman" w:hAnsi="Times New Roman" w:cs="Times New Roman"/>
              </w:rPr>
            </w:pPr>
            <w:r w:rsidRPr="0070645B">
              <w:rPr>
                <w:rFonts w:ascii="Times New Roman" w:eastAsia="Times New Roman" w:hAnsi="Times New Roman" w:cs="Times New Roman"/>
              </w:rPr>
              <w:t>GaBi</w:t>
            </w:r>
            <w:r w:rsidR="0069787D" w:rsidRPr="0070645B">
              <w:rPr>
                <w:rFonts w:ascii="Times New Roman" w:eastAsia="Times New Roman" w:hAnsi="Times New Roman" w:cs="Times New Roman"/>
              </w:rPr>
              <w:t xml:space="preserve"> LCA </w:t>
            </w:r>
            <w:r w:rsidR="00027F62">
              <w:rPr>
                <w:rFonts w:ascii="Times New Roman" w:eastAsia="Times New Roman" w:hAnsi="Times New Roman" w:cs="Times New Roman"/>
              </w:rPr>
              <w:t xml:space="preserve">2015 </w:t>
            </w:r>
            <w:r w:rsidR="0069787D" w:rsidRPr="0070645B">
              <w:rPr>
                <w:rFonts w:ascii="Times New Roman" w:eastAsia="Times New Roman" w:hAnsi="Times New Roman" w:cs="Times New Roman"/>
              </w:rPr>
              <w:t>software</w:t>
            </w:r>
          </w:p>
        </w:tc>
        <w:tc>
          <w:tcPr>
            <w:tcW w:w="1575" w:type="pct"/>
            <w:shd w:val="clear" w:color="auto" w:fill="auto"/>
            <w:noWrap/>
            <w:vAlign w:val="bottom"/>
            <w:hideMark/>
          </w:tcPr>
          <w:p w:rsidR="00027F62" w:rsidRDefault="0069787D" w:rsidP="00D051CF">
            <w:pPr>
              <w:spacing w:after="0" w:line="240" w:lineRule="auto"/>
              <w:jc w:val="center"/>
              <w:rPr>
                <w:rFonts w:ascii="Times New Roman" w:eastAsia="Times New Roman" w:hAnsi="Times New Roman" w:cs="Times New Roman"/>
              </w:rPr>
            </w:pPr>
            <w:r w:rsidRPr="0070645B">
              <w:rPr>
                <w:rFonts w:ascii="Times New Roman" w:eastAsia="Times New Roman" w:hAnsi="Times New Roman" w:cs="Times New Roman"/>
              </w:rPr>
              <w:t xml:space="preserve">Haque &amp; Norgate </w:t>
            </w:r>
          </w:p>
          <w:p w:rsidR="0069787D" w:rsidRPr="0070645B" w:rsidRDefault="0069787D" w:rsidP="00D051CF">
            <w:pPr>
              <w:spacing w:after="0" w:line="240" w:lineRule="auto"/>
              <w:jc w:val="center"/>
              <w:rPr>
                <w:rFonts w:ascii="Times New Roman" w:eastAsia="Times New Roman" w:hAnsi="Times New Roman" w:cs="Times New Roman"/>
              </w:rPr>
            </w:pPr>
            <w:r w:rsidRPr="0070645B">
              <w:rPr>
                <w:rFonts w:ascii="Times New Roman" w:eastAsia="Times New Roman" w:hAnsi="Times New Roman" w:cs="Times New Roman"/>
              </w:rPr>
              <w:t>2013 (Journal)</w:t>
            </w:r>
          </w:p>
        </w:tc>
        <w:tc>
          <w:tcPr>
            <w:tcW w:w="802" w:type="pct"/>
            <w:shd w:val="clear" w:color="auto" w:fill="auto"/>
            <w:noWrap/>
            <w:vAlign w:val="bottom"/>
            <w:hideMark/>
          </w:tcPr>
          <w:p w:rsidR="0069787D" w:rsidRPr="0070645B" w:rsidRDefault="0069787D" w:rsidP="00D051CF">
            <w:pPr>
              <w:spacing w:after="0" w:line="240" w:lineRule="auto"/>
              <w:jc w:val="center"/>
              <w:rPr>
                <w:rFonts w:ascii="Times New Roman" w:eastAsia="Times New Roman" w:hAnsi="Times New Roman" w:cs="Times New Roman"/>
              </w:rPr>
            </w:pPr>
            <w:proofErr w:type="spellStart"/>
            <w:r w:rsidRPr="0070645B">
              <w:rPr>
                <w:rFonts w:ascii="Times New Roman" w:eastAsia="Times New Roman" w:hAnsi="Times New Roman" w:cs="Times New Roman"/>
              </w:rPr>
              <w:t>M.Gasik</w:t>
            </w:r>
            <w:proofErr w:type="spellEnd"/>
            <w:r w:rsidRPr="0070645B">
              <w:rPr>
                <w:rFonts w:ascii="Times New Roman" w:eastAsia="Times New Roman" w:hAnsi="Times New Roman" w:cs="Times New Roman"/>
              </w:rPr>
              <w:t xml:space="preserve"> </w:t>
            </w:r>
            <w:r w:rsidR="00027F62">
              <w:rPr>
                <w:rFonts w:ascii="Times New Roman" w:eastAsia="Times New Roman" w:hAnsi="Times New Roman" w:cs="Times New Roman"/>
              </w:rPr>
              <w:t xml:space="preserve"> 2013 </w:t>
            </w:r>
            <w:r w:rsidRPr="0070645B">
              <w:rPr>
                <w:rFonts w:ascii="Times New Roman" w:eastAsia="Times New Roman" w:hAnsi="Times New Roman" w:cs="Times New Roman"/>
              </w:rPr>
              <w:t>(book)</w:t>
            </w:r>
          </w:p>
        </w:tc>
        <w:tc>
          <w:tcPr>
            <w:tcW w:w="1069" w:type="pct"/>
            <w:shd w:val="clear" w:color="auto" w:fill="auto"/>
            <w:noWrap/>
            <w:vAlign w:val="bottom"/>
            <w:hideMark/>
          </w:tcPr>
          <w:p w:rsidR="0069787D" w:rsidRPr="0070645B" w:rsidRDefault="0069787D" w:rsidP="00D051CF">
            <w:pPr>
              <w:spacing w:after="0" w:line="240" w:lineRule="auto"/>
              <w:jc w:val="center"/>
              <w:rPr>
                <w:rFonts w:ascii="Times New Roman" w:eastAsia="Times New Roman" w:hAnsi="Times New Roman" w:cs="Times New Roman"/>
              </w:rPr>
            </w:pPr>
            <w:r w:rsidRPr="0070645B">
              <w:rPr>
                <w:rFonts w:ascii="Times New Roman" w:eastAsia="Times New Roman" w:hAnsi="Times New Roman" w:cs="Times New Roman"/>
              </w:rPr>
              <w:t xml:space="preserve">Eurometaux </w:t>
            </w:r>
            <w:r w:rsidR="00027F62">
              <w:rPr>
                <w:rFonts w:ascii="Times New Roman" w:eastAsia="Times New Roman" w:hAnsi="Times New Roman" w:cs="Times New Roman"/>
              </w:rPr>
              <w:t xml:space="preserve">2014 </w:t>
            </w:r>
            <w:r w:rsidRPr="0070645B">
              <w:rPr>
                <w:rFonts w:ascii="Times New Roman" w:eastAsia="Times New Roman" w:hAnsi="Times New Roman" w:cs="Times New Roman"/>
              </w:rPr>
              <w:t>(Report)</w:t>
            </w:r>
          </w:p>
        </w:tc>
      </w:tr>
      <w:tr w:rsidR="00976F39" w:rsidRPr="0070645B" w:rsidTr="00996D6D">
        <w:trPr>
          <w:trHeight w:val="300"/>
        </w:trPr>
        <w:tc>
          <w:tcPr>
            <w:tcW w:w="705" w:type="pct"/>
            <w:shd w:val="clear" w:color="auto" w:fill="auto"/>
            <w:noWrap/>
            <w:vAlign w:val="bottom"/>
            <w:hideMark/>
          </w:tcPr>
          <w:p w:rsidR="0069787D" w:rsidRPr="0070645B" w:rsidRDefault="0069787D" w:rsidP="00D051CF">
            <w:pPr>
              <w:spacing w:after="0" w:line="240" w:lineRule="auto"/>
              <w:jc w:val="center"/>
              <w:rPr>
                <w:rFonts w:ascii="Times New Roman" w:eastAsia="Times New Roman" w:hAnsi="Times New Roman" w:cs="Times New Roman"/>
              </w:rPr>
            </w:pPr>
            <w:r w:rsidRPr="0070645B">
              <w:rPr>
                <w:rFonts w:ascii="Times New Roman" w:eastAsia="Times New Roman" w:hAnsi="Times New Roman" w:cs="Times New Roman"/>
              </w:rPr>
              <w:t>Fe-B</w:t>
            </w:r>
          </w:p>
        </w:tc>
        <w:tc>
          <w:tcPr>
            <w:tcW w:w="848" w:type="pct"/>
            <w:shd w:val="clear" w:color="auto" w:fill="auto"/>
            <w:noWrap/>
            <w:vAlign w:val="bottom"/>
            <w:hideMark/>
          </w:tcPr>
          <w:p w:rsidR="0069787D" w:rsidRPr="00027F62" w:rsidRDefault="00996D6D"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c>
          <w:tcPr>
            <w:tcW w:w="1575"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FF0000"/>
              </w:rPr>
              <w:sym w:font="Wingdings 2" w:char="F053"/>
            </w:r>
          </w:p>
        </w:tc>
        <w:tc>
          <w:tcPr>
            <w:tcW w:w="802"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c>
          <w:tcPr>
            <w:tcW w:w="1069"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FF0000"/>
              </w:rPr>
              <w:sym w:font="Wingdings 2" w:char="F053"/>
            </w:r>
          </w:p>
        </w:tc>
      </w:tr>
      <w:tr w:rsidR="00976F39" w:rsidRPr="0070645B" w:rsidTr="00996D6D">
        <w:trPr>
          <w:trHeight w:val="300"/>
        </w:trPr>
        <w:tc>
          <w:tcPr>
            <w:tcW w:w="705" w:type="pct"/>
            <w:shd w:val="clear" w:color="auto" w:fill="auto"/>
            <w:noWrap/>
            <w:vAlign w:val="bottom"/>
            <w:hideMark/>
          </w:tcPr>
          <w:p w:rsidR="0069787D" w:rsidRPr="0070645B" w:rsidRDefault="0069787D" w:rsidP="00D051CF">
            <w:pPr>
              <w:spacing w:after="0" w:line="240" w:lineRule="auto"/>
              <w:jc w:val="center"/>
              <w:rPr>
                <w:rFonts w:ascii="Times New Roman" w:eastAsia="Times New Roman" w:hAnsi="Times New Roman" w:cs="Times New Roman"/>
              </w:rPr>
            </w:pPr>
            <w:r w:rsidRPr="0070645B">
              <w:rPr>
                <w:rFonts w:ascii="Times New Roman" w:eastAsia="Times New Roman" w:hAnsi="Times New Roman" w:cs="Times New Roman"/>
              </w:rPr>
              <w:t>Fe-Cr</w:t>
            </w:r>
          </w:p>
        </w:tc>
        <w:tc>
          <w:tcPr>
            <w:tcW w:w="848" w:type="pct"/>
            <w:shd w:val="clear" w:color="auto" w:fill="auto"/>
            <w:noWrap/>
            <w:vAlign w:val="bottom"/>
            <w:hideMark/>
          </w:tcPr>
          <w:p w:rsidR="0069787D" w:rsidRPr="00027F62" w:rsidRDefault="00996D6D"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c>
          <w:tcPr>
            <w:tcW w:w="1575"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c>
          <w:tcPr>
            <w:tcW w:w="802"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c>
          <w:tcPr>
            <w:tcW w:w="1069"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r>
      <w:tr w:rsidR="00976F39" w:rsidRPr="0070645B" w:rsidTr="00996D6D">
        <w:trPr>
          <w:trHeight w:val="300"/>
        </w:trPr>
        <w:tc>
          <w:tcPr>
            <w:tcW w:w="705" w:type="pct"/>
            <w:shd w:val="clear" w:color="auto" w:fill="auto"/>
            <w:noWrap/>
            <w:vAlign w:val="bottom"/>
            <w:hideMark/>
          </w:tcPr>
          <w:p w:rsidR="0069787D" w:rsidRPr="0070645B" w:rsidRDefault="0069787D" w:rsidP="00D051CF">
            <w:pPr>
              <w:spacing w:after="0" w:line="240" w:lineRule="auto"/>
              <w:jc w:val="center"/>
              <w:rPr>
                <w:rFonts w:ascii="Times New Roman" w:eastAsia="Times New Roman" w:hAnsi="Times New Roman" w:cs="Times New Roman"/>
              </w:rPr>
            </w:pPr>
            <w:r w:rsidRPr="0070645B">
              <w:rPr>
                <w:rFonts w:ascii="Times New Roman" w:eastAsia="Times New Roman" w:hAnsi="Times New Roman" w:cs="Times New Roman"/>
              </w:rPr>
              <w:t>Fe-Mn</w:t>
            </w:r>
          </w:p>
        </w:tc>
        <w:tc>
          <w:tcPr>
            <w:tcW w:w="848" w:type="pct"/>
            <w:shd w:val="clear" w:color="auto" w:fill="auto"/>
            <w:noWrap/>
            <w:vAlign w:val="bottom"/>
            <w:hideMark/>
          </w:tcPr>
          <w:p w:rsidR="0069787D" w:rsidRPr="00027F62" w:rsidRDefault="00996D6D"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c>
          <w:tcPr>
            <w:tcW w:w="1575"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c>
          <w:tcPr>
            <w:tcW w:w="802"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c>
          <w:tcPr>
            <w:tcW w:w="1069"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r>
      <w:tr w:rsidR="00976F39" w:rsidRPr="0070645B" w:rsidTr="00996D6D">
        <w:trPr>
          <w:trHeight w:val="300"/>
        </w:trPr>
        <w:tc>
          <w:tcPr>
            <w:tcW w:w="705" w:type="pct"/>
            <w:shd w:val="clear" w:color="auto" w:fill="auto"/>
            <w:noWrap/>
            <w:vAlign w:val="bottom"/>
            <w:hideMark/>
          </w:tcPr>
          <w:p w:rsidR="0069787D" w:rsidRPr="0070645B" w:rsidRDefault="0069787D" w:rsidP="00D051CF">
            <w:pPr>
              <w:spacing w:after="0" w:line="240" w:lineRule="auto"/>
              <w:jc w:val="center"/>
              <w:rPr>
                <w:rFonts w:ascii="Times New Roman" w:eastAsia="Times New Roman" w:hAnsi="Times New Roman" w:cs="Times New Roman"/>
              </w:rPr>
            </w:pPr>
            <w:r w:rsidRPr="0070645B">
              <w:rPr>
                <w:rFonts w:ascii="Times New Roman" w:eastAsia="Times New Roman" w:hAnsi="Times New Roman" w:cs="Times New Roman"/>
              </w:rPr>
              <w:t>Fe-Mo</w:t>
            </w:r>
          </w:p>
        </w:tc>
        <w:tc>
          <w:tcPr>
            <w:tcW w:w="848" w:type="pct"/>
            <w:shd w:val="clear" w:color="auto" w:fill="auto"/>
            <w:noWrap/>
            <w:vAlign w:val="bottom"/>
            <w:hideMark/>
          </w:tcPr>
          <w:p w:rsidR="0069787D" w:rsidRPr="00027F62" w:rsidRDefault="00996D6D"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c>
          <w:tcPr>
            <w:tcW w:w="1575"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FF0000"/>
              </w:rPr>
              <w:sym w:font="Wingdings 2" w:char="F053"/>
            </w:r>
          </w:p>
        </w:tc>
        <w:tc>
          <w:tcPr>
            <w:tcW w:w="802"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FF0000"/>
              </w:rPr>
              <w:sym w:font="Wingdings 2" w:char="F053"/>
            </w:r>
          </w:p>
        </w:tc>
        <w:tc>
          <w:tcPr>
            <w:tcW w:w="1069"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FF0000"/>
              </w:rPr>
              <w:sym w:font="Wingdings 2" w:char="F053"/>
            </w:r>
          </w:p>
        </w:tc>
      </w:tr>
      <w:tr w:rsidR="00976F39" w:rsidRPr="0070645B" w:rsidTr="00996D6D">
        <w:trPr>
          <w:trHeight w:val="300"/>
        </w:trPr>
        <w:tc>
          <w:tcPr>
            <w:tcW w:w="705" w:type="pct"/>
            <w:shd w:val="clear" w:color="auto" w:fill="auto"/>
            <w:noWrap/>
            <w:vAlign w:val="bottom"/>
            <w:hideMark/>
          </w:tcPr>
          <w:p w:rsidR="0069787D" w:rsidRPr="0070645B" w:rsidRDefault="0069787D" w:rsidP="00D051CF">
            <w:pPr>
              <w:spacing w:after="0" w:line="240" w:lineRule="auto"/>
              <w:jc w:val="center"/>
              <w:rPr>
                <w:rFonts w:ascii="Times New Roman" w:eastAsia="Times New Roman" w:hAnsi="Times New Roman" w:cs="Times New Roman"/>
              </w:rPr>
            </w:pPr>
            <w:r w:rsidRPr="0070645B">
              <w:rPr>
                <w:rFonts w:ascii="Times New Roman" w:eastAsia="Times New Roman" w:hAnsi="Times New Roman" w:cs="Times New Roman"/>
              </w:rPr>
              <w:t>Fe-Ni</w:t>
            </w:r>
          </w:p>
        </w:tc>
        <w:tc>
          <w:tcPr>
            <w:tcW w:w="848" w:type="pct"/>
            <w:shd w:val="clear" w:color="auto" w:fill="auto"/>
            <w:noWrap/>
            <w:vAlign w:val="bottom"/>
            <w:hideMark/>
          </w:tcPr>
          <w:p w:rsidR="0069787D" w:rsidRPr="00027F62" w:rsidRDefault="00996D6D"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c>
          <w:tcPr>
            <w:tcW w:w="1575"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c>
          <w:tcPr>
            <w:tcW w:w="802"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FF0000"/>
              </w:rPr>
              <w:sym w:font="Wingdings 2" w:char="F053"/>
            </w:r>
          </w:p>
        </w:tc>
        <w:tc>
          <w:tcPr>
            <w:tcW w:w="1069"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r>
      <w:tr w:rsidR="00976F39" w:rsidRPr="0070645B" w:rsidTr="00996D6D">
        <w:trPr>
          <w:trHeight w:val="300"/>
        </w:trPr>
        <w:tc>
          <w:tcPr>
            <w:tcW w:w="705" w:type="pct"/>
            <w:shd w:val="clear" w:color="auto" w:fill="auto"/>
            <w:noWrap/>
            <w:vAlign w:val="bottom"/>
            <w:hideMark/>
          </w:tcPr>
          <w:p w:rsidR="0069787D" w:rsidRPr="0070645B" w:rsidRDefault="0069787D" w:rsidP="00D051CF">
            <w:pPr>
              <w:spacing w:after="0" w:line="240" w:lineRule="auto"/>
              <w:jc w:val="center"/>
              <w:rPr>
                <w:rFonts w:ascii="Times New Roman" w:eastAsia="Times New Roman" w:hAnsi="Times New Roman" w:cs="Times New Roman"/>
              </w:rPr>
            </w:pPr>
            <w:r w:rsidRPr="0070645B">
              <w:rPr>
                <w:rFonts w:ascii="Times New Roman" w:eastAsia="Times New Roman" w:hAnsi="Times New Roman" w:cs="Times New Roman"/>
              </w:rPr>
              <w:t>Fe-Nb</w:t>
            </w:r>
          </w:p>
        </w:tc>
        <w:tc>
          <w:tcPr>
            <w:tcW w:w="848" w:type="pct"/>
            <w:shd w:val="clear" w:color="auto" w:fill="auto"/>
            <w:noWrap/>
            <w:vAlign w:val="bottom"/>
            <w:hideMark/>
          </w:tcPr>
          <w:p w:rsidR="0069787D" w:rsidRPr="0070645B" w:rsidRDefault="00996D6D" w:rsidP="00D051CF">
            <w:pPr>
              <w:spacing w:after="0" w:line="240" w:lineRule="auto"/>
              <w:jc w:val="center"/>
              <w:rPr>
                <w:rFonts w:ascii="Times New Roman" w:eastAsia="Times New Roman" w:hAnsi="Times New Roman" w:cs="Times New Roman"/>
              </w:rPr>
            </w:pPr>
            <w:r w:rsidRPr="00027F62">
              <w:rPr>
                <w:rFonts w:ascii="Times New Roman" w:hAnsi="Times New Roman" w:cs="Times New Roman"/>
                <w:color w:val="FF0000"/>
              </w:rPr>
              <w:sym w:font="Wingdings 2" w:char="F053"/>
            </w:r>
          </w:p>
        </w:tc>
        <w:tc>
          <w:tcPr>
            <w:tcW w:w="1575"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FF0000"/>
              </w:rPr>
              <w:sym w:font="Wingdings 2" w:char="F053"/>
            </w:r>
          </w:p>
        </w:tc>
        <w:tc>
          <w:tcPr>
            <w:tcW w:w="802"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c>
          <w:tcPr>
            <w:tcW w:w="1069"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FF0000"/>
              </w:rPr>
              <w:sym w:font="Wingdings 2" w:char="F053"/>
            </w:r>
          </w:p>
        </w:tc>
      </w:tr>
      <w:tr w:rsidR="00976F39" w:rsidRPr="0070645B" w:rsidTr="00996D6D">
        <w:trPr>
          <w:trHeight w:val="300"/>
        </w:trPr>
        <w:tc>
          <w:tcPr>
            <w:tcW w:w="705" w:type="pct"/>
            <w:shd w:val="clear" w:color="auto" w:fill="auto"/>
            <w:noWrap/>
            <w:vAlign w:val="bottom"/>
            <w:hideMark/>
          </w:tcPr>
          <w:p w:rsidR="0069787D" w:rsidRPr="0070645B" w:rsidRDefault="0069787D" w:rsidP="00D051CF">
            <w:pPr>
              <w:spacing w:after="0" w:line="240" w:lineRule="auto"/>
              <w:jc w:val="center"/>
              <w:rPr>
                <w:rFonts w:ascii="Times New Roman" w:eastAsia="Times New Roman" w:hAnsi="Times New Roman" w:cs="Times New Roman"/>
              </w:rPr>
            </w:pPr>
            <w:r w:rsidRPr="0070645B">
              <w:rPr>
                <w:rFonts w:ascii="Times New Roman" w:eastAsia="Times New Roman" w:hAnsi="Times New Roman" w:cs="Times New Roman"/>
              </w:rPr>
              <w:t>Fe-Si</w:t>
            </w:r>
          </w:p>
        </w:tc>
        <w:tc>
          <w:tcPr>
            <w:tcW w:w="848" w:type="pct"/>
            <w:shd w:val="clear" w:color="auto" w:fill="auto"/>
            <w:noWrap/>
            <w:vAlign w:val="bottom"/>
            <w:hideMark/>
          </w:tcPr>
          <w:p w:rsidR="0069787D" w:rsidRPr="0070645B" w:rsidRDefault="00996D6D" w:rsidP="00D051CF">
            <w:pPr>
              <w:spacing w:after="0" w:line="240" w:lineRule="auto"/>
              <w:jc w:val="center"/>
              <w:rPr>
                <w:rFonts w:ascii="Times New Roman" w:eastAsia="Times New Roman" w:hAnsi="Times New Roman" w:cs="Times New Roman"/>
              </w:rPr>
            </w:pPr>
            <w:r w:rsidRPr="00027F62">
              <w:rPr>
                <w:rFonts w:ascii="Times New Roman" w:hAnsi="Times New Roman" w:cs="Times New Roman"/>
                <w:color w:val="00FF00"/>
              </w:rPr>
              <w:sym w:font="Wingdings 2" w:char="F052"/>
            </w:r>
          </w:p>
        </w:tc>
        <w:tc>
          <w:tcPr>
            <w:tcW w:w="1575"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c>
          <w:tcPr>
            <w:tcW w:w="802"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c>
          <w:tcPr>
            <w:tcW w:w="1069"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r>
      <w:tr w:rsidR="00976F39" w:rsidRPr="0070645B" w:rsidTr="00996D6D">
        <w:trPr>
          <w:trHeight w:val="300"/>
        </w:trPr>
        <w:tc>
          <w:tcPr>
            <w:tcW w:w="705" w:type="pct"/>
            <w:shd w:val="clear" w:color="auto" w:fill="auto"/>
            <w:noWrap/>
            <w:vAlign w:val="bottom"/>
            <w:hideMark/>
          </w:tcPr>
          <w:p w:rsidR="0069787D" w:rsidRPr="0070645B" w:rsidRDefault="0069787D" w:rsidP="00D051CF">
            <w:pPr>
              <w:spacing w:after="0" w:line="240" w:lineRule="auto"/>
              <w:jc w:val="center"/>
              <w:rPr>
                <w:rFonts w:ascii="Times New Roman" w:eastAsia="Times New Roman" w:hAnsi="Times New Roman" w:cs="Times New Roman"/>
              </w:rPr>
            </w:pPr>
            <w:r w:rsidRPr="0070645B">
              <w:rPr>
                <w:rFonts w:ascii="Times New Roman" w:eastAsia="Times New Roman" w:hAnsi="Times New Roman" w:cs="Times New Roman"/>
              </w:rPr>
              <w:t>Fe-Ti</w:t>
            </w:r>
          </w:p>
        </w:tc>
        <w:tc>
          <w:tcPr>
            <w:tcW w:w="848" w:type="pct"/>
            <w:shd w:val="clear" w:color="auto" w:fill="auto"/>
            <w:noWrap/>
            <w:vAlign w:val="bottom"/>
            <w:hideMark/>
          </w:tcPr>
          <w:p w:rsidR="0069787D" w:rsidRPr="0070645B" w:rsidRDefault="00996D6D" w:rsidP="00D051CF">
            <w:pPr>
              <w:spacing w:after="0" w:line="240" w:lineRule="auto"/>
              <w:jc w:val="center"/>
              <w:rPr>
                <w:rFonts w:ascii="Times New Roman" w:eastAsia="Times New Roman" w:hAnsi="Times New Roman" w:cs="Times New Roman"/>
              </w:rPr>
            </w:pPr>
            <w:r w:rsidRPr="00027F62">
              <w:rPr>
                <w:rFonts w:ascii="Times New Roman" w:hAnsi="Times New Roman" w:cs="Times New Roman"/>
                <w:color w:val="FF0000"/>
              </w:rPr>
              <w:sym w:font="Wingdings 2" w:char="F053"/>
            </w:r>
          </w:p>
        </w:tc>
        <w:tc>
          <w:tcPr>
            <w:tcW w:w="1575"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FF0000"/>
              </w:rPr>
              <w:sym w:font="Wingdings 2" w:char="F053"/>
            </w:r>
          </w:p>
        </w:tc>
        <w:tc>
          <w:tcPr>
            <w:tcW w:w="802"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c>
          <w:tcPr>
            <w:tcW w:w="1069"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FF0000"/>
              </w:rPr>
              <w:sym w:font="Wingdings 2" w:char="F053"/>
            </w:r>
          </w:p>
        </w:tc>
      </w:tr>
      <w:tr w:rsidR="00976F39" w:rsidRPr="0070645B" w:rsidTr="00996D6D">
        <w:trPr>
          <w:trHeight w:val="300"/>
        </w:trPr>
        <w:tc>
          <w:tcPr>
            <w:tcW w:w="705" w:type="pct"/>
            <w:shd w:val="clear" w:color="auto" w:fill="auto"/>
            <w:noWrap/>
            <w:vAlign w:val="bottom"/>
            <w:hideMark/>
          </w:tcPr>
          <w:p w:rsidR="0069787D" w:rsidRPr="0070645B" w:rsidRDefault="0069787D" w:rsidP="00D051CF">
            <w:pPr>
              <w:spacing w:after="0" w:line="240" w:lineRule="auto"/>
              <w:jc w:val="center"/>
              <w:rPr>
                <w:rFonts w:ascii="Times New Roman" w:eastAsia="Times New Roman" w:hAnsi="Times New Roman" w:cs="Times New Roman"/>
              </w:rPr>
            </w:pPr>
            <w:r w:rsidRPr="0070645B">
              <w:rPr>
                <w:rFonts w:ascii="Times New Roman" w:eastAsia="Times New Roman" w:hAnsi="Times New Roman" w:cs="Times New Roman"/>
              </w:rPr>
              <w:t>Fe-V</w:t>
            </w:r>
          </w:p>
        </w:tc>
        <w:tc>
          <w:tcPr>
            <w:tcW w:w="848" w:type="pct"/>
            <w:shd w:val="clear" w:color="auto" w:fill="auto"/>
            <w:noWrap/>
            <w:vAlign w:val="bottom"/>
            <w:hideMark/>
          </w:tcPr>
          <w:p w:rsidR="0069787D" w:rsidRPr="0070645B" w:rsidRDefault="00996D6D" w:rsidP="00D051CF">
            <w:pPr>
              <w:spacing w:after="0" w:line="240" w:lineRule="auto"/>
              <w:jc w:val="center"/>
              <w:rPr>
                <w:rFonts w:ascii="Times New Roman" w:eastAsia="Times New Roman" w:hAnsi="Times New Roman" w:cs="Times New Roman"/>
              </w:rPr>
            </w:pPr>
            <w:r w:rsidRPr="00027F62">
              <w:rPr>
                <w:rFonts w:ascii="Times New Roman" w:hAnsi="Times New Roman" w:cs="Times New Roman"/>
                <w:color w:val="00FF00"/>
              </w:rPr>
              <w:sym w:font="Wingdings 2" w:char="F052"/>
            </w:r>
          </w:p>
        </w:tc>
        <w:tc>
          <w:tcPr>
            <w:tcW w:w="1575"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FF0000"/>
              </w:rPr>
              <w:sym w:font="Wingdings 2" w:char="F053"/>
            </w:r>
          </w:p>
        </w:tc>
        <w:tc>
          <w:tcPr>
            <w:tcW w:w="802"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FF0000"/>
              </w:rPr>
              <w:sym w:font="Wingdings 2" w:char="F053"/>
            </w:r>
          </w:p>
        </w:tc>
        <w:tc>
          <w:tcPr>
            <w:tcW w:w="1069"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FF0000"/>
              </w:rPr>
              <w:sym w:font="Wingdings 2" w:char="F053"/>
            </w:r>
          </w:p>
        </w:tc>
      </w:tr>
      <w:tr w:rsidR="0069787D" w:rsidRPr="0070645B" w:rsidTr="00996D6D">
        <w:trPr>
          <w:trHeight w:val="300"/>
        </w:trPr>
        <w:tc>
          <w:tcPr>
            <w:tcW w:w="705" w:type="pct"/>
            <w:shd w:val="clear" w:color="auto" w:fill="auto"/>
            <w:noWrap/>
            <w:vAlign w:val="bottom"/>
            <w:hideMark/>
          </w:tcPr>
          <w:p w:rsidR="0069787D" w:rsidRPr="0070645B" w:rsidRDefault="0069787D" w:rsidP="00D051CF">
            <w:pPr>
              <w:spacing w:after="0" w:line="240" w:lineRule="auto"/>
              <w:jc w:val="center"/>
              <w:rPr>
                <w:rFonts w:ascii="Times New Roman" w:eastAsia="Times New Roman" w:hAnsi="Times New Roman" w:cs="Times New Roman"/>
              </w:rPr>
            </w:pPr>
            <w:r w:rsidRPr="0070645B">
              <w:rPr>
                <w:rFonts w:ascii="Times New Roman" w:eastAsia="Times New Roman" w:hAnsi="Times New Roman" w:cs="Times New Roman"/>
              </w:rPr>
              <w:t>Si-Mn</w:t>
            </w:r>
          </w:p>
        </w:tc>
        <w:tc>
          <w:tcPr>
            <w:tcW w:w="848" w:type="pct"/>
            <w:shd w:val="clear" w:color="auto" w:fill="auto"/>
            <w:noWrap/>
            <w:vAlign w:val="bottom"/>
            <w:hideMark/>
          </w:tcPr>
          <w:p w:rsidR="0069787D" w:rsidRPr="0070645B" w:rsidRDefault="00996D6D" w:rsidP="00D051CF">
            <w:pPr>
              <w:spacing w:after="0" w:line="240" w:lineRule="auto"/>
              <w:jc w:val="center"/>
              <w:rPr>
                <w:rFonts w:ascii="Times New Roman" w:eastAsia="Times New Roman" w:hAnsi="Times New Roman" w:cs="Times New Roman"/>
              </w:rPr>
            </w:pPr>
            <w:r w:rsidRPr="00027F62">
              <w:rPr>
                <w:rFonts w:ascii="Times New Roman" w:hAnsi="Times New Roman" w:cs="Times New Roman"/>
                <w:color w:val="FF0000"/>
              </w:rPr>
              <w:sym w:font="Wingdings 2" w:char="F053"/>
            </w:r>
          </w:p>
        </w:tc>
        <w:tc>
          <w:tcPr>
            <w:tcW w:w="1575"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c>
          <w:tcPr>
            <w:tcW w:w="802"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FF0000"/>
              </w:rPr>
              <w:sym w:font="Wingdings 2" w:char="F053"/>
            </w:r>
          </w:p>
        </w:tc>
        <w:tc>
          <w:tcPr>
            <w:tcW w:w="1069" w:type="pct"/>
            <w:shd w:val="clear" w:color="auto" w:fill="auto"/>
            <w:noWrap/>
            <w:vAlign w:val="bottom"/>
          </w:tcPr>
          <w:p w:rsidR="0069787D" w:rsidRPr="00027F62" w:rsidRDefault="00027F62" w:rsidP="00D051CF">
            <w:pPr>
              <w:spacing w:after="0" w:line="240" w:lineRule="auto"/>
              <w:jc w:val="center"/>
              <w:rPr>
                <w:rFonts w:ascii="Times New Roman" w:eastAsia="Times New Roman" w:hAnsi="Times New Roman" w:cs="Times New Roman"/>
                <w:color w:val="00FF00"/>
              </w:rPr>
            </w:pPr>
            <w:r w:rsidRPr="00027F62">
              <w:rPr>
                <w:rFonts w:ascii="Times New Roman" w:hAnsi="Times New Roman" w:cs="Times New Roman"/>
                <w:color w:val="00FF00"/>
              </w:rPr>
              <w:sym w:font="Wingdings 2" w:char="F052"/>
            </w:r>
          </w:p>
        </w:tc>
      </w:tr>
    </w:tbl>
    <w:p w:rsidR="00D52865" w:rsidRPr="0070645B" w:rsidRDefault="00D52865" w:rsidP="0069787D">
      <w:pPr>
        <w:spacing w:after="0" w:line="360" w:lineRule="auto"/>
        <w:jc w:val="both"/>
        <w:rPr>
          <w:rFonts w:ascii="Times New Roman" w:hAnsi="Times New Roman" w:cs="Times New Roman"/>
        </w:rPr>
      </w:pPr>
    </w:p>
    <w:p w:rsidR="00C0581A" w:rsidRPr="0070645B" w:rsidRDefault="00C0581A" w:rsidP="00C0581A">
      <w:pPr>
        <w:spacing w:after="0" w:line="360" w:lineRule="auto"/>
        <w:ind w:firstLine="720"/>
        <w:jc w:val="both"/>
        <w:rPr>
          <w:rFonts w:ascii="Times New Roman" w:hAnsi="Times New Roman"/>
        </w:rPr>
      </w:pPr>
      <w:r w:rsidRPr="0070645B">
        <w:rPr>
          <w:rFonts w:ascii="Times New Roman" w:hAnsi="Times New Roman" w:cs="Times New Roman"/>
        </w:rPr>
        <w:t xml:space="preserve">Apart from the study by </w:t>
      </w:r>
      <w:r w:rsidRPr="0070645B">
        <w:rPr>
          <w:rFonts w:ascii="Times New Roman" w:hAnsi="Times New Roman" w:cs="Times New Roman"/>
          <w:noProof/>
        </w:rPr>
        <w:t>(Haque &amp; Norgate 2013)</w:t>
      </w:r>
      <w:r w:rsidRPr="0070645B">
        <w:rPr>
          <w:rFonts w:ascii="Times New Roman" w:hAnsi="Times New Roman" w:cs="Times New Roman"/>
        </w:rPr>
        <w:t xml:space="preserve"> which was the primary data source,</w:t>
      </w:r>
      <w:r w:rsidRPr="0070645B">
        <w:rPr>
          <w:rFonts w:ascii="Times New Roman" w:hAnsi="Times New Roman"/>
        </w:rPr>
        <w:t xml:space="preserve"> quantitative data to use to create ferro-alloy models was limited in journal publications. The study from </w:t>
      </w:r>
      <w:r w:rsidRPr="0070645B">
        <w:rPr>
          <w:rFonts w:ascii="Times New Roman" w:hAnsi="Times New Roman"/>
          <w:noProof/>
        </w:rPr>
        <w:t>(Norgate et al. 2007)</w:t>
      </w:r>
      <w:r w:rsidRPr="0070645B">
        <w:rPr>
          <w:rFonts w:ascii="Times New Roman" w:hAnsi="Times New Roman"/>
        </w:rPr>
        <w:t xml:space="preserve"> did possess data for Fe-Cr and Fe-Ni, however apart from the modelling procedure not being detailed enough, it lacked specific information particularly with the production routes to be utilised.</w:t>
      </w:r>
    </w:p>
    <w:p w:rsidR="007F51A8" w:rsidRPr="0070645B" w:rsidRDefault="000C14DF" w:rsidP="00C0581A">
      <w:pPr>
        <w:spacing w:after="0" w:line="360" w:lineRule="auto"/>
        <w:ind w:firstLine="720"/>
        <w:jc w:val="both"/>
        <w:rPr>
          <w:rFonts w:ascii="Times New Roman" w:hAnsi="Times New Roman"/>
        </w:rPr>
      </w:pPr>
      <w:r w:rsidRPr="0070645B">
        <w:rPr>
          <w:rFonts w:ascii="Times New Roman" w:hAnsi="Times New Roman"/>
        </w:rPr>
        <w:t xml:space="preserve">Aside from journal publications, </w:t>
      </w:r>
      <w:r w:rsidR="00F45914" w:rsidRPr="0070645B">
        <w:rPr>
          <w:rFonts w:ascii="Times New Roman" w:hAnsi="Times New Roman"/>
        </w:rPr>
        <w:t>quantitative data in the form of</w:t>
      </w:r>
      <w:r w:rsidRPr="0070645B">
        <w:rPr>
          <w:rFonts w:ascii="Times New Roman" w:hAnsi="Times New Roman"/>
        </w:rPr>
        <w:t xml:space="preserve"> environmental impacts of</w:t>
      </w:r>
      <w:r w:rsidR="00F45914" w:rsidRPr="0070645B">
        <w:rPr>
          <w:rFonts w:ascii="Times New Roman" w:hAnsi="Times New Roman"/>
        </w:rPr>
        <w:t xml:space="preserve"> </w:t>
      </w:r>
      <w:r w:rsidR="00C0581A" w:rsidRPr="0070645B">
        <w:rPr>
          <w:rFonts w:ascii="Times New Roman" w:hAnsi="Times New Roman"/>
        </w:rPr>
        <w:t>metals production processes was</w:t>
      </w:r>
      <w:r w:rsidRPr="0070645B">
        <w:rPr>
          <w:rFonts w:ascii="Times New Roman" w:hAnsi="Times New Roman"/>
        </w:rPr>
        <w:t xml:space="preserve"> also</w:t>
      </w:r>
      <w:r w:rsidR="00F45914" w:rsidRPr="0070645B">
        <w:rPr>
          <w:rFonts w:ascii="Times New Roman" w:hAnsi="Times New Roman"/>
        </w:rPr>
        <w:t xml:space="preserve"> available from several </w:t>
      </w:r>
      <w:r w:rsidR="00C0581A" w:rsidRPr="0070645B">
        <w:rPr>
          <w:rFonts w:ascii="Times New Roman" w:hAnsi="Times New Roman"/>
        </w:rPr>
        <w:t>LCI</w:t>
      </w:r>
      <w:r w:rsidRPr="0070645B">
        <w:rPr>
          <w:rFonts w:ascii="Times New Roman" w:hAnsi="Times New Roman"/>
        </w:rPr>
        <w:t xml:space="preserve"> databases</w:t>
      </w:r>
      <w:r w:rsidR="00F45914" w:rsidRPr="0070645B">
        <w:rPr>
          <w:rFonts w:ascii="Times New Roman" w:hAnsi="Times New Roman"/>
        </w:rPr>
        <w:t xml:space="preserve"> as</w:t>
      </w:r>
      <w:r w:rsidR="00C0581A" w:rsidRPr="0070645B">
        <w:rPr>
          <w:rFonts w:ascii="Times New Roman" w:hAnsi="Times New Roman"/>
        </w:rPr>
        <w:t xml:space="preserve"> shown by the following list.</w:t>
      </w:r>
    </w:p>
    <w:p w:rsidR="000C14DF" w:rsidRPr="0070645B" w:rsidRDefault="000C14DF" w:rsidP="00EE7761">
      <w:pPr>
        <w:pStyle w:val="ListParagraph"/>
        <w:numPr>
          <w:ilvl w:val="0"/>
          <w:numId w:val="12"/>
        </w:numPr>
        <w:spacing w:after="0" w:line="360" w:lineRule="auto"/>
        <w:jc w:val="both"/>
        <w:rPr>
          <w:rFonts w:ascii="Times New Roman" w:hAnsi="Times New Roman"/>
        </w:rPr>
      </w:pPr>
      <w:r w:rsidRPr="0070645B">
        <w:rPr>
          <w:rFonts w:ascii="Times New Roman" w:hAnsi="Times New Roman"/>
        </w:rPr>
        <w:lastRenderedPageBreak/>
        <w:t>Eco</w:t>
      </w:r>
      <w:r w:rsidR="002D360B" w:rsidRPr="0070645B">
        <w:rPr>
          <w:rFonts w:ascii="Times New Roman" w:hAnsi="Times New Roman"/>
        </w:rPr>
        <w:t>-</w:t>
      </w:r>
      <w:r w:rsidRPr="0070645B">
        <w:rPr>
          <w:rFonts w:ascii="Times New Roman" w:hAnsi="Times New Roman"/>
        </w:rPr>
        <w:t>invent</w:t>
      </w:r>
      <w:r w:rsidR="002D360B" w:rsidRPr="0070645B">
        <w:rPr>
          <w:rFonts w:ascii="Times New Roman" w:hAnsi="Times New Roman"/>
        </w:rPr>
        <w:t xml:space="preserve"> (2010),</w:t>
      </w:r>
      <w:r w:rsidRPr="0070645B">
        <w:rPr>
          <w:rFonts w:ascii="Times New Roman" w:hAnsi="Times New Roman"/>
        </w:rPr>
        <w:t xml:space="preserve"> </w:t>
      </w:r>
      <w:r w:rsidR="002D360B" w:rsidRPr="0070645B">
        <w:rPr>
          <w:rFonts w:ascii="Times New Roman" w:hAnsi="Times New Roman"/>
        </w:rPr>
        <w:t>life cycle i</w:t>
      </w:r>
      <w:r w:rsidRPr="0070645B">
        <w:rPr>
          <w:rFonts w:ascii="Times New Roman" w:hAnsi="Times New Roman"/>
        </w:rPr>
        <w:t>nventory database.</w:t>
      </w:r>
    </w:p>
    <w:p w:rsidR="000C14DF" w:rsidRPr="0070645B" w:rsidRDefault="000C14DF" w:rsidP="00EE7761">
      <w:pPr>
        <w:pStyle w:val="ListParagraph"/>
        <w:numPr>
          <w:ilvl w:val="0"/>
          <w:numId w:val="12"/>
        </w:numPr>
        <w:spacing w:after="0" w:line="360" w:lineRule="auto"/>
        <w:jc w:val="both"/>
        <w:rPr>
          <w:rFonts w:ascii="Times New Roman" w:hAnsi="Times New Roman"/>
        </w:rPr>
      </w:pPr>
      <w:r w:rsidRPr="0070645B">
        <w:rPr>
          <w:rFonts w:ascii="Times New Roman" w:hAnsi="Times New Roman"/>
        </w:rPr>
        <w:t>European Commission</w:t>
      </w:r>
      <w:r w:rsidR="002D360B" w:rsidRPr="0070645B">
        <w:rPr>
          <w:rFonts w:ascii="Times New Roman" w:hAnsi="Times New Roman"/>
        </w:rPr>
        <w:t xml:space="preserve"> (2011),</w:t>
      </w:r>
      <w:r w:rsidRPr="0070645B">
        <w:rPr>
          <w:rFonts w:ascii="Times New Roman" w:hAnsi="Times New Roman"/>
        </w:rPr>
        <w:t xml:space="preserve"> ELCD core database version.</w:t>
      </w:r>
    </w:p>
    <w:p w:rsidR="000C14DF" w:rsidRPr="0070645B" w:rsidRDefault="000C14DF" w:rsidP="00EE7761">
      <w:pPr>
        <w:pStyle w:val="ListParagraph"/>
        <w:numPr>
          <w:ilvl w:val="0"/>
          <w:numId w:val="12"/>
        </w:numPr>
        <w:spacing w:after="0" w:line="360" w:lineRule="auto"/>
        <w:jc w:val="both"/>
        <w:rPr>
          <w:rFonts w:ascii="Times New Roman" w:hAnsi="Times New Roman"/>
        </w:rPr>
      </w:pPr>
      <w:r w:rsidRPr="0070645B">
        <w:rPr>
          <w:rFonts w:ascii="Times New Roman" w:hAnsi="Times New Roman"/>
        </w:rPr>
        <w:t>TU Delft</w:t>
      </w:r>
      <w:r w:rsidR="002D360B" w:rsidRPr="0070645B">
        <w:rPr>
          <w:rFonts w:ascii="Times New Roman" w:hAnsi="Times New Roman"/>
        </w:rPr>
        <w:t xml:space="preserve"> (2001), </w:t>
      </w:r>
      <w:proofErr w:type="spellStart"/>
      <w:r w:rsidR="002D360B" w:rsidRPr="0070645B">
        <w:rPr>
          <w:rFonts w:ascii="Times New Roman" w:hAnsi="Times New Roman"/>
        </w:rPr>
        <w:t>IdEMAT</w:t>
      </w:r>
      <w:proofErr w:type="spellEnd"/>
      <w:r w:rsidR="002D360B" w:rsidRPr="0070645B">
        <w:rPr>
          <w:rFonts w:ascii="Times New Roman" w:hAnsi="Times New Roman"/>
        </w:rPr>
        <w:t xml:space="preserve"> life cycle inventory d</w:t>
      </w:r>
      <w:r w:rsidRPr="0070645B">
        <w:rPr>
          <w:rFonts w:ascii="Times New Roman" w:hAnsi="Times New Roman"/>
        </w:rPr>
        <w:t>atabase.</w:t>
      </w:r>
    </w:p>
    <w:p w:rsidR="000C14DF" w:rsidRPr="0070645B" w:rsidRDefault="000C14DF" w:rsidP="00EE7761">
      <w:pPr>
        <w:pStyle w:val="ListParagraph"/>
        <w:numPr>
          <w:ilvl w:val="0"/>
          <w:numId w:val="12"/>
        </w:numPr>
        <w:spacing w:after="0" w:line="360" w:lineRule="auto"/>
        <w:jc w:val="both"/>
        <w:rPr>
          <w:rFonts w:ascii="Times New Roman" w:hAnsi="Times New Roman"/>
        </w:rPr>
      </w:pPr>
      <w:r w:rsidRPr="0070645B">
        <w:rPr>
          <w:rFonts w:ascii="Times New Roman" w:hAnsi="Times New Roman"/>
        </w:rPr>
        <w:t xml:space="preserve">UBA, </w:t>
      </w:r>
      <w:r w:rsidR="002D360B" w:rsidRPr="0070645B">
        <w:rPr>
          <w:rFonts w:ascii="Times New Roman" w:hAnsi="Times New Roman"/>
        </w:rPr>
        <w:t>ProBas (2010),</w:t>
      </w:r>
      <w:r w:rsidRPr="0070645B">
        <w:rPr>
          <w:rFonts w:ascii="Times New Roman" w:hAnsi="Times New Roman"/>
        </w:rPr>
        <w:t xml:space="preserve"> </w:t>
      </w:r>
      <w:r w:rsidR="002D360B" w:rsidRPr="0070645B">
        <w:rPr>
          <w:rFonts w:ascii="Times New Roman" w:hAnsi="Times New Roman"/>
        </w:rPr>
        <w:t>life cycle inventory database.</w:t>
      </w:r>
    </w:p>
    <w:p w:rsidR="002D360B" w:rsidRPr="0070645B" w:rsidRDefault="002D360B" w:rsidP="00EE7761">
      <w:pPr>
        <w:pStyle w:val="ListParagraph"/>
        <w:numPr>
          <w:ilvl w:val="0"/>
          <w:numId w:val="12"/>
        </w:numPr>
        <w:spacing w:after="0" w:line="360" w:lineRule="auto"/>
        <w:jc w:val="both"/>
        <w:rPr>
          <w:rFonts w:ascii="Times New Roman" w:hAnsi="Times New Roman"/>
        </w:rPr>
      </w:pPr>
      <w:r w:rsidRPr="0070645B">
        <w:rPr>
          <w:rFonts w:ascii="Times New Roman" w:hAnsi="Times New Roman"/>
        </w:rPr>
        <w:t xml:space="preserve">PE International (2012) </w:t>
      </w:r>
      <w:r w:rsidR="004D2D91" w:rsidRPr="0070645B">
        <w:rPr>
          <w:rFonts w:ascii="Times New Roman" w:hAnsi="Times New Roman"/>
        </w:rPr>
        <w:t>GaBi</w:t>
      </w:r>
      <w:r w:rsidRPr="0070645B">
        <w:rPr>
          <w:rFonts w:ascii="Times New Roman" w:hAnsi="Times New Roman"/>
        </w:rPr>
        <w:t xml:space="preserve"> 6 life cycle inventory database.</w:t>
      </w:r>
    </w:p>
    <w:p w:rsidR="00C0581A" w:rsidRPr="0070645B" w:rsidRDefault="00C0581A" w:rsidP="00C0581A">
      <w:pPr>
        <w:spacing w:after="0" w:line="360" w:lineRule="auto"/>
        <w:ind w:firstLine="720"/>
        <w:contextualSpacing/>
        <w:jc w:val="both"/>
        <w:rPr>
          <w:rFonts w:ascii="Times New Roman" w:hAnsi="Times New Roman"/>
        </w:rPr>
      </w:pPr>
    </w:p>
    <w:p w:rsidR="008661A6" w:rsidRPr="0070645B" w:rsidRDefault="00AE1F1B" w:rsidP="00C0581A">
      <w:pPr>
        <w:spacing w:after="0" w:line="360" w:lineRule="auto"/>
        <w:ind w:firstLine="720"/>
        <w:contextualSpacing/>
        <w:jc w:val="both"/>
        <w:rPr>
          <w:rFonts w:ascii="Times New Roman" w:hAnsi="Times New Roman"/>
        </w:rPr>
      </w:pPr>
      <w:r w:rsidRPr="0070645B">
        <w:rPr>
          <w:rFonts w:ascii="Times New Roman" w:hAnsi="Times New Roman"/>
        </w:rPr>
        <w:t>Ho</w:t>
      </w:r>
      <w:r w:rsidR="00E836EC" w:rsidRPr="0070645B">
        <w:rPr>
          <w:rFonts w:ascii="Times New Roman" w:hAnsi="Times New Roman"/>
        </w:rPr>
        <w:t>wever access to the databases was</w:t>
      </w:r>
      <w:r w:rsidRPr="0070645B">
        <w:rPr>
          <w:rFonts w:ascii="Times New Roman" w:hAnsi="Times New Roman"/>
        </w:rPr>
        <w:t xml:space="preserve"> th</w:t>
      </w:r>
      <w:r w:rsidR="001E18F6">
        <w:rPr>
          <w:rFonts w:ascii="Times New Roman" w:hAnsi="Times New Roman"/>
        </w:rPr>
        <w:t>r</w:t>
      </w:r>
      <w:r w:rsidRPr="0070645B">
        <w:rPr>
          <w:rFonts w:ascii="Times New Roman" w:hAnsi="Times New Roman"/>
        </w:rPr>
        <w:t xml:space="preserve">ough purchase of specific licenses and as highlighted by </w:t>
      </w:r>
      <w:r w:rsidR="00A6415F" w:rsidRPr="0070645B">
        <w:fldChar w:fldCharType="begin"/>
      </w:r>
      <w:r w:rsidR="00A6415F" w:rsidRPr="0070645B">
        <w:instrText xml:space="preserve"> REF _Ref475061994 \h  \* MERGEFORMAT </w:instrText>
      </w:r>
      <w:r w:rsidR="00A6415F" w:rsidRPr="0070645B">
        <w:fldChar w:fldCharType="separate"/>
      </w:r>
      <w:r w:rsidR="009F5483" w:rsidRPr="009F5483">
        <w:rPr>
          <w:rStyle w:val="TablesChar"/>
          <w:color w:val="auto"/>
        </w:rPr>
        <w:t>Table 6</w:t>
      </w:r>
      <w:r w:rsidR="00A6415F" w:rsidRPr="0070645B">
        <w:fldChar w:fldCharType="end"/>
      </w:r>
      <w:r w:rsidR="00C0581A" w:rsidRPr="0070645B">
        <w:rPr>
          <w:rFonts w:ascii="Times New Roman" w:hAnsi="Times New Roman"/>
        </w:rPr>
        <w:t xml:space="preserve"> </w:t>
      </w:r>
      <w:r w:rsidRPr="0070645B">
        <w:rPr>
          <w:rFonts w:ascii="Times New Roman" w:hAnsi="Times New Roman"/>
        </w:rPr>
        <w:t>even with the purchase of a software program, the specific ferro-alloy</w:t>
      </w:r>
      <w:r w:rsidR="004E1F45" w:rsidRPr="0070645B">
        <w:rPr>
          <w:rFonts w:ascii="Times New Roman" w:hAnsi="Times New Roman"/>
        </w:rPr>
        <w:t>s</w:t>
      </w:r>
      <w:r w:rsidRPr="0070645B">
        <w:rPr>
          <w:rFonts w:ascii="Times New Roman" w:hAnsi="Times New Roman"/>
        </w:rPr>
        <w:t xml:space="preserve"> may</w:t>
      </w:r>
      <w:r w:rsidR="004E1F45" w:rsidRPr="0070645B">
        <w:rPr>
          <w:rFonts w:ascii="Times New Roman" w:hAnsi="Times New Roman"/>
        </w:rPr>
        <w:t xml:space="preserve"> still</w:t>
      </w:r>
      <w:r w:rsidRPr="0070645B">
        <w:rPr>
          <w:rFonts w:ascii="Times New Roman" w:hAnsi="Times New Roman"/>
        </w:rPr>
        <w:t xml:space="preserve"> not be present and neither the inpu</w:t>
      </w:r>
      <w:r w:rsidR="004E1F45" w:rsidRPr="0070645B">
        <w:rPr>
          <w:rFonts w:ascii="Times New Roman" w:hAnsi="Times New Roman"/>
        </w:rPr>
        <w:t>t processes which to create complete</w:t>
      </w:r>
      <w:r w:rsidRPr="0070645B">
        <w:rPr>
          <w:rFonts w:ascii="Times New Roman" w:hAnsi="Times New Roman"/>
        </w:rPr>
        <w:t xml:space="preserve"> ferro-alloy processes. In addition</w:t>
      </w:r>
      <w:r w:rsidR="004E1F45" w:rsidRPr="0070645B">
        <w:rPr>
          <w:rFonts w:ascii="Times New Roman" w:hAnsi="Times New Roman"/>
        </w:rPr>
        <w:t>,</w:t>
      </w:r>
      <w:r w:rsidR="007B0FD8" w:rsidRPr="0070645B">
        <w:rPr>
          <w:rFonts w:ascii="Times New Roman" w:hAnsi="Times New Roman"/>
        </w:rPr>
        <w:t xml:space="preserve"> several of these LCI databases report data in aggregated form (e.g. pre-allocation, co-production) thus making robust comparisons difficult. LCI datasets are </w:t>
      </w:r>
      <w:r w:rsidR="00EC55FF" w:rsidRPr="0070645B">
        <w:rPr>
          <w:rFonts w:ascii="Times New Roman" w:hAnsi="Times New Roman"/>
        </w:rPr>
        <w:t>not all the time</w:t>
      </w:r>
      <w:r w:rsidR="007B0FD8" w:rsidRPr="0070645B">
        <w:rPr>
          <w:rFonts w:ascii="Times New Roman" w:hAnsi="Times New Roman"/>
        </w:rPr>
        <w:t xml:space="preserve"> representative of global metals production routes</w:t>
      </w:r>
      <w:r w:rsidR="00EC55FF" w:rsidRPr="0070645B">
        <w:rPr>
          <w:rFonts w:ascii="Times New Roman" w:hAnsi="Times New Roman"/>
        </w:rPr>
        <w:t xml:space="preserve"> or the mineral form and maybe out of data if </w:t>
      </w:r>
      <w:r w:rsidR="007F51A8" w:rsidRPr="0070645B">
        <w:rPr>
          <w:rFonts w:ascii="Times New Roman" w:hAnsi="Times New Roman"/>
        </w:rPr>
        <w:t>representing older technologies.</w:t>
      </w:r>
      <w:r w:rsidR="00FE1EA5" w:rsidRPr="0070645B">
        <w:rPr>
          <w:rFonts w:ascii="Times New Roman" w:hAnsi="Times New Roman"/>
        </w:rPr>
        <w:t xml:space="preserve"> Nonetheless from the LCI databases, Sima</w:t>
      </w:r>
      <w:r w:rsidR="00C0581A" w:rsidRPr="0070645B">
        <w:rPr>
          <w:rFonts w:ascii="Times New Roman" w:hAnsi="Times New Roman"/>
        </w:rPr>
        <w:t>P</w:t>
      </w:r>
      <w:r w:rsidR="00FE1EA5" w:rsidRPr="0070645B">
        <w:rPr>
          <w:rFonts w:ascii="Times New Roman" w:hAnsi="Times New Roman"/>
        </w:rPr>
        <w:t>ro software program</w:t>
      </w:r>
      <w:r w:rsidR="00755C43" w:rsidRPr="0070645B">
        <w:rPr>
          <w:rFonts w:ascii="Times New Roman" w:hAnsi="Times New Roman"/>
        </w:rPr>
        <w:t xml:space="preserve"> using Eco-invent LCI database was predominantly used in the literature reviewed.</w:t>
      </w:r>
      <w:r w:rsidR="00FE1EA5" w:rsidRPr="0070645B">
        <w:rPr>
          <w:rFonts w:ascii="Times New Roman" w:hAnsi="Times New Roman"/>
        </w:rPr>
        <w:t xml:space="preserve"> </w:t>
      </w:r>
    </w:p>
    <w:p w:rsidR="00C32EEC" w:rsidRPr="0070645B" w:rsidRDefault="005C0AF2" w:rsidP="00C0581A">
      <w:pPr>
        <w:spacing w:after="0" w:line="360" w:lineRule="auto"/>
        <w:ind w:firstLine="720"/>
        <w:contextualSpacing/>
        <w:jc w:val="both"/>
        <w:rPr>
          <w:rFonts w:ascii="Times New Roman" w:hAnsi="Times New Roman"/>
        </w:rPr>
      </w:pPr>
      <w:r w:rsidRPr="0070645B">
        <w:rPr>
          <w:rFonts w:ascii="Times New Roman" w:hAnsi="Times New Roman"/>
        </w:rPr>
        <w:t>With regards to data from company sustai</w:t>
      </w:r>
      <w:r w:rsidR="00E836EC" w:rsidRPr="0070645B">
        <w:rPr>
          <w:rFonts w:ascii="Times New Roman" w:hAnsi="Times New Roman"/>
        </w:rPr>
        <w:t>nability reports,</w:t>
      </w:r>
      <w:r w:rsidR="00E83976" w:rsidRPr="0070645B">
        <w:rPr>
          <w:rFonts w:ascii="Times New Roman" w:hAnsi="Times New Roman"/>
        </w:rPr>
        <w:t xml:space="preserve"> yearly publications by </w:t>
      </w:r>
      <w:r w:rsidR="00E83976" w:rsidRPr="0070645B">
        <w:rPr>
          <w:rFonts w:ascii="Times New Roman" w:hAnsi="Times New Roman"/>
          <w:noProof/>
        </w:rPr>
        <w:t>(The Society of Motor Manufacturers and Traders Limited 2015)</w:t>
      </w:r>
      <w:r w:rsidR="00E836EC" w:rsidRPr="0070645B">
        <w:rPr>
          <w:rFonts w:ascii="Times New Roman" w:hAnsi="Times New Roman"/>
        </w:rPr>
        <w:t xml:space="preserve"> </w:t>
      </w:r>
      <w:r w:rsidR="000851A5" w:rsidRPr="0070645B">
        <w:rPr>
          <w:rFonts w:ascii="Times New Roman" w:hAnsi="Times New Roman"/>
        </w:rPr>
        <w:t>are</w:t>
      </w:r>
      <w:r w:rsidR="00E83976" w:rsidRPr="0070645B">
        <w:rPr>
          <w:rFonts w:ascii="Times New Roman" w:hAnsi="Times New Roman"/>
        </w:rPr>
        <w:t xml:space="preserve"> factually very informative focussing on</w:t>
      </w:r>
      <w:r w:rsidR="000851A5" w:rsidRPr="0070645B">
        <w:rPr>
          <w:rFonts w:ascii="Times New Roman" w:hAnsi="Times New Roman"/>
        </w:rPr>
        <w:t xml:space="preserve"> issues such as automotive supply chain, economic performance, environmental performance and vehicle emissions. Supported by </w:t>
      </w:r>
      <w:r w:rsidR="00E83976" w:rsidRPr="0070645B">
        <w:rPr>
          <w:rFonts w:ascii="Times New Roman" w:hAnsi="Times New Roman"/>
        </w:rPr>
        <w:t>25 automotive brands</w:t>
      </w:r>
      <w:r w:rsidR="000851A5" w:rsidRPr="0070645B">
        <w:rPr>
          <w:rFonts w:ascii="Times New Roman" w:hAnsi="Times New Roman"/>
        </w:rPr>
        <w:t>, including, BMW, JLR, Honda and Nissan, who</w:t>
      </w:r>
      <w:r w:rsidR="00E83976" w:rsidRPr="0070645B">
        <w:rPr>
          <w:rFonts w:ascii="Times New Roman" w:hAnsi="Times New Roman"/>
        </w:rPr>
        <w:t xml:space="preserve"> a</w:t>
      </w:r>
      <w:r w:rsidR="000851A5" w:rsidRPr="0070645B">
        <w:rPr>
          <w:rFonts w:ascii="Times New Roman" w:hAnsi="Times New Roman"/>
        </w:rPr>
        <w:t>re signatories to the</w:t>
      </w:r>
      <w:r w:rsidR="00E83976" w:rsidRPr="0070645B">
        <w:rPr>
          <w:rFonts w:ascii="Times New Roman" w:hAnsi="Times New Roman"/>
        </w:rPr>
        <w:t xml:space="preserve"> report</w:t>
      </w:r>
      <w:r w:rsidR="000851A5" w:rsidRPr="0070645B">
        <w:rPr>
          <w:rFonts w:ascii="Times New Roman" w:hAnsi="Times New Roman"/>
        </w:rPr>
        <w:t xml:space="preserve"> it is important. Yet report</w:t>
      </w:r>
      <w:r w:rsidR="004F3F12">
        <w:rPr>
          <w:rFonts w:ascii="Times New Roman" w:hAnsi="Times New Roman"/>
        </w:rPr>
        <w:t>s</w:t>
      </w:r>
      <w:r w:rsidR="000851A5" w:rsidRPr="0070645B">
        <w:rPr>
          <w:rFonts w:ascii="Times New Roman" w:hAnsi="Times New Roman"/>
        </w:rPr>
        <w:t xml:space="preserve"> like these as well as individual company sustainability reports, reveal </w:t>
      </w:r>
      <w:r w:rsidR="00642551" w:rsidRPr="0070645B">
        <w:rPr>
          <w:rFonts w:ascii="Times New Roman" w:hAnsi="Times New Roman"/>
        </w:rPr>
        <w:t>very little in terms of LCI data</w:t>
      </w:r>
      <w:r w:rsidR="004F3F12">
        <w:rPr>
          <w:rFonts w:ascii="Times New Roman" w:hAnsi="Times New Roman"/>
        </w:rPr>
        <w:t xml:space="preserve"> which</w:t>
      </w:r>
      <w:r w:rsidR="00D97789" w:rsidRPr="0070645B">
        <w:rPr>
          <w:rFonts w:ascii="Times New Roman" w:hAnsi="Times New Roman"/>
        </w:rPr>
        <w:t xml:space="preserve"> is actually released or the results presented in such a way that it is difficult to validate.</w:t>
      </w:r>
      <w:r w:rsidR="00606D94" w:rsidRPr="0070645B">
        <w:rPr>
          <w:rFonts w:ascii="Times New Roman" w:hAnsi="Times New Roman"/>
        </w:rPr>
        <w:t xml:space="preserve"> One exception </w:t>
      </w:r>
      <w:r w:rsidRPr="0070645B">
        <w:rPr>
          <w:rFonts w:ascii="Times New Roman" w:hAnsi="Times New Roman"/>
        </w:rPr>
        <w:t>being the collaborative report produced by</w:t>
      </w:r>
      <w:r w:rsidR="00C357DF" w:rsidRPr="0070645B">
        <w:rPr>
          <w:rFonts w:ascii="Times New Roman" w:hAnsi="Times New Roman"/>
        </w:rPr>
        <w:t xml:space="preserve"> </w:t>
      </w:r>
      <w:r w:rsidR="00C357DF" w:rsidRPr="0070645B">
        <w:rPr>
          <w:rFonts w:ascii="Times New Roman" w:hAnsi="Times New Roman"/>
          <w:noProof/>
        </w:rPr>
        <w:t>(Hatch 2014)</w:t>
      </w:r>
      <w:r w:rsidRPr="0070645B">
        <w:rPr>
          <w:rFonts w:ascii="Times New Roman" w:hAnsi="Times New Roman"/>
        </w:rPr>
        <w:t xml:space="preserve"> </w:t>
      </w:r>
      <w:r w:rsidR="00C0581A" w:rsidRPr="0070645B">
        <w:rPr>
          <w:rFonts w:ascii="Times New Roman" w:hAnsi="Times New Roman"/>
        </w:rPr>
        <w:t>on global manganese</w:t>
      </w:r>
      <w:r w:rsidRPr="0070645B">
        <w:rPr>
          <w:rFonts w:ascii="Times New Roman" w:hAnsi="Times New Roman"/>
        </w:rPr>
        <w:t xml:space="preserve"> alloy production from an LCA viewpoint.</w:t>
      </w:r>
      <w:r w:rsidR="00EB0385" w:rsidRPr="0070645B">
        <w:rPr>
          <w:rFonts w:ascii="Times New Roman" w:hAnsi="Times New Roman"/>
        </w:rPr>
        <w:t xml:space="preserve"> </w:t>
      </w:r>
    </w:p>
    <w:p w:rsidR="00C0581A" w:rsidRPr="0070645B" w:rsidRDefault="00EB0385" w:rsidP="00C0581A">
      <w:pPr>
        <w:spacing w:after="0" w:line="360" w:lineRule="auto"/>
        <w:ind w:firstLine="720"/>
        <w:contextualSpacing/>
        <w:jc w:val="both"/>
        <w:rPr>
          <w:rFonts w:ascii="Times New Roman" w:hAnsi="Times New Roman"/>
        </w:rPr>
      </w:pPr>
      <w:r w:rsidRPr="0070645B">
        <w:rPr>
          <w:rFonts w:ascii="Times New Roman" w:hAnsi="Times New Roman"/>
        </w:rPr>
        <w:t>The</w:t>
      </w:r>
      <w:r w:rsidR="00C32EEC" w:rsidRPr="0070645B">
        <w:rPr>
          <w:rFonts w:ascii="Times New Roman" w:hAnsi="Times New Roman"/>
        </w:rPr>
        <w:t xml:space="preserve"> Hatch</w:t>
      </w:r>
      <w:r w:rsidRPr="0070645B">
        <w:rPr>
          <w:rFonts w:ascii="Times New Roman" w:hAnsi="Times New Roman"/>
        </w:rPr>
        <w:t xml:space="preserve"> report was produced via data from 16 mines and smelters for the year 201</w:t>
      </w:r>
      <w:r w:rsidR="00C0581A" w:rsidRPr="0070645B">
        <w:rPr>
          <w:rFonts w:ascii="Times New Roman" w:hAnsi="Times New Roman"/>
        </w:rPr>
        <w:t>0, representing 26% of global manganese extraction and 8% of global manganese</w:t>
      </w:r>
      <w:r w:rsidRPr="0070645B">
        <w:rPr>
          <w:rFonts w:ascii="Times New Roman" w:hAnsi="Times New Roman"/>
        </w:rPr>
        <w:t xml:space="preserve"> alloy production.</w:t>
      </w:r>
      <w:r w:rsidR="000B5B4D" w:rsidRPr="0070645B">
        <w:rPr>
          <w:rFonts w:ascii="Times New Roman" w:hAnsi="Times New Roman"/>
        </w:rPr>
        <w:t xml:space="preserve"> However this type of report is</w:t>
      </w:r>
      <w:r w:rsidR="004F63A0" w:rsidRPr="0070645B">
        <w:rPr>
          <w:rFonts w:ascii="Times New Roman" w:hAnsi="Times New Roman"/>
        </w:rPr>
        <w:t xml:space="preserve"> in the minority due to</w:t>
      </w:r>
      <w:r w:rsidR="00DE3419" w:rsidRPr="0070645B">
        <w:rPr>
          <w:rFonts w:ascii="Times New Roman" w:hAnsi="Times New Roman"/>
        </w:rPr>
        <w:t xml:space="preserve"> three</w:t>
      </w:r>
      <w:r w:rsidR="000B5B4D" w:rsidRPr="0070645B">
        <w:rPr>
          <w:rFonts w:ascii="Times New Roman" w:hAnsi="Times New Roman"/>
        </w:rPr>
        <w:t xml:space="preserve"> reasons. Firstly the majority</w:t>
      </w:r>
      <w:r w:rsidR="004F63A0" w:rsidRPr="0070645B">
        <w:rPr>
          <w:rFonts w:ascii="Times New Roman" w:hAnsi="Times New Roman"/>
        </w:rPr>
        <w:t xml:space="preserve"> of these reports are kept in-house for several years, thus losing their impact once released in the public domain where the market </w:t>
      </w:r>
      <w:r w:rsidR="00DE3419" w:rsidRPr="0070645B">
        <w:rPr>
          <w:rFonts w:ascii="Times New Roman" w:hAnsi="Times New Roman"/>
        </w:rPr>
        <w:t>h</w:t>
      </w:r>
      <w:r w:rsidR="004F63A0" w:rsidRPr="0070645B">
        <w:rPr>
          <w:rFonts w:ascii="Times New Roman" w:hAnsi="Times New Roman"/>
        </w:rPr>
        <w:t>as</w:t>
      </w:r>
      <w:r w:rsidR="00DE3419" w:rsidRPr="0070645B">
        <w:rPr>
          <w:rFonts w:ascii="Times New Roman" w:hAnsi="Times New Roman"/>
        </w:rPr>
        <w:t xml:space="preserve"> substantially</w:t>
      </w:r>
      <w:r w:rsidR="004F63A0" w:rsidRPr="0070645B">
        <w:rPr>
          <w:rFonts w:ascii="Times New Roman" w:hAnsi="Times New Roman"/>
        </w:rPr>
        <w:t xml:space="preserve"> shifted. Secondly, they are not all as open as the Hatch report on data sources, therefore creating doubt as to the accuracy and reliability of any conclusions made.</w:t>
      </w:r>
      <w:r w:rsidR="00DE3419" w:rsidRPr="0070645B">
        <w:rPr>
          <w:rFonts w:ascii="Times New Roman" w:hAnsi="Times New Roman"/>
        </w:rPr>
        <w:t xml:space="preserve"> Thirdly it is not clear, specifically with life cycle-based reports, whether inefficiencies associated with electricity generation have been accounted for. This tends not to be the case according to</w:t>
      </w:r>
      <w:r w:rsidR="00C357DF" w:rsidRPr="0070645B">
        <w:rPr>
          <w:rFonts w:ascii="Times New Roman" w:hAnsi="Times New Roman"/>
        </w:rPr>
        <w:t xml:space="preserve"> </w:t>
      </w:r>
      <w:r w:rsidR="00C357DF" w:rsidRPr="0070645B">
        <w:rPr>
          <w:rFonts w:ascii="Times New Roman" w:hAnsi="Times New Roman"/>
          <w:noProof/>
        </w:rPr>
        <w:t>(Norgate &amp; Haque 2012)</w:t>
      </w:r>
      <w:r w:rsidR="00DE3419" w:rsidRPr="0070645B">
        <w:rPr>
          <w:rFonts w:ascii="Times New Roman" w:hAnsi="Times New Roman"/>
        </w:rPr>
        <w:t xml:space="preserve"> who compared values reported from a life cycle inventory database </w:t>
      </w:r>
      <w:r w:rsidR="005D780F" w:rsidRPr="0070645B">
        <w:rPr>
          <w:rFonts w:ascii="Times New Roman" w:hAnsi="Times New Roman"/>
          <w:noProof/>
        </w:rPr>
        <w:t xml:space="preserve">(Hagelüken &amp; Meskers, </w:t>
      </w:r>
      <w:r w:rsidR="005724A3" w:rsidRPr="0070645B">
        <w:rPr>
          <w:rFonts w:ascii="Times New Roman" w:hAnsi="Times New Roman"/>
          <w:noProof/>
        </w:rPr>
        <w:t>2010)</w:t>
      </w:r>
      <w:r w:rsidR="00DE3419" w:rsidRPr="0070645B">
        <w:rPr>
          <w:rFonts w:ascii="Times New Roman" w:hAnsi="Times New Roman"/>
        </w:rPr>
        <w:t xml:space="preserve"> against a company sustainability report </w:t>
      </w:r>
      <w:r w:rsidR="005724A3" w:rsidRPr="0070645B">
        <w:rPr>
          <w:rFonts w:ascii="Times New Roman" w:hAnsi="Times New Roman"/>
          <w:noProof/>
        </w:rPr>
        <w:t>(Mudd 2007)</w:t>
      </w:r>
      <w:r w:rsidR="00DE3419" w:rsidRPr="0070645B">
        <w:rPr>
          <w:rFonts w:ascii="Times New Roman" w:hAnsi="Times New Roman"/>
        </w:rPr>
        <w:t>. The company sustainability report which was not expected to be life cycle-based had lower values for the reasons explained above</w:t>
      </w:r>
      <w:r w:rsidR="00CF10AE" w:rsidRPr="0070645B">
        <w:rPr>
          <w:rFonts w:ascii="Times New Roman" w:hAnsi="Times New Roman"/>
        </w:rPr>
        <w:t>,</w:t>
      </w:r>
      <w:r w:rsidR="00DE3419" w:rsidRPr="0070645B">
        <w:rPr>
          <w:rFonts w:ascii="Times New Roman" w:hAnsi="Times New Roman"/>
        </w:rPr>
        <w:t xml:space="preserve"> than values shown in the other reports.</w:t>
      </w:r>
      <w:r w:rsidR="0080594D" w:rsidRPr="0070645B">
        <w:rPr>
          <w:rFonts w:ascii="Times New Roman" w:hAnsi="Times New Roman"/>
        </w:rPr>
        <w:t xml:space="preserve"> </w:t>
      </w:r>
    </w:p>
    <w:p w:rsidR="00C0581A" w:rsidRPr="0070645B" w:rsidRDefault="00C0581A" w:rsidP="00C0581A">
      <w:pPr>
        <w:spacing w:after="0" w:line="360" w:lineRule="auto"/>
        <w:ind w:firstLine="720"/>
        <w:contextualSpacing/>
        <w:jc w:val="both"/>
        <w:rPr>
          <w:rFonts w:ascii="Times New Roman" w:hAnsi="Times New Roman"/>
        </w:rPr>
      </w:pPr>
      <w:r w:rsidRPr="0070645B">
        <w:rPr>
          <w:rFonts w:ascii="Times New Roman" w:hAnsi="Times New Roman"/>
        </w:rPr>
        <w:t xml:space="preserve">Apart from the three primary literature sources mentioned previously, a book titled, ‘Handbook of Ferro-alloys Theory and Technology’ by </w:t>
      </w:r>
      <w:r w:rsidRPr="0070645B">
        <w:rPr>
          <w:rFonts w:ascii="Times New Roman" w:hAnsi="Times New Roman"/>
          <w:noProof/>
        </w:rPr>
        <w:t>(Gasik.M 2013)</w:t>
      </w:r>
      <w:r w:rsidRPr="0070645B">
        <w:rPr>
          <w:rFonts w:ascii="Times New Roman" w:hAnsi="Times New Roman"/>
        </w:rPr>
        <w:t xml:space="preserve"> also proved to be useful in obtaining </w:t>
      </w:r>
      <w:r w:rsidRPr="0070645B">
        <w:rPr>
          <w:rFonts w:ascii="Times New Roman" w:hAnsi="Times New Roman"/>
        </w:rPr>
        <w:lastRenderedPageBreak/>
        <w:t>potentially useful data, particularly for some of the more exotic alloying elements. Although not life cycle based, quantitative data in the form of inputs and outputs related to a functional unit, usually the production of 1 tonne of ferro-alloy was available. In addition in-depth analysis of production routes particularly for different grades of steel was provided, something missing in the major</w:t>
      </w:r>
      <w:r w:rsidR="001D1D6F" w:rsidRPr="0070645B">
        <w:rPr>
          <w:rFonts w:ascii="Times New Roman" w:hAnsi="Times New Roman"/>
        </w:rPr>
        <w:t>ity of journals which just focu</w:t>
      </w:r>
      <w:r w:rsidRPr="0070645B">
        <w:rPr>
          <w:rFonts w:ascii="Times New Roman" w:hAnsi="Times New Roman"/>
        </w:rPr>
        <w:t>sed on a single grade of steel.</w:t>
      </w:r>
      <w:r w:rsidR="00C32EEC" w:rsidRPr="0070645B">
        <w:rPr>
          <w:rFonts w:ascii="Times New Roman" w:hAnsi="Times New Roman"/>
        </w:rPr>
        <w:t xml:space="preserve"> </w:t>
      </w:r>
    </w:p>
    <w:p w:rsidR="00C0581A" w:rsidRPr="0070645B" w:rsidRDefault="00C32EEC" w:rsidP="00C32EEC">
      <w:pPr>
        <w:spacing w:after="0" w:line="360" w:lineRule="auto"/>
        <w:ind w:firstLine="720"/>
        <w:contextualSpacing/>
        <w:jc w:val="both"/>
        <w:rPr>
          <w:rFonts w:ascii="Times New Roman" w:hAnsi="Times New Roman"/>
        </w:rPr>
      </w:pPr>
      <w:r w:rsidRPr="0070645B">
        <w:rPr>
          <w:rFonts w:ascii="Times New Roman" w:hAnsi="Times New Roman"/>
        </w:rPr>
        <w:t xml:space="preserve">With data availability issues answered in the literature, the select list of journals </w:t>
      </w:r>
      <w:r w:rsidR="00C0581A" w:rsidRPr="0070645B">
        <w:rPr>
          <w:rFonts w:ascii="Times New Roman" w:hAnsi="Times New Roman"/>
        </w:rPr>
        <w:t>were then compared and contrasted against each other, as well as against a set list of topics which included: software utilised, functional unit, environmental impact categories and source of quantitative data.</w:t>
      </w:r>
    </w:p>
    <w:p w:rsidR="00C0581A" w:rsidRPr="0070645B" w:rsidRDefault="00C0581A" w:rsidP="00C0581A">
      <w:pPr>
        <w:spacing w:after="0" w:line="360" w:lineRule="auto"/>
        <w:ind w:firstLine="720"/>
        <w:jc w:val="both"/>
        <w:rPr>
          <w:rFonts w:ascii="Times New Roman" w:hAnsi="Times New Roman"/>
        </w:rPr>
      </w:pPr>
      <w:r w:rsidRPr="0070645B">
        <w:rPr>
          <w:rFonts w:ascii="Times New Roman" w:hAnsi="Times New Roman"/>
        </w:rPr>
        <w:t xml:space="preserve">In terms of LCA software programs a number of different software’s were utilised between the studies. LCA studies conducted by </w:t>
      </w:r>
      <w:r w:rsidRPr="0070645B">
        <w:rPr>
          <w:rFonts w:ascii="Times New Roman" w:hAnsi="Times New Roman"/>
          <w:noProof/>
        </w:rPr>
        <w:t>(Norgate &amp; Haque 2012)</w:t>
      </w:r>
      <w:r w:rsidRPr="0070645B">
        <w:rPr>
          <w:rFonts w:ascii="Times New Roman" w:hAnsi="Times New Roman"/>
        </w:rPr>
        <w:t xml:space="preserve"> and </w:t>
      </w:r>
      <w:r w:rsidRPr="0070645B">
        <w:rPr>
          <w:rFonts w:ascii="Times New Roman" w:hAnsi="Times New Roman"/>
          <w:noProof/>
        </w:rPr>
        <w:t>(Weng et al. 2016)</w:t>
      </w:r>
      <w:r w:rsidRPr="0070645B">
        <w:rPr>
          <w:rFonts w:ascii="Times New Roman" w:hAnsi="Times New Roman"/>
        </w:rPr>
        <w:t xml:space="preserve"> used the SimaPro software program albeit different versions (7.3.3) and (8.0) respectively. Likewise, Norgate also utilised LCA software SimaPro for assessment of the environmental impact of seven metal processing routes </w:t>
      </w:r>
      <w:r w:rsidRPr="0070645B">
        <w:rPr>
          <w:rFonts w:ascii="Times New Roman" w:hAnsi="Times New Roman"/>
          <w:noProof/>
        </w:rPr>
        <w:t>(Norgate et al. 2007)</w:t>
      </w:r>
      <w:r w:rsidR="0070645B">
        <w:rPr>
          <w:rFonts w:ascii="Times New Roman" w:hAnsi="Times New Roman"/>
        </w:rPr>
        <w:t xml:space="preserve"> </w:t>
      </w:r>
      <w:r w:rsidRPr="0070645B">
        <w:rPr>
          <w:rFonts w:ascii="Times New Roman" w:hAnsi="Times New Roman"/>
        </w:rPr>
        <w:t xml:space="preserve">and assessment of various technologies for processing nickel laterite ores </w:t>
      </w:r>
      <w:r w:rsidRPr="0070645B">
        <w:rPr>
          <w:rFonts w:ascii="Times New Roman" w:hAnsi="Times New Roman"/>
          <w:noProof/>
        </w:rPr>
        <w:t>(Norgate &amp; Jahanshahi 2011)</w:t>
      </w:r>
      <w:r w:rsidRPr="0070645B">
        <w:rPr>
          <w:rFonts w:ascii="Times New Roman" w:hAnsi="Times New Roman"/>
        </w:rPr>
        <w:t xml:space="preserve">. But for his investigations into stainless steel </w:t>
      </w:r>
      <w:r w:rsidRPr="0070645B">
        <w:rPr>
          <w:rFonts w:ascii="Times New Roman" w:hAnsi="Times New Roman"/>
          <w:noProof/>
        </w:rPr>
        <w:t>(Norgate et al. 2004)</w:t>
      </w:r>
      <w:r w:rsidRPr="0070645B">
        <w:rPr>
          <w:rFonts w:ascii="Times New Roman" w:hAnsi="Times New Roman"/>
        </w:rPr>
        <w:t xml:space="preserve"> CSIRO mineral in-house software program was utilised. Studies which used </w:t>
      </w:r>
      <w:r w:rsidR="004D2D91" w:rsidRPr="0070645B">
        <w:rPr>
          <w:rFonts w:ascii="Times New Roman" w:hAnsi="Times New Roman"/>
        </w:rPr>
        <w:t>GaBi</w:t>
      </w:r>
      <w:r w:rsidRPr="0070645B">
        <w:rPr>
          <w:rFonts w:ascii="Times New Roman" w:hAnsi="Times New Roman"/>
        </w:rPr>
        <w:t xml:space="preserve"> software, including this study, were limited to </w:t>
      </w:r>
      <w:r w:rsidRPr="0070645B">
        <w:rPr>
          <w:rFonts w:ascii="Times New Roman" w:hAnsi="Times New Roman"/>
          <w:noProof/>
        </w:rPr>
        <w:t>(Bartzas &amp; Komnitsas 2015)</w:t>
      </w:r>
      <w:r w:rsidRPr="0070645B">
        <w:rPr>
          <w:rFonts w:ascii="Times New Roman" w:hAnsi="Times New Roman"/>
        </w:rPr>
        <w:t xml:space="preserve"> and </w:t>
      </w:r>
      <w:r w:rsidRPr="0070645B">
        <w:rPr>
          <w:rFonts w:ascii="Times New Roman" w:hAnsi="Times New Roman"/>
          <w:noProof/>
        </w:rPr>
        <w:t>(Chen et al. 2015)</w:t>
      </w:r>
      <w:r w:rsidRPr="0070645B">
        <w:rPr>
          <w:rFonts w:ascii="Times New Roman" w:hAnsi="Times New Roman"/>
        </w:rPr>
        <w:t xml:space="preserve">. For literature sources </w:t>
      </w:r>
      <w:r w:rsidRPr="0070645B">
        <w:rPr>
          <w:rFonts w:ascii="Times New Roman" w:hAnsi="Times New Roman"/>
          <w:noProof/>
        </w:rPr>
        <w:t>(Khoo et al. 2016)</w:t>
      </w:r>
      <w:r w:rsidRPr="0070645B">
        <w:rPr>
          <w:rFonts w:ascii="Times New Roman" w:hAnsi="Times New Roman"/>
        </w:rPr>
        <w:t xml:space="preserve"> and </w:t>
      </w:r>
      <w:r w:rsidRPr="0070645B">
        <w:rPr>
          <w:rFonts w:ascii="Times New Roman" w:hAnsi="Times New Roman"/>
          <w:noProof/>
        </w:rPr>
        <w:t>(Browning et al. 2016)</w:t>
      </w:r>
      <w:r w:rsidRPr="0070645B">
        <w:rPr>
          <w:rFonts w:ascii="Times New Roman" w:hAnsi="Times New Roman"/>
        </w:rPr>
        <w:t xml:space="preserve"> the LCA software program utilised was not stated.</w:t>
      </w:r>
    </w:p>
    <w:p w:rsidR="00C0581A" w:rsidRPr="0070645B" w:rsidRDefault="00C0581A" w:rsidP="00C0581A">
      <w:pPr>
        <w:spacing w:after="0" w:line="360" w:lineRule="auto"/>
        <w:ind w:firstLine="720"/>
        <w:jc w:val="both"/>
        <w:rPr>
          <w:rFonts w:ascii="Times New Roman" w:hAnsi="Times New Roman"/>
        </w:rPr>
      </w:pPr>
      <w:r w:rsidRPr="0070645B">
        <w:rPr>
          <w:rFonts w:ascii="Times New Roman" w:hAnsi="Times New Roman"/>
        </w:rPr>
        <w:t>Although it is known that there are a number of LCA software programs available in industry, there has never been a comparison between these LCA software programs, specifically regarding ferro-alloys, to date. In addition, it is not known if any differences exist between the software’s and how exactly they fundamentally affect LCA studies. Though not the primary aim of this research, by utilising data from other sources, such secondary aims can be answered thus making the research unique.</w:t>
      </w:r>
    </w:p>
    <w:p w:rsidR="00C0581A" w:rsidRPr="0070645B" w:rsidRDefault="00C0581A" w:rsidP="00C0581A">
      <w:pPr>
        <w:spacing w:after="0" w:line="360" w:lineRule="auto"/>
        <w:ind w:firstLine="720"/>
        <w:jc w:val="both"/>
        <w:rPr>
          <w:rFonts w:ascii="Times New Roman" w:hAnsi="Times New Roman"/>
        </w:rPr>
      </w:pPr>
      <w:r w:rsidRPr="0070645B">
        <w:rPr>
          <w:rFonts w:ascii="Times New Roman" w:hAnsi="Times New Roman"/>
        </w:rPr>
        <w:t>In terms of functional unit, the list below summarises the variation in functional unit between the numerous studies of interest:</w:t>
      </w:r>
    </w:p>
    <w:p w:rsidR="00C0581A" w:rsidRPr="0070645B" w:rsidRDefault="00C0581A" w:rsidP="00EE7761">
      <w:pPr>
        <w:pStyle w:val="ListParagraph"/>
        <w:numPr>
          <w:ilvl w:val="0"/>
          <w:numId w:val="14"/>
        </w:numPr>
        <w:spacing w:after="0" w:line="360" w:lineRule="auto"/>
        <w:jc w:val="both"/>
        <w:rPr>
          <w:rFonts w:ascii="Times New Roman" w:hAnsi="Times New Roman"/>
        </w:rPr>
      </w:pPr>
      <w:r w:rsidRPr="0070645B">
        <w:rPr>
          <w:rFonts w:ascii="Times New Roman" w:hAnsi="Times New Roman"/>
        </w:rPr>
        <w:t xml:space="preserve">1 tonne of ferro-alloy </w:t>
      </w:r>
      <w:r w:rsidRPr="0070645B">
        <w:rPr>
          <w:rFonts w:ascii="Times New Roman" w:hAnsi="Times New Roman"/>
          <w:noProof/>
        </w:rPr>
        <w:t>(Haque &amp; Norgate 2013)</w:t>
      </w:r>
      <w:r w:rsidRPr="0070645B">
        <w:rPr>
          <w:rFonts w:ascii="Times New Roman" w:hAnsi="Times New Roman"/>
        </w:rPr>
        <w:t>.</w:t>
      </w:r>
    </w:p>
    <w:p w:rsidR="00C0581A" w:rsidRPr="0070645B" w:rsidRDefault="00C0581A" w:rsidP="00EE7761">
      <w:pPr>
        <w:pStyle w:val="ListParagraph"/>
        <w:numPr>
          <w:ilvl w:val="0"/>
          <w:numId w:val="14"/>
        </w:numPr>
        <w:spacing w:after="0" w:line="360" w:lineRule="auto"/>
        <w:jc w:val="both"/>
        <w:rPr>
          <w:rFonts w:ascii="Times New Roman" w:hAnsi="Times New Roman"/>
        </w:rPr>
      </w:pPr>
      <w:r w:rsidRPr="0070645B">
        <w:rPr>
          <w:rFonts w:ascii="Times New Roman" w:hAnsi="Times New Roman"/>
        </w:rPr>
        <w:t xml:space="preserve">1 tonne of ore/Au Haque </w:t>
      </w:r>
      <w:r w:rsidRPr="0070645B">
        <w:rPr>
          <w:rFonts w:ascii="Times New Roman" w:hAnsi="Times New Roman"/>
          <w:noProof/>
        </w:rPr>
        <w:t>(Norgate &amp; Haque 2012)</w:t>
      </w:r>
      <w:r w:rsidRPr="0070645B">
        <w:rPr>
          <w:rFonts w:ascii="Times New Roman" w:hAnsi="Times New Roman"/>
        </w:rPr>
        <w:t>.</w:t>
      </w:r>
    </w:p>
    <w:p w:rsidR="00C0581A" w:rsidRPr="0070645B" w:rsidRDefault="00C0581A" w:rsidP="00EE7761">
      <w:pPr>
        <w:pStyle w:val="ListParagraph"/>
        <w:numPr>
          <w:ilvl w:val="0"/>
          <w:numId w:val="14"/>
        </w:numPr>
        <w:spacing w:after="0" w:line="360" w:lineRule="auto"/>
        <w:jc w:val="both"/>
        <w:rPr>
          <w:rFonts w:ascii="Times New Roman" w:hAnsi="Times New Roman"/>
        </w:rPr>
      </w:pPr>
      <w:r w:rsidRPr="0070645B">
        <w:rPr>
          <w:rFonts w:ascii="Times New Roman" w:hAnsi="Times New Roman"/>
        </w:rPr>
        <w:t xml:space="preserve">1 tonne of nickel-based feedstock </w:t>
      </w:r>
      <w:r w:rsidRPr="0070645B">
        <w:rPr>
          <w:rFonts w:ascii="Times New Roman" w:hAnsi="Times New Roman"/>
          <w:noProof/>
        </w:rPr>
        <w:t>(Khoo et al. 2016)</w:t>
      </w:r>
      <w:r w:rsidRPr="0070645B">
        <w:rPr>
          <w:rFonts w:ascii="Times New Roman" w:hAnsi="Times New Roman"/>
        </w:rPr>
        <w:t>.</w:t>
      </w:r>
    </w:p>
    <w:p w:rsidR="00C0581A" w:rsidRPr="0070645B" w:rsidRDefault="00C0581A" w:rsidP="00EE7761">
      <w:pPr>
        <w:pStyle w:val="ListParagraph"/>
        <w:numPr>
          <w:ilvl w:val="0"/>
          <w:numId w:val="14"/>
        </w:numPr>
        <w:spacing w:after="0" w:line="360" w:lineRule="auto"/>
        <w:jc w:val="both"/>
        <w:rPr>
          <w:rFonts w:ascii="Times New Roman" w:hAnsi="Times New Roman"/>
        </w:rPr>
      </w:pPr>
      <w:r w:rsidRPr="0070645B">
        <w:rPr>
          <w:rFonts w:ascii="Times New Roman" w:hAnsi="Times New Roman"/>
        </w:rPr>
        <w:t xml:space="preserve">1 </w:t>
      </w:r>
      <w:r w:rsidRPr="0070645B">
        <w:rPr>
          <w:rFonts w:ascii="TimesNewRoman" w:hAnsi="TimesNewRoman" w:cs="TimesNewRoman"/>
        </w:rPr>
        <w:t xml:space="preserve">kg of refined stainless steel </w:t>
      </w:r>
      <w:r w:rsidRPr="0070645B">
        <w:rPr>
          <w:rFonts w:ascii="TimesNewRoman" w:hAnsi="TimesNewRoman" w:cs="TimesNewRoman"/>
          <w:noProof/>
        </w:rPr>
        <w:t>(Norgate et al. 2004)</w:t>
      </w:r>
      <w:r w:rsidRPr="0070645B">
        <w:rPr>
          <w:rFonts w:ascii="Times New Roman" w:hAnsi="Times New Roman"/>
        </w:rPr>
        <w:t>.</w:t>
      </w:r>
    </w:p>
    <w:p w:rsidR="00C0581A" w:rsidRPr="0070645B" w:rsidRDefault="00C0581A" w:rsidP="00EE7761">
      <w:pPr>
        <w:pStyle w:val="ListParagraph"/>
        <w:numPr>
          <w:ilvl w:val="0"/>
          <w:numId w:val="14"/>
        </w:numPr>
        <w:spacing w:after="0" w:line="360" w:lineRule="auto"/>
        <w:jc w:val="both"/>
        <w:rPr>
          <w:rFonts w:ascii="Times New Roman" w:hAnsi="Times New Roman"/>
        </w:rPr>
      </w:pPr>
      <w:r w:rsidRPr="0070645B">
        <w:rPr>
          <w:rFonts w:ascii="Times New Roman" w:hAnsi="Times New Roman"/>
        </w:rPr>
        <w:t xml:space="preserve">1 kg of refined metal </w:t>
      </w:r>
      <w:r w:rsidRPr="0070645B">
        <w:rPr>
          <w:rFonts w:ascii="Times New Roman" w:hAnsi="Times New Roman"/>
          <w:noProof/>
        </w:rPr>
        <w:t>(Norgate et al. 2007)</w:t>
      </w:r>
      <w:r w:rsidRPr="0070645B">
        <w:rPr>
          <w:rFonts w:ascii="Times New Roman" w:hAnsi="Times New Roman"/>
        </w:rPr>
        <w:t>.</w:t>
      </w:r>
    </w:p>
    <w:p w:rsidR="00C0581A" w:rsidRPr="0070645B" w:rsidRDefault="00C0581A" w:rsidP="00EE7761">
      <w:pPr>
        <w:pStyle w:val="ListParagraph"/>
        <w:numPr>
          <w:ilvl w:val="0"/>
          <w:numId w:val="14"/>
        </w:numPr>
        <w:spacing w:after="0" w:line="360" w:lineRule="auto"/>
        <w:jc w:val="both"/>
        <w:rPr>
          <w:rFonts w:ascii="Times New Roman" w:hAnsi="Times New Roman"/>
        </w:rPr>
      </w:pPr>
      <w:r w:rsidRPr="0070645B">
        <w:rPr>
          <w:rFonts w:ascii="Times New Roman" w:hAnsi="Times New Roman"/>
        </w:rPr>
        <w:t xml:space="preserve">1 tonne of nickel metal </w:t>
      </w:r>
      <w:r w:rsidRPr="0070645B">
        <w:rPr>
          <w:rFonts w:ascii="Times New Roman" w:hAnsi="Times New Roman"/>
          <w:noProof/>
        </w:rPr>
        <w:t>(Norgate &amp; Jahanshahi 2011)</w:t>
      </w:r>
      <w:r w:rsidRPr="0070645B">
        <w:rPr>
          <w:rFonts w:ascii="Times New Roman" w:hAnsi="Times New Roman"/>
        </w:rPr>
        <w:t xml:space="preserve">. </w:t>
      </w:r>
    </w:p>
    <w:p w:rsidR="00C0581A" w:rsidRPr="0070645B" w:rsidRDefault="00C0581A" w:rsidP="00C0581A">
      <w:pPr>
        <w:spacing w:after="0" w:line="360" w:lineRule="auto"/>
        <w:ind w:firstLine="720"/>
        <w:jc w:val="both"/>
        <w:rPr>
          <w:rFonts w:ascii="Times New Roman" w:hAnsi="Times New Roman"/>
        </w:rPr>
      </w:pPr>
    </w:p>
    <w:p w:rsidR="00C0581A" w:rsidRPr="0070645B" w:rsidRDefault="00C0581A" w:rsidP="00C0581A">
      <w:pPr>
        <w:spacing w:after="0" w:line="360" w:lineRule="auto"/>
        <w:ind w:firstLine="720"/>
        <w:jc w:val="both"/>
        <w:rPr>
          <w:rFonts w:ascii="Times New Roman" w:hAnsi="Times New Roman"/>
        </w:rPr>
      </w:pPr>
      <w:r w:rsidRPr="0070645B">
        <w:rPr>
          <w:rFonts w:ascii="Times New Roman" w:hAnsi="Times New Roman"/>
        </w:rPr>
        <w:t>Although selection of the functional unit has to be appropriately based for each particular study, it makes comparison between LCA studies more difficult. But, results from the selected environmental impact categories can be utilised instead, as a more appropriate means to compare and contrast the studies.</w:t>
      </w:r>
    </w:p>
    <w:p w:rsidR="00C0581A" w:rsidRPr="0070645B" w:rsidRDefault="00C0581A" w:rsidP="00C0581A">
      <w:pPr>
        <w:spacing w:after="0" w:line="360" w:lineRule="auto"/>
        <w:ind w:firstLine="720"/>
        <w:jc w:val="both"/>
        <w:rPr>
          <w:rFonts w:ascii="Times New Roman" w:hAnsi="Times New Roman"/>
        </w:rPr>
      </w:pPr>
      <w:r w:rsidRPr="0070645B">
        <w:rPr>
          <w:rFonts w:ascii="Times New Roman" w:hAnsi="Times New Roman"/>
        </w:rPr>
        <w:lastRenderedPageBreak/>
        <w:t>The majority of the selected studies, utilised LCA methodology according to ISO 14040/14044 standards, to evaluate the environmental impacts of the process or product under investigatio</w:t>
      </w:r>
      <w:r w:rsidR="006F1B8A" w:rsidRPr="0070645B">
        <w:rPr>
          <w:rFonts w:ascii="Times New Roman" w:hAnsi="Times New Roman"/>
        </w:rPr>
        <w:t>n. The bulk of the studies focu</w:t>
      </w:r>
      <w:r w:rsidRPr="0070645B">
        <w:rPr>
          <w:rFonts w:ascii="Times New Roman" w:hAnsi="Times New Roman"/>
        </w:rPr>
        <w:t xml:space="preserve">sed on environmental impacts, principally greenhouse gas emissions and gross energy requirements. Studies not assessing environmental impacts were limited, but did exist such as the study from </w:t>
      </w:r>
      <w:r w:rsidRPr="0070645B">
        <w:rPr>
          <w:rFonts w:ascii="Times New Roman" w:hAnsi="Times New Roman"/>
          <w:noProof/>
        </w:rPr>
        <w:t>(Northey et al. 2014)</w:t>
      </w:r>
      <w:r w:rsidRPr="0070645B">
        <w:rPr>
          <w:rFonts w:ascii="Times New Roman" w:hAnsi="Times New Roman"/>
        </w:rPr>
        <w:t>. This conducted life-cycle based water footprint assessment on copper, gold and nickel production. However, Northeys study was limited due to mainly focusing on water stress index for metal production and water consumption. But, Northeys study did highlight a gap in literature where more emphasis could be placed on investigating water impacts or another type of impact rather, than from the traditional environmental view point.</w:t>
      </w:r>
    </w:p>
    <w:p w:rsidR="00C32EEC" w:rsidRPr="0070645B" w:rsidRDefault="00E514F4" w:rsidP="00C32EEC">
      <w:pPr>
        <w:spacing w:after="0" w:line="360" w:lineRule="auto"/>
        <w:ind w:firstLine="720"/>
        <w:jc w:val="both"/>
        <w:rPr>
          <w:rFonts w:ascii="Times New Roman" w:hAnsi="Times New Roman"/>
        </w:rPr>
      </w:pPr>
      <w:r w:rsidRPr="0070645B">
        <w:rPr>
          <w:rFonts w:ascii="Times New Roman" w:hAnsi="Times New Roman"/>
        </w:rPr>
        <w:t>The key findings from the literature can be summarised below:</w:t>
      </w:r>
    </w:p>
    <w:p w:rsidR="00E514F4" w:rsidRPr="0070645B" w:rsidRDefault="0029778D" w:rsidP="00EE7761">
      <w:pPr>
        <w:pStyle w:val="ListParagraph"/>
        <w:numPr>
          <w:ilvl w:val="0"/>
          <w:numId w:val="13"/>
        </w:numPr>
        <w:spacing w:after="0" w:line="360" w:lineRule="auto"/>
        <w:jc w:val="both"/>
        <w:rPr>
          <w:rFonts w:ascii="Times New Roman" w:hAnsi="Times New Roman"/>
        </w:rPr>
      </w:pPr>
      <w:r w:rsidRPr="0070645B">
        <w:rPr>
          <w:rFonts w:ascii="Times New Roman" w:hAnsi="Times New Roman"/>
        </w:rPr>
        <w:t>LCA studies on ferro-alloys are limited although there a number of studies particularly with Fe-Ni. However little or no LCA studies have been conducted on the more exotic ferro-alloys: Fe-B, Fe-Mo, Fe-Nb, Fe-Ti and Fe-V.</w:t>
      </w:r>
    </w:p>
    <w:p w:rsidR="0029778D" w:rsidRPr="0070645B" w:rsidRDefault="0029778D" w:rsidP="00EE7761">
      <w:pPr>
        <w:pStyle w:val="ListParagraph"/>
        <w:numPr>
          <w:ilvl w:val="0"/>
          <w:numId w:val="13"/>
        </w:numPr>
        <w:spacing w:after="0" w:line="360" w:lineRule="auto"/>
        <w:jc w:val="both"/>
        <w:rPr>
          <w:rFonts w:ascii="Times New Roman" w:hAnsi="Times New Roman"/>
        </w:rPr>
      </w:pPr>
      <w:r w:rsidRPr="0070645B">
        <w:rPr>
          <w:rFonts w:ascii="Times New Roman" w:hAnsi="Times New Roman"/>
        </w:rPr>
        <w:t>LCI for the more common ferro-alloys e.g. Fe-Cr is obtainable but much more difficult for the exotic alloying elements. In addition data obtained from scientific publications or company sustainability reports</w:t>
      </w:r>
      <w:r w:rsidR="00F40110" w:rsidRPr="0070645B">
        <w:rPr>
          <w:rFonts w:ascii="Times New Roman" w:hAnsi="Times New Roman"/>
        </w:rPr>
        <w:t xml:space="preserve"> particularly when it is unclear whether they are </w:t>
      </w:r>
      <w:r w:rsidRPr="0070645B">
        <w:rPr>
          <w:rFonts w:ascii="Times New Roman" w:hAnsi="Times New Roman"/>
        </w:rPr>
        <w:t>life cycle based</w:t>
      </w:r>
      <w:r w:rsidR="00F40110" w:rsidRPr="0070645B">
        <w:rPr>
          <w:rFonts w:ascii="Times New Roman" w:hAnsi="Times New Roman"/>
        </w:rPr>
        <w:t xml:space="preserve"> or not.</w:t>
      </w:r>
    </w:p>
    <w:p w:rsidR="0029778D" w:rsidRPr="0070645B" w:rsidRDefault="0029778D" w:rsidP="00EE7761">
      <w:pPr>
        <w:pStyle w:val="ListParagraph"/>
        <w:numPr>
          <w:ilvl w:val="0"/>
          <w:numId w:val="13"/>
        </w:numPr>
        <w:spacing w:after="0" w:line="360" w:lineRule="auto"/>
        <w:jc w:val="both"/>
        <w:rPr>
          <w:rFonts w:ascii="Times New Roman" w:hAnsi="Times New Roman"/>
        </w:rPr>
      </w:pPr>
      <w:r w:rsidRPr="0070645B">
        <w:rPr>
          <w:rFonts w:ascii="Times New Roman" w:hAnsi="Times New Roman"/>
        </w:rPr>
        <w:t xml:space="preserve">The </w:t>
      </w:r>
      <w:r w:rsidR="00F40110" w:rsidRPr="0070645B">
        <w:rPr>
          <w:rFonts w:ascii="Times New Roman" w:hAnsi="Times New Roman"/>
        </w:rPr>
        <w:t>main stream</w:t>
      </w:r>
      <w:r w:rsidRPr="0070645B">
        <w:rPr>
          <w:rFonts w:ascii="Times New Roman" w:hAnsi="Times New Roman"/>
        </w:rPr>
        <w:t xml:space="preserve"> of LCA studies have been cradle-to-gate studies with either 1 kg or 1 tonne as the respectable functional unit. </w:t>
      </w:r>
      <w:r w:rsidR="00C7068B" w:rsidRPr="0070645B">
        <w:rPr>
          <w:rFonts w:ascii="Times New Roman" w:hAnsi="Times New Roman"/>
        </w:rPr>
        <w:t>Cradle-to-grave</w:t>
      </w:r>
      <w:r w:rsidR="00F40110" w:rsidRPr="0070645B">
        <w:rPr>
          <w:rFonts w:ascii="Times New Roman" w:hAnsi="Times New Roman"/>
        </w:rPr>
        <w:t xml:space="preserve"> studies were limited but do</w:t>
      </w:r>
      <w:r w:rsidR="00C7068B" w:rsidRPr="0070645B">
        <w:rPr>
          <w:rFonts w:ascii="Times New Roman" w:hAnsi="Times New Roman"/>
        </w:rPr>
        <w:t xml:space="preserve"> represent an opportunity for investigation. As regards to software, </w:t>
      </w:r>
      <w:r w:rsidR="00C32EEC" w:rsidRPr="0070645B">
        <w:rPr>
          <w:rFonts w:ascii="Times New Roman" w:hAnsi="Times New Roman"/>
        </w:rPr>
        <w:t>SimaP</w:t>
      </w:r>
      <w:r w:rsidRPr="0070645B">
        <w:rPr>
          <w:rFonts w:ascii="Times New Roman" w:hAnsi="Times New Roman"/>
        </w:rPr>
        <w:t xml:space="preserve">ro software programme </w:t>
      </w:r>
      <w:r w:rsidR="00C7068B" w:rsidRPr="0070645B">
        <w:rPr>
          <w:rFonts w:ascii="Times New Roman" w:hAnsi="Times New Roman"/>
        </w:rPr>
        <w:t>was</w:t>
      </w:r>
      <w:r w:rsidRPr="0070645B">
        <w:rPr>
          <w:rFonts w:ascii="Times New Roman" w:hAnsi="Times New Roman"/>
        </w:rPr>
        <w:t xml:space="preserve"> the primary software of choice for these studies apart from the odd study utilising </w:t>
      </w:r>
      <w:r w:rsidR="004D2D91" w:rsidRPr="0070645B">
        <w:rPr>
          <w:rFonts w:ascii="Times New Roman" w:hAnsi="Times New Roman"/>
        </w:rPr>
        <w:t>GaBi</w:t>
      </w:r>
      <w:r w:rsidR="00C7068B" w:rsidRPr="0070645B">
        <w:rPr>
          <w:rFonts w:ascii="Times New Roman" w:hAnsi="Times New Roman"/>
        </w:rPr>
        <w:t xml:space="preserve"> or CSIRO in house software</w:t>
      </w:r>
      <w:r w:rsidRPr="0070645B">
        <w:rPr>
          <w:rFonts w:ascii="Times New Roman" w:hAnsi="Times New Roman"/>
        </w:rPr>
        <w:t>.</w:t>
      </w:r>
    </w:p>
    <w:p w:rsidR="0029778D" w:rsidRDefault="004F3F12" w:rsidP="00EE7761">
      <w:pPr>
        <w:pStyle w:val="ListParagraph"/>
        <w:numPr>
          <w:ilvl w:val="0"/>
          <w:numId w:val="13"/>
        </w:numPr>
        <w:spacing w:after="0" w:line="360" w:lineRule="auto"/>
        <w:jc w:val="both"/>
        <w:rPr>
          <w:rFonts w:ascii="Times New Roman" w:hAnsi="Times New Roman"/>
        </w:rPr>
      </w:pPr>
      <w:r w:rsidRPr="004F3F12">
        <w:rPr>
          <w:rFonts w:ascii="Times New Roman" w:hAnsi="Times New Roman"/>
        </w:rPr>
        <w:t>The principal</w:t>
      </w:r>
      <w:r w:rsidR="0029778D" w:rsidRPr="004F3F12">
        <w:rPr>
          <w:rFonts w:ascii="Times New Roman" w:hAnsi="Times New Roman"/>
        </w:rPr>
        <w:t xml:space="preserve"> impact categories used for analysis were GWP and GER in the majority of LCA studies. </w:t>
      </w:r>
    </w:p>
    <w:p w:rsidR="004F3F12" w:rsidRPr="004F3F12" w:rsidRDefault="004F3F12" w:rsidP="004F3F12">
      <w:pPr>
        <w:pStyle w:val="ListParagraph"/>
        <w:spacing w:after="0" w:line="360" w:lineRule="auto"/>
        <w:ind w:left="1440"/>
        <w:jc w:val="both"/>
        <w:rPr>
          <w:rFonts w:ascii="Times New Roman" w:hAnsi="Times New Roman"/>
        </w:rPr>
      </w:pPr>
    </w:p>
    <w:p w:rsidR="00775BAB" w:rsidRDefault="001F5C59" w:rsidP="001F5C59">
      <w:pPr>
        <w:spacing w:after="0" w:line="360" w:lineRule="auto"/>
        <w:ind w:firstLine="720"/>
        <w:jc w:val="both"/>
        <w:rPr>
          <w:rFonts w:ascii="Times New Roman" w:hAnsi="Times New Roman"/>
        </w:rPr>
      </w:pPr>
      <w:r w:rsidRPr="0070645B">
        <w:rPr>
          <w:rFonts w:ascii="Times New Roman" w:hAnsi="Times New Roman"/>
        </w:rPr>
        <w:t>Relating the aims of the research to the literature there is a gap to not only fulfil using exotic ferro-alloys but en</w:t>
      </w:r>
      <w:r w:rsidR="00C32EEC" w:rsidRPr="0070645B">
        <w:rPr>
          <w:rFonts w:ascii="Times New Roman" w:hAnsi="Times New Roman"/>
        </w:rPr>
        <w:t xml:space="preserve">hance with common ferro-alloys. </w:t>
      </w:r>
      <w:r w:rsidRPr="0070645B">
        <w:rPr>
          <w:rFonts w:ascii="Times New Roman" w:hAnsi="Times New Roman"/>
        </w:rPr>
        <w:t>Using existing LCA methods and data, LCA models can be created to review existing ferro-alloy models and then applied to the more exotic alloying elements. Thus allowing creation of a robust methodology as well contributing to the knowledge gap in the field of LCA.</w:t>
      </w:r>
    </w:p>
    <w:p w:rsidR="0070645B" w:rsidRPr="0070645B" w:rsidRDefault="0070645B" w:rsidP="0070645B">
      <w:pPr>
        <w:spacing w:after="0" w:line="360" w:lineRule="auto"/>
        <w:jc w:val="both"/>
        <w:rPr>
          <w:rFonts w:ascii="Times New Roman" w:hAnsi="Times New Roman"/>
        </w:rPr>
      </w:pPr>
    </w:p>
    <w:p w:rsidR="0070645B" w:rsidRDefault="0070645B" w:rsidP="001F5C59">
      <w:pPr>
        <w:spacing w:after="0" w:line="360" w:lineRule="auto"/>
        <w:ind w:firstLine="720"/>
        <w:jc w:val="both"/>
        <w:rPr>
          <w:rFonts w:ascii="Times New Roman" w:hAnsi="Times New Roman"/>
        </w:rPr>
        <w:sectPr w:rsidR="0070645B" w:rsidSect="00C24042">
          <w:pgSz w:w="11906" w:h="16838"/>
          <w:pgMar w:top="1440" w:right="1440" w:bottom="1440" w:left="1440" w:header="708" w:footer="708" w:gutter="0"/>
          <w:cols w:space="708"/>
          <w:docGrid w:linePitch="360"/>
        </w:sectPr>
      </w:pPr>
    </w:p>
    <w:p w:rsidR="006A62D1" w:rsidRPr="009E0368" w:rsidRDefault="00CC009D" w:rsidP="009E0368">
      <w:pPr>
        <w:pStyle w:val="Heading1"/>
      </w:pPr>
      <w:r>
        <w:lastRenderedPageBreak/>
        <w:t>4</w:t>
      </w:r>
      <w:r w:rsidR="006A62D1" w:rsidRPr="009E0368">
        <w:t xml:space="preserve">. Experimental Methodology </w:t>
      </w:r>
    </w:p>
    <w:p w:rsidR="006A62D1" w:rsidRPr="009E0368" w:rsidRDefault="00CC009D" w:rsidP="009E0368">
      <w:pPr>
        <w:pStyle w:val="Heading2"/>
      </w:pPr>
      <w:r>
        <w:t>4</w:t>
      </w:r>
      <w:r w:rsidR="006A62D1" w:rsidRPr="009E0368">
        <w:t>.1 Construction of MFA models</w:t>
      </w:r>
      <w:r w:rsidR="009E0368" w:rsidRPr="009E0368">
        <w:t xml:space="preserve"> using e!Sankey software </w:t>
      </w:r>
    </w:p>
    <w:p w:rsidR="002E60E6" w:rsidRPr="00CE0A61" w:rsidRDefault="002E60E6" w:rsidP="002E60E6">
      <w:pPr>
        <w:spacing w:after="0" w:line="360" w:lineRule="auto"/>
        <w:ind w:firstLine="720"/>
        <w:jc w:val="both"/>
        <w:rPr>
          <w:rFonts w:ascii="Times New Roman" w:hAnsi="Times New Roman" w:cs="Times New Roman"/>
        </w:rPr>
      </w:pPr>
      <w:r w:rsidRPr="00CE0A61">
        <w:rPr>
          <w:rFonts w:ascii="Times New Roman" w:hAnsi="Times New Roman" w:cs="Times New Roman"/>
        </w:rPr>
        <w:t>This section describe</w:t>
      </w:r>
      <w:r w:rsidR="00E802EC" w:rsidRPr="00CE0A61">
        <w:rPr>
          <w:rFonts w:ascii="Times New Roman" w:hAnsi="Times New Roman" w:cs="Times New Roman"/>
        </w:rPr>
        <w:t>s the software and data utilised to create global Sankey diagrams for</w:t>
      </w:r>
      <w:r w:rsidRPr="00CE0A61">
        <w:rPr>
          <w:rFonts w:ascii="Times New Roman" w:hAnsi="Times New Roman" w:cs="Times New Roman"/>
        </w:rPr>
        <w:t xml:space="preserve"> steel, chromium, moly</w:t>
      </w:r>
      <w:r w:rsidR="008B3FC6" w:rsidRPr="00CE0A61">
        <w:rPr>
          <w:rFonts w:ascii="Times New Roman" w:hAnsi="Times New Roman" w:cs="Times New Roman"/>
        </w:rPr>
        <w:t xml:space="preserve">bdenum, niobium and vanadium. </w:t>
      </w:r>
      <w:r w:rsidR="00E802EC" w:rsidRPr="00CE0A61">
        <w:rPr>
          <w:rFonts w:ascii="Times New Roman" w:hAnsi="Times New Roman" w:cs="Times New Roman"/>
        </w:rPr>
        <w:t>In-depth explanations and assumptions based on each individual element are explained in their respective sections.</w:t>
      </w:r>
    </w:p>
    <w:p w:rsidR="00DF319F" w:rsidRDefault="00CC009D" w:rsidP="009E0368">
      <w:pPr>
        <w:pStyle w:val="Heading3"/>
      </w:pPr>
      <w:r>
        <w:t>4</w:t>
      </w:r>
      <w:r w:rsidR="002E60E6" w:rsidRPr="009E0368">
        <w:t xml:space="preserve">.1.1 Description of </w:t>
      </w:r>
      <w:r w:rsidR="00CF6DD0" w:rsidRPr="009E0368">
        <w:t>e!</w:t>
      </w:r>
      <w:r w:rsidR="00DF319F" w:rsidRPr="009E0368">
        <w:t>Sankey</w:t>
      </w:r>
      <w:r w:rsidR="00CF6DD0" w:rsidRPr="009E0368">
        <w:t xml:space="preserve"> software</w:t>
      </w:r>
      <w:r w:rsidR="009E0368" w:rsidRPr="009E0368">
        <w:t xml:space="preserve"> </w:t>
      </w:r>
    </w:p>
    <w:p w:rsidR="00E11B17" w:rsidRPr="00CE0A61" w:rsidRDefault="00E11B17" w:rsidP="00E11B17">
      <w:pPr>
        <w:tabs>
          <w:tab w:val="left" w:pos="7694"/>
        </w:tabs>
        <w:spacing w:after="0" w:line="360" w:lineRule="auto"/>
        <w:ind w:firstLine="720"/>
        <w:jc w:val="both"/>
        <w:rPr>
          <w:rFonts w:ascii="Times New Roman" w:eastAsia="Times New Roman" w:hAnsi="Times New Roman" w:cs="Times New Roman"/>
        </w:rPr>
      </w:pPr>
      <w:r w:rsidRPr="00CE0A61">
        <w:rPr>
          <w:rFonts w:ascii="Times New Roman" w:eastAsia="Calibri" w:hAnsi="Times New Roman" w:cs="Times New Roman"/>
        </w:rPr>
        <w:t>Via the use of commercial software from Umberto called e</w:t>
      </w:r>
      <w:proofErr w:type="gramStart"/>
      <w:r w:rsidRPr="00CE0A61">
        <w:rPr>
          <w:rFonts w:ascii="Times New Roman" w:eastAsia="Calibri" w:hAnsi="Times New Roman" w:cs="Times New Roman"/>
        </w:rPr>
        <w:t>!Sankey</w:t>
      </w:r>
      <w:proofErr w:type="gramEnd"/>
      <w:r w:rsidRPr="00CE0A61">
        <w:rPr>
          <w:rFonts w:ascii="Times New Roman" w:eastAsia="Calibri" w:hAnsi="Times New Roman" w:cs="Times New Roman"/>
        </w:rPr>
        <w:t xml:space="preserve"> pro version 3.2, Sankey diagrams were selected as the primary visualisation tool to represent global mass flows of steel, </w:t>
      </w:r>
      <w:r w:rsidRPr="00CE0A61">
        <w:rPr>
          <w:rFonts w:ascii="Times New Roman" w:hAnsi="Times New Roman" w:cs="Times New Roman"/>
        </w:rPr>
        <w:t>chromium, molybdenum, niobium and vanadium</w:t>
      </w:r>
      <w:r w:rsidRPr="00CE0A61">
        <w:rPr>
          <w:rFonts w:ascii="Times New Roman" w:eastAsia="Calibri" w:hAnsi="Times New Roman" w:cs="Times New Roman"/>
        </w:rPr>
        <w:t xml:space="preserve">. </w:t>
      </w:r>
      <w:r w:rsidR="008052F1" w:rsidRPr="00CE0A61">
        <w:rPr>
          <w:rFonts w:ascii="Times New Roman" w:eastAsia="Calibri" w:hAnsi="Times New Roman" w:cs="Times New Roman"/>
        </w:rPr>
        <w:t>Choice</w:t>
      </w:r>
      <w:r w:rsidRPr="00CE0A61">
        <w:rPr>
          <w:rFonts w:ascii="Times New Roman" w:eastAsia="Calibri" w:hAnsi="Times New Roman" w:cs="Times New Roman"/>
        </w:rPr>
        <w:t xml:space="preserve"> of the software was based firstly on the fact that </w:t>
      </w:r>
      <w:r w:rsidRPr="00CE0A61">
        <w:rPr>
          <w:rFonts w:ascii="Times New Roman" w:eastAsia="Times New Roman" w:hAnsi="Times New Roman" w:cs="Times New Roman"/>
        </w:rPr>
        <w:t>Sankey diagrams are distinctive, because the width of the arrows represent proportionality of the flow quantity. This feature draws the attention of viewers, thus allowing a quick ‘snapshot’ to areas of interest.</w:t>
      </w:r>
    </w:p>
    <w:p w:rsidR="00E11B17" w:rsidRPr="00CE0A61" w:rsidRDefault="00E11B17" w:rsidP="00E11B17">
      <w:pPr>
        <w:tabs>
          <w:tab w:val="left" w:pos="7694"/>
        </w:tabs>
        <w:spacing w:after="0" w:line="360" w:lineRule="auto"/>
        <w:ind w:firstLine="720"/>
        <w:jc w:val="both"/>
        <w:rPr>
          <w:rFonts w:ascii="Times New Roman" w:eastAsia="Times New Roman" w:hAnsi="Times New Roman" w:cs="Times New Roman"/>
        </w:rPr>
      </w:pPr>
      <w:r w:rsidRPr="00CE0A61">
        <w:rPr>
          <w:rFonts w:ascii="Times New Roman" w:eastAsia="Times New Roman" w:hAnsi="Times New Roman" w:cs="Times New Roman"/>
        </w:rPr>
        <w:t>Secondly to assist with creating the global Sankey diagrams, this particular ver</w:t>
      </w:r>
      <w:r w:rsidR="0034605F">
        <w:rPr>
          <w:rFonts w:ascii="Times New Roman" w:eastAsia="Times New Roman" w:hAnsi="Times New Roman" w:cs="Times New Roman"/>
        </w:rPr>
        <w:t>sion of e</w:t>
      </w:r>
      <w:proofErr w:type="gramStart"/>
      <w:r w:rsidR="0034605F">
        <w:rPr>
          <w:rFonts w:ascii="Times New Roman" w:eastAsia="Times New Roman" w:hAnsi="Times New Roman" w:cs="Times New Roman"/>
        </w:rPr>
        <w:t>!Sankey</w:t>
      </w:r>
      <w:proofErr w:type="gramEnd"/>
      <w:r w:rsidR="0034605F">
        <w:rPr>
          <w:rFonts w:ascii="Times New Roman" w:eastAsia="Times New Roman" w:hAnsi="Times New Roman" w:cs="Times New Roman"/>
        </w:rPr>
        <w:t xml:space="preserve"> contained an ‘E</w:t>
      </w:r>
      <w:r w:rsidRPr="00CE0A61">
        <w:rPr>
          <w:rFonts w:ascii="Times New Roman" w:eastAsia="Times New Roman" w:hAnsi="Times New Roman" w:cs="Times New Roman"/>
        </w:rPr>
        <w:t>xcel live link’ functionality. This feature, allowed a "liv</w:t>
      </w:r>
      <w:r w:rsidR="0034605F">
        <w:rPr>
          <w:rFonts w:ascii="Times New Roman" w:eastAsia="Times New Roman" w:hAnsi="Times New Roman" w:cs="Times New Roman"/>
        </w:rPr>
        <w:t>e" connection from one or more E</w:t>
      </w:r>
      <w:r w:rsidRPr="00CE0A61">
        <w:rPr>
          <w:rFonts w:ascii="Times New Roman" w:eastAsia="Times New Roman" w:hAnsi="Times New Roman" w:cs="Times New Roman"/>
        </w:rPr>
        <w:t>xcel spreadsheets to an individual e</w:t>
      </w:r>
      <w:proofErr w:type="gramStart"/>
      <w:r w:rsidRPr="00CE0A61">
        <w:rPr>
          <w:rFonts w:ascii="Times New Roman" w:eastAsia="Times New Roman" w:hAnsi="Times New Roman" w:cs="Times New Roman"/>
        </w:rPr>
        <w:t>!Sankey</w:t>
      </w:r>
      <w:proofErr w:type="gramEnd"/>
      <w:r w:rsidRPr="00CE0A61">
        <w:rPr>
          <w:rFonts w:ascii="Times New Roman" w:eastAsia="Times New Roman" w:hAnsi="Times New Roman" w:cs="Times New Roman"/>
        </w:rPr>
        <w:t xml:space="preserve"> diagram. Use of the live link function allowed alterations or corrections to be made only in the excel spreadsheet with the Sankey diagram automatically incorporating any new changes. Thus allowing for more efficient modelling. The availability of this function influenced the method of obtaining data and creating excel spreadshee</w:t>
      </w:r>
      <w:r w:rsidR="00F83AA2" w:rsidRPr="00CE0A61">
        <w:rPr>
          <w:rFonts w:ascii="Times New Roman" w:eastAsia="Times New Roman" w:hAnsi="Times New Roman" w:cs="Times New Roman"/>
        </w:rPr>
        <w:t xml:space="preserve">t tables first and then drawing </w:t>
      </w:r>
      <w:r w:rsidRPr="00CE0A61">
        <w:rPr>
          <w:rFonts w:ascii="Times New Roman" w:eastAsia="Times New Roman" w:hAnsi="Times New Roman" w:cs="Times New Roman"/>
        </w:rPr>
        <w:t xml:space="preserve">the Sankey diagrams. </w:t>
      </w:r>
    </w:p>
    <w:p w:rsidR="004E77ED" w:rsidRDefault="00F83AA2" w:rsidP="004E77ED">
      <w:pPr>
        <w:tabs>
          <w:tab w:val="left" w:pos="7694"/>
        </w:tabs>
        <w:spacing w:after="0" w:line="360" w:lineRule="auto"/>
        <w:ind w:firstLine="720"/>
        <w:jc w:val="both"/>
        <w:rPr>
          <w:rFonts w:ascii="Times New Roman" w:eastAsia="Times New Roman" w:hAnsi="Times New Roman" w:cs="Times New Roman"/>
        </w:rPr>
      </w:pPr>
      <w:r w:rsidRPr="00CE0A61">
        <w:rPr>
          <w:rFonts w:ascii="Times New Roman" w:eastAsia="Times New Roman" w:hAnsi="Times New Roman" w:cs="Times New Roman"/>
        </w:rPr>
        <w:t>However, limitations of utilising Sankey diagrams</w:t>
      </w:r>
      <w:r w:rsidR="008052F1" w:rsidRPr="00CE0A61">
        <w:rPr>
          <w:rFonts w:ascii="Times New Roman" w:eastAsia="Times New Roman" w:hAnsi="Times New Roman" w:cs="Times New Roman"/>
        </w:rPr>
        <w:t xml:space="preserve"> include</w:t>
      </w:r>
      <w:r w:rsidRPr="00CE0A61">
        <w:rPr>
          <w:rFonts w:ascii="Times New Roman" w:eastAsia="Times New Roman" w:hAnsi="Times New Roman" w:cs="Times New Roman"/>
        </w:rPr>
        <w:t xml:space="preserve"> that they do not specify accumulated</w:t>
      </w:r>
      <w:r w:rsidR="008052F1" w:rsidRPr="00CE0A61">
        <w:rPr>
          <w:rFonts w:ascii="Times New Roman" w:eastAsia="Times New Roman" w:hAnsi="Times New Roman" w:cs="Times New Roman"/>
        </w:rPr>
        <w:t>,</w:t>
      </w:r>
      <w:r w:rsidRPr="00CE0A61">
        <w:rPr>
          <w:rFonts w:ascii="Times New Roman" w:eastAsia="Times New Roman" w:hAnsi="Times New Roman" w:cs="Times New Roman"/>
        </w:rPr>
        <w:t xml:space="preserve"> natural or man-made material stocks. Nor do they account for surplus resources and emissions (i.e. chemicals, gas and water) during material transformation processes.</w:t>
      </w:r>
      <w:r w:rsidRPr="00E802EC">
        <w:rPr>
          <w:rFonts w:ascii="Times New Roman" w:eastAsia="Times New Roman" w:hAnsi="Times New Roman" w:cs="Times New Roman"/>
        </w:rPr>
        <w:t xml:space="preserve"> </w:t>
      </w:r>
    </w:p>
    <w:p w:rsidR="004E77ED" w:rsidRPr="00E802EC" w:rsidRDefault="004E77ED" w:rsidP="00CE0A61">
      <w:pPr>
        <w:tabs>
          <w:tab w:val="left" w:pos="7694"/>
        </w:tabs>
        <w:spacing w:after="0" w:line="360" w:lineRule="auto"/>
        <w:jc w:val="both"/>
        <w:rPr>
          <w:rFonts w:ascii="Times New Roman" w:eastAsia="Times New Roman" w:hAnsi="Times New Roman" w:cs="Times New Roman"/>
        </w:rPr>
      </w:pPr>
    </w:p>
    <w:p w:rsidR="004E77ED" w:rsidRDefault="004E77ED" w:rsidP="00E11B17">
      <w:pPr>
        <w:tabs>
          <w:tab w:val="left" w:pos="7694"/>
        </w:tabs>
        <w:spacing w:after="0" w:line="360" w:lineRule="auto"/>
        <w:ind w:firstLine="720"/>
        <w:jc w:val="both"/>
        <w:rPr>
          <w:rFonts w:ascii="Times New Roman" w:eastAsia="Times New Roman" w:hAnsi="Times New Roman" w:cs="Times New Roman"/>
        </w:rPr>
        <w:sectPr w:rsidR="004E77ED" w:rsidSect="00C24042">
          <w:pgSz w:w="11906" w:h="16838"/>
          <w:pgMar w:top="1440" w:right="1440" w:bottom="1440" w:left="1440" w:header="708" w:footer="708" w:gutter="0"/>
          <w:cols w:space="708"/>
          <w:docGrid w:linePitch="360"/>
        </w:sectPr>
      </w:pPr>
    </w:p>
    <w:p w:rsidR="00972925" w:rsidRPr="00A1085C" w:rsidRDefault="00CC009D" w:rsidP="00972925">
      <w:pPr>
        <w:pStyle w:val="Heading3"/>
        <w:rPr>
          <w:rFonts w:eastAsia="Calibri"/>
        </w:rPr>
      </w:pPr>
      <w:r>
        <w:rPr>
          <w:rFonts w:eastAsia="Calibri"/>
        </w:rPr>
        <w:lastRenderedPageBreak/>
        <w:t>4</w:t>
      </w:r>
      <w:r w:rsidR="00972925" w:rsidRPr="00A1085C">
        <w:rPr>
          <w:rFonts w:eastAsia="Calibri"/>
        </w:rPr>
        <w:t>.1.2 Data Availability</w:t>
      </w:r>
    </w:p>
    <w:p w:rsidR="004E77ED" w:rsidRPr="00CE0A61" w:rsidRDefault="004E77ED" w:rsidP="004E77ED">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t>The 4 elements (</w:t>
      </w:r>
      <w:r w:rsidRPr="00CE0A61">
        <w:rPr>
          <w:rFonts w:ascii="Times New Roman" w:eastAsia="Times New Roman" w:hAnsi="Times New Roman" w:cs="Times New Roman"/>
        </w:rPr>
        <w:t>chromium, molybdenum, niobium and vanadium)</w:t>
      </w:r>
      <w:r w:rsidRPr="00CE0A61">
        <w:rPr>
          <w:rFonts w:ascii="Times New Roman" w:eastAsia="Calibri" w:hAnsi="Times New Roman" w:cs="Times New Roman"/>
        </w:rPr>
        <w:t xml:space="preserve"> and single alloy (steel) were populated using data from a variety of academic sources as well as international organisational bodies. In some instances, where direct data was not available, the missing data was back-calculated, estimated or inferred from.</w:t>
      </w:r>
    </w:p>
    <w:p w:rsidR="004E77ED" w:rsidRPr="00CE0A61" w:rsidRDefault="004E77ED" w:rsidP="004E77ED">
      <w:pPr>
        <w:spacing w:after="0" w:line="360" w:lineRule="auto"/>
        <w:ind w:firstLine="720"/>
        <w:jc w:val="both"/>
        <w:rPr>
          <w:rFonts w:ascii="Times New Roman" w:eastAsia="Times New Roman" w:hAnsi="Times New Roman" w:cs="Times New Roman"/>
        </w:rPr>
      </w:pPr>
      <w:r w:rsidRPr="00CE0A61">
        <w:rPr>
          <w:rFonts w:ascii="Times New Roman" w:eastAsia="Calibri" w:hAnsi="Times New Roman" w:cs="Times New Roman"/>
        </w:rPr>
        <w:t>The following sections provide further in-depth information about the data, methods and assumptions applied to create each individual global flow. For each of the 4 elements, the mass flow estimations were divided into 4 categories: Mining,</w:t>
      </w:r>
      <w:r w:rsidRPr="00CE0A61">
        <w:rPr>
          <w:rFonts w:ascii="Times New Roman" w:eastAsia="Times New Roman" w:hAnsi="Times New Roman" w:cs="Times New Roman"/>
        </w:rPr>
        <w:t xml:space="preserve"> Processing, Generic Applications and Metallurgical Applications. With regards to steel, selection of categories used to estimate mass flow were based on the original data source</w:t>
      </w:r>
    </w:p>
    <w:p w:rsidR="004E77ED" w:rsidRDefault="004E77ED" w:rsidP="004E77ED">
      <w:pPr>
        <w:tabs>
          <w:tab w:val="left" w:pos="7694"/>
        </w:tabs>
        <w:spacing w:after="0" w:line="360" w:lineRule="auto"/>
        <w:ind w:firstLine="720"/>
        <w:jc w:val="both"/>
        <w:rPr>
          <w:rFonts w:ascii="Times New Roman" w:eastAsia="Times New Roman" w:hAnsi="Times New Roman" w:cs="Times New Roman"/>
        </w:rPr>
      </w:pPr>
      <w:r w:rsidRPr="00CE0A61">
        <w:rPr>
          <w:rFonts w:ascii="Times New Roman" w:eastAsia="Times New Roman" w:hAnsi="Times New Roman" w:cs="Times New Roman"/>
        </w:rPr>
        <w:t>For distinction within the Sankey diagrams, colour was used in the cases of chromium, molybdenum, niobium and vanadium to highlight 3 different types of flow: primary, recycled and waste flows. As regards to steel, colour was used to distinguish between the different processing stages.</w:t>
      </w:r>
    </w:p>
    <w:p w:rsidR="004E77ED" w:rsidRDefault="004E77ED" w:rsidP="00CE0A61">
      <w:pPr>
        <w:tabs>
          <w:tab w:val="left" w:pos="7694"/>
        </w:tabs>
        <w:spacing w:after="0" w:line="360" w:lineRule="auto"/>
        <w:jc w:val="both"/>
        <w:rPr>
          <w:rFonts w:ascii="Times New Roman" w:eastAsia="Times New Roman" w:hAnsi="Times New Roman" w:cs="Times New Roman"/>
        </w:rPr>
      </w:pPr>
    </w:p>
    <w:p w:rsidR="004E77ED" w:rsidRDefault="004E77ED" w:rsidP="004E77ED">
      <w:pPr>
        <w:tabs>
          <w:tab w:val="left" w:pos="7694"/>
        </w:tabs>
        <w:spacing w:after="0" w:line="360" w:lineRule="auto"/>
        <w:ind w:firstLine="720"/>
        <w:jc w:val="both"/>
        <w:rPr>
          <w:rFonts w:ascii="Times New Roman" w:eastAsia="Times New Roman" w:hAnsi="Times New Roman" w:cs="Times New Roman"/>
        </w:rPr>
        <w:sectPr w:rsidR="004E77ED" w:rsidSect="00C24042">
          <w:pgSz w:w="11906" w:h="16838"/>
          <w:pgMar w:top="1440" w:right="1440" w:bottom="1440" w:left="1440" w:header="708" w:footer="708" w:gutter="0"/>
          <w:cols w:space="708"/>
          <w:docGrid w:linePitch="360"/>
        </w:sectPr>
      </w:pPr>
    </w:p>
    <w:p w:rsidR="00662415" w:rsidRPr="00A1085C" w:rsidRDefault="00662415" w:rsidP="00662415">
      <w:pPr>
        <w:spacing w:after="0" w:line="360" w:lineRule="auto"/>
        <w:jc w:val="both"/>
        <w:rPr>
          <w:rFonts w:ascii="Times New Roman" w:eastAsia="Calibri" w:hAnsi="Times New Roman" w:cs="Times New Roman"/>
          <w:b/>
        </w:rPr>
      </w:pPr>
      <w:proofErr w:type="spellStart"/>
      <w:r w:rsidRPr="00A1085C">
        <w:rPr>
          <w:rFonts w:ascii="Times New Roman" w:eastAsia="Calibri" w:hAnsi="Times New Roman" w:cs="Times New Roman"/>
          <w:b/>
        </w:rPr>
        <w:lastRenderedPageBreak/>
        <w:t>i</w:t>
      </w:r>
      <w:proofErr w:type="spellEnd"/>
      <w:r w:rsidRPr="00A1085C">
        <w:rPr>
          <w:rFonts w:ascii="Times New Roman" w:eastAsia="Calibri" w:hAnsi="Times New Roman" w:cs="Times New Roman"/>
          <w:b/>
        </w:rPr>
        <w:t>)</w:t>
      </w:r>
      <w:r w:rsidR="00A377D4" w:rsidRPr="00A1085C">
        <w:rPr>
          <w:rFonts w:ascii="Times New Roman" w:eastAsia="Calibri" w:hAnsi="Times New Roman" w:cs="Times New Roman"/>
          <w:b/>
        </w:rPr>
        <w:t xml:space="preserve"> Steel</w:t>
      </w:r>
    </w:p>
    <w:p w:rsidR="00326DD0" w:rsidRPr="00CE0A61" w:rsidRDefault="00326DD0" w:rsidP="00326DD0">
      <w:pPr>
        <w:rPr>
          <w:rFonts w:ascii="Times New Roman" w:eastAsia="Calibri" w:hAnsi="Times New Roman" w:cs="Times New Roman"/>
        </w:rPr>
      </w:pPr>
      <w:bookmarkStart w:id="47" w:name="_Ref473138754"/>
      <w:bookmarkStart w:id="48" w:name="_Toc474486515"/>
      <w:bookmarkStart w:id="49" w:name="_Toc495852685"/>
      <w:r w:rsidRPr="00CE0A61">
        <w:rPr>
          <w:rFonts w:ascii="Times New Roman" w:hAnsi="Times New Roman" w:cs="Times New Roman"/>
        </w:rPr>
        <w:t xml:space="preserve">Table </w:t>
      </w:r>
      <w:r w:rsidR="009A0ED7" w:rsidRPr="00CE0A61">
        <w:rPr>
          <w:rFonts w:ascii="Times New Roman" w:hAnsi="Times New Roman" w:cs="Times New Roman"/>
        </w:rPr>
        <w:fldChar w:fldCharType="begin"/>
      </w:r>
      <w:r w:rsidRPr="00CE0A61">
        <w:rPr>
          <w:rFonts w:ascii="Times New Roman" w:hAnsi="Times New Roman" w:cs="Times New Roman"/>
        </w:rPr>
        <w:instrText xml:space="preserve"> SEQ Table \* ARABIC </w:instrText>
      </w:r>
      <w:r w:rsidR="009A0ED7" w:rsidRPr="00CE0A61">
        <w:rPr>
          <w:rFonts w:ascii="Times New Roman" w:hAnsi="Times New Roman" w:cs="Times New Roman"/>
        </w:rPr>
        <w:fldChar w:fldCharType="separate"/>
      </w:r>
      <w:r w:rsidR="009F5483">
        <w:rPr>
          <w:rFonts w:ascii="Times New Roman" w:hAnsi="Times New Roman" w:cs="Times New Roman"/>
          <w:noProof/>
        </w:rPr>
        <w:t>7</w:t>
      </w:r>
      <w:r w:rsidR="009A0ED7" w:rsidRPr="00CE0A61">
        <w:rPr>
          <w:rFonts w:ascii="Times New Roman" w:hAnsi="Times New Roman" w:cs="Times New Roman"/>
        </w:rPr>
        <w:fldChar w:fldCharType="end"/>
      </w:r>
      <w:bookmarkEnd w:id="47"/>
      <w:r w:rsidRPr="00CE0A61">
        <w:rPr>
          <w:rFonts w:ascii="Times New Roman" w:hAnsi="Times New Roman" w:cs="Times New Roman"/>
        </w:rPr>
        <w:t xml:space="preserve">. </w:t>
      </w:r>
      <w:bookmarkEnd w:id="48"/>
      <w:r w:rsidR="006F7BC2" w:rsidRPr="00CE0A61">
        <w:rPr>
          <w:rFonts w:ascii="Times New Roman" w:eastAsia="Calibri" w:hAnsi="Times New Roman" w:cs="Times New Roman"/>
        </w:rPr>
        <w:t>Input data utilised to create global steel Sankey diagram</w:t>
      </w:r>
      <w:r w:rsidR="00625D7E" w:rsidRPr="00CE0A61">
        <w:rPr>
          <w:rFonts w:ascii="Times New Roman" w:eastAsia="Calibri" w:hAnsi="Times New Roman" w:cs="Times New Roman"/>
        </w:rPr>
        <w:t xml:space="preserve"> for the year 2008</w:t>
      </w:r>
      <w:r w:rsidR="006F7BC2" w:rsidRPr="00CE0A61">
        <w:rPr>
          <w:rFonts w:ascii="Times New Roman" w:eastAsia="Calibri" w:hAnsi="Times New Roman" w:cs="Times New Roman"/>
        </w:rPr>
        <w:t>.</w:t>
      </w:r>
      <w:bookmarkEnd w:id="49"/>
    </w:p>
    <w:tbl>
      <w:tblPr>
        <w:tblW w:w="0" w:type="auto"/>
        <w:tblInd w:w="108" w:type="dxa"/>
        <w:tblCellMar>
          <w:left w:w="10" w:type="dxa"/>
          <w:right w:w="10" w:type="dxa"/>
        </w:tblCellMar>
        <w:tblLook w:val="04A0" w:firstRow="1" w:lastRow="0" w:firstColumn="1" w:lastColumn="0" w:noHBand="0" w:noVBand="1"/>
      </w:tblPr>
      <w:tblGrid>
        <w:gridCol w:w="1907"/>
        <w:gridCol w:w="2682"/>
        <w:gridCol w:w="1503"/>
        <w:gridCol w:w="1537"/>
        <w:gridCol w:w="1279"/>
      </w:tblGrid>
      <w:tr w:rsidR="00326DD0" w:rsidRPr="004E6172" w:rsidTr="002F2832">
        <w:tc>
          <w:tcPr>
            <w:tcW w:w="19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b/>
              </w:rPr>
            </w:pPr>
          </w:p>
          <w:p w:rsidR="00326DD0" w:rsidRPr="004E6172" w:rsidRDefault="00326DD0" w:rsidP="002F2832">
            <w:pPr>
              <w:spacing w:after="0" w:line="360" w:lineRule="auto"/>
              <w:jc w:val="center"/>
              <w:rPr>
                <w:rFonts w:ascii="Times New Roman" w:eastAsia="Calibri" w:hAnsi="Times New Roman" w:cs="Times New Roman"/>
                <w:b/>
              </w:rPr>
            </w:pPr>
          </w:p>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b/>
              </w:rPr>
              <w:t>Stage</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b/>
              </w:rPr>
            </w:pPr>
          </w:p>
          <w:p w:rsidR="00326DD0" w:rsidRPr="004E6172" w:rsidRDefault="00326DD0" w:rsidP="002F2832">
            <w:pPr>
              <w:spacing w:after="0" w:line="360" w:lineRule="auto"/>
              <w:jc w:val="center"/>
              <w:rPr>
                <w:rFonts w:ascii="Times New Roman" w:eastAsia="Calibri" w:hAnsi="Times New Roman" w:cs="Times New Roman"/>
                <w:b/>
              </w:rPr>
            </w:pPr>
          </w:p>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b/>
              </w:rPr>
              <w:t>Description</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b/>
              </w:rPr>
            </w:pPr>
          </w:p>
          <w:p w:rsidR="00326DD0" w:rsidRPr="004E6172" w:rsidRDefault="00326DD0" w:rsidP="002F2832">
            <w:pPr>
              <w:spacing w:after="0" w:line="360" w:lineRule="auto"/>
              <w:jc w:val="center"/>
              <w:rPr>
                <w:rFonts w:ascii="Times New Roman" w:eastAsia="Calibri" w:hAnsi="Times New Roman" w:cs="Times New Roman"/>
                <w:b/>
              </w:rPr>
            </w:pPr>
          </w:p>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b/>
              </w:rPr>
              <w:t>Tonnage (Mt)</w:t>
            </w:r>
          </w:p>
        </w:tc>
        <w:tc>
          <w:tcPr>
            <w:tcW w:w="15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b/>
              </w:rPr>
            </w:pPr>
          </w:p>
          <w:p w:rsidR="00326DD0" w:rsidRPr="004E6172" w:rsidRDefault="00326DD0" w:rsidP="002F2832">
            <w:pPr>
              <w:spacing w:after="0" w:line="360" w:lineRule="auto"/>
              <w:jc w:val="center"/>
              <w:rPr>
                <w:rFonts w:ascii="Times New Roman" w:eastAsia="Calibri" w:hAnsi="Times New Roman" w:cs="Times New Roman"/>
                <w:b/>
              </w:rPr>
            </w:pPr>
          </w:p>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b/>
              </w:rPr>
              <w:t>Data Source</w:t>
            </w:r>
          </w:p>
        </w:tc>
        <w:tc>
          <w:tcPr>
            <w:tcW w:w="13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b/>
              </w:rPr>
            </w:pPr>
          </w:p>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b/>
              </w:rPr>
              <w:t>Data Source Year</w:t>
            </w:r>
          </w:p>
        </w:tc>
      </w:tr>
      <w:tr w:rsidR="00326DD0" w:rsidRPr="004E6172" w:rsidTr="002F2832">
        <w:tc>
          <w:tcPr>
            <w:tcW w:w="195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b/>
              </w:rPr>
            </w:pPr>
            <w:r w:rsidRPr="004E6172">
              <w:rPr>
                <w:rFonts w:ascii="Times New Roman" w:eastAsia="Calibri" w:hAnsi="Times New Roman" w:cs="Times New Roman"/>
                <w:b/>
              </w:rPr>
              <w:t>Stage 1</w:t>
            </w:r>
          </w:p>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b/>
              </w:rPr>
              <w:t>(Ironmaking)</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Iron Ore</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1,002</w:t>
            </w:r>
          </w:p>
        </w:tc>
        <w:tc>
          <w:tcPr>
            <w:tcW w:w="156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p>
          <w:p w:rsidR="00326DD0" w:rsidRPr="004E6172" w:rsidRDefault="00326DD0" w:rsidP="002F2832">
            <w:pPr>
              <w:spacing w:after="0" w:line="360" w:lineRule="auto"/>
              <w:jc w:val="center"/>
              <w:rPr>
                <w:rFonts w:ascii="Times New Roman" w:eastAsia="Calibri" w:hAnsi="Times New Roman" w:cs="Times New Roman"/>
              </w:rPr>
            </w:pPr>
          </w:p>
          <w:p w:rsidR="00326DD0" w:rsidRPr="004E6172" w:rsidRDefault="00326DD0" w:rsidP="002F2832">
            <w:pPr>
              <w:spacing w:after="0" w:line="360" w:lineRule="auto"/>
              <w:jc w:val="center"/>
              <w:rPr>
                <w:rFonts w:ascii="Times New Roman" w:eastAsia="Calibri" w:hAnsi="Times New Roman" w:cs="Times New Roman"/>
              </w:rPr>
            </w:pPr>
          </w:p>
          <w:p w:rsidR="00326DD0" w:rsidRPr="004E6172" w:rsidRDefault="00326DD0" w:rsidP="002F2832">
            <w:pPr>
              <w:spacing w:after="0" w:line="360" w:lineRule="auto"/>
              <w:jc w:val="center"/>
              <w:rPr>
                <w:rFonts w:ascii="Times New Roman" w:eastAsia="Calibri" w:hAnsi="Times New Roman" w:cs="Times New Roman"/>
              </w:rPr>
            </w:pPr>
          </w:p>
          <w:p w:rsidR="00326DD0" w:rsidRPr="004E6172" w:rsidRDefault="00326DD0" w:rsidP="002F2832">
            <w:pPr>
              <w:spacing w:after="0" w:line="360" w:lineRule="auto"/>
              <w:jc w:val="center"/>
              <w:rPr>
                <w:rFonts w:ascii="Times New Roman" w:eastAsia="Calibri" w:hAnsi="Times New Roman" w:cs="Times New Roman"/>
              </w:rPr>
            </w:pPr>
          </w:p>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 xml:space="preserve">Cullen JM, Allwood JM, </w:t>
            </w:r>
            <w:proofErr w:type="spellStart"/>
            <w:proofErr w:type="gramStart"/>
            <w:r w:rsidRPr="004E6172">
              <w:rPr>
                <w:rFonts w:ascii="Times New Roman" w:eastAsia="Calibri" w:hAnsi="Times New Roman" w:cs="Times New Roman"/>
              </w:rPr>
              <w:t>Bambach</w:t>
            </w:r>
            <w:proofErr w:type="spellEnd"/>
            <w:proofErr w:type="gramEnd"/>
            <w:r w:rsidRPr="004E6172">
              <w:rPr>
                <w:rFonts w:ascii="Times New Roman" w:eastAsia="Calibri" w:hAnsi="Times New Roman" w:cs="Times New Roman"/>
              </w:rPr>
              <w:t xml:space="preserve"> MD (2012) Mapping the global flows of steel: From steelmaking to end-use goods. Environ </w:t>
            </w:r>
            <w:proofErr w:type="spellStart"/>
            <w:r w:rsidRPr="004E6172">
              <w:rPr>
                <w:rFonts w:ascii="Times New Roman" w:eastAsia="Calibri" w:hAnsi="Times New Roman" w:cs="Times New Roman"/>
              </w:rPr>
              <w:t>Sci</w:t>
            </w:r>
            <w:proofErr w:type="spellEnd"/>
            <w:r w:rsidRPr="004E6172">
              <w:rPr>
                <w:rFonts w:ascii="Times New Roman" w:eastAsia="Calibri" w:hAnsi="Times New Roman" w:cs="Times New Roman"/>
              </w:rPr>
              <w:t xml:space="preserve"> Technology 46 (24):13048-13055</w:t>
            </w:r>
          </w:p>
        </w:tc>
        <w:tc>
          <w:tcPr>
            <w:tcW w:w="132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p>
          <w:p w:rsidR="00326DD0" w:rsidRPr="004E6172" w:rsidRDefault="00326DD0" w:rsidP="002F2832">
            <w:pPr>
              <w:spacing w:after="0" w:line="360" w:lineRule="auto"/>
              <w:jc w:val="center"/>
              <w:rPr>
                <w:rFonts w:ascii="Times New Roman" w:eastAsia="Calibri" w:hAnsi="Times New Roman" w:cs="Times New Roman"/>
              </w:rPr>
            </w:pPr>
          </w:p>
          <w:p w:rsidR="00326DD0" w:rsidRPr="004E6172" w:rsidRDefault="00326DD0" w:rsidP="002F2832">
            <w:pPr>
              <w:spacing w:after="0" w:line="360" w:lineRule="auto"/>
              <w:jc w:val="center"/>
              <w:rPr>
                <w:rFonts w:ascii="Times New Roman" w:eastAsia="Calibri" w:hAnsi="Times New Roman" w:cs="Times New Roman"/>
              </w:rPr>
            </w:pPr>
          </w:p>
          <w:p w:rsidR="00326DD0" w:rsidRPr="004E6172" w:rsidRDefault="00326DD0" w:rsidP="002F2832">
            <w:pPr>
              <w:spacing w:after="0" w:line="360" w:lineRule="auto"/>
              <w:jc w:val="center"/>
              <w:rPr>
                <w:rFonts w:ascii="Times New Roman" w:eastAsia="Calibri" w:hAnsi="Times New Roman" w:cs="Times New Roman"/>
              </w:rPr>
            </w:pPr>
          </w:p>
          <w:p w:rsidR="00326DD0" w:rsidRPr="004E6172" w:rsidRDefault="00326DD0" w:rsidP="002F2832">
            <w:pPr>
              <w:spacing w:after="0" w:line="360" w:lineRule="auto"/>
              <w:jc w:val="center"/>
              <w:rPr>
                <w:rFonts w:ascii="Times New Roman" w:eastAsia="Calibri" w:hAnsi="Times New Roman" w:cs="Times New Roman"/>
              </w:rPr>
            </w:pPr>
          </w:p>
          <w:p w:rsidR="00326DD0" w:rsidRPr="004E6172" w:rsidRDefault="00326DD0" w:rsidP="002F2832">
            <w:pPr>
              <w:spacing w:after="0" w:line="360" w:lineRule="auto"/>
              <w:jc w:val="center"/>
              <w:rPr>
                <w:rFonts w:ascii="Times New Roman" w:eastAsia="Calibri" w:hAnsi="Times New Roman" w:cs="Times New Roman"/>
              </w:rPr>
            </w:pPr>
          </w:p>
          <w:p w:rsidR="00326DD0" w:rsidRPr="004E6172" w:rsidRDefault="00326DD0" w:rsidP="002F2832">
            <w:pPr>
              <w:spacing w:after="0" w:line="360" w:lineRule="auto"/>
              <w:jc w:val="center"/>
              <w:rPr>
                <w:rFonts w:ascii="Times New Roman" w:eastAsia="Calibri" w:hAnsi="Times New Roman" w:cs="Times New Roman"/>
              </w:rPr>
            </w:pPr>
          </w:p>
          <w:p w:rsidR="00326DD0" w:rsidRPr="004E6172" w:rsidRDefault="00326DD0" w:rsidP="002F2832">
            <w:pPr>
              <w:spacing w:after="0" w:line="360" w:lineRule="auto"/>
              <w:jc w:val="center"/>
              <w:rPr>
                <w:rFonts w:ascii="Times New Roman" w:eastAsia="Calibri" w:hAnsi="Times New Roman" w:cs="Times New Roman"/>
              </w:rPr>
            </w:pPr>
          </w:p>
          <w:p w:rsidR="00326DD0" w:rsidRPr="004E6172" w:rsidRDefault="00326DD0" w:rsidP="002F2832">
            <w:pPr>
              <w:spacing w:after="0" w:line="360" w:lineRule="auto"/>
              <w:jc w:val="center"/>
              <w:rPr>
                <w:rFonts w:ascii="Times New Roman" w:eastAsia="Calibri" w:hAnsi="Times New Roman" w:cs="Times New Roman"/>
              </w:rPr>
            </w:pPr>
          </w:p>
          <w:p w:rsidR="00326DD0" w:rsidRPr="004E6172" w:rsidRDefault="00326DD0" w:rsidP="002F2832">
            <w:pPr>
              <w:spacing w:after="0" w:line="360" w:lineRule="auto"/>
              <w:jc w:val="center"/>
              <w:rPr>
                <w:rFonts w:ascii="Times New Roman" w:eastAsia="Calibri" w:hAnsi="Times New Roman" w:cs="Times New Roman"/>
              </w:rPr>
            </w:pPr>
          </w:p>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2008</w:t>
            </w: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Scrap</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540</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b/>
              </w:rPr>
            </w:pPr>
            <w:r w:rsidRPr="004E6172">
              <w:rPr>
                <w:rFonts w:ascii="Times New Roman" w:eastAsia="Calibri" w:hAnsi="Times New Roman" w:cs="Times New Roman"/>
                <w:b/>
              </w:rPr>
              <w:t>Stage 2</w:t>
            </w:r>
          </w:p>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b/>
              </w:rPr>
              <w:t>(Steelmaking)</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Liquid Steel</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1,328</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Loss</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189</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b/>
              </w:rPr>
            </w:pPr>
          </w:p>
          <w:p w:rsidR="00326DD0" w:rsidRPr="004E6172" w:rsidRDefault="00326DD0" w:rsidP="002F2832">
            <w:pPr>
              <w:spacing w:after="0" w:line="360" w:lineRule="auto"/>
              <w:jc w:val="center"/>
              <w:rPr>
                <w:rFonts w:ascii="Times New Roman" w:eastAsia="Calibri" w:hAnsi="Times New Roman" w:cs="Times New Roman"/>
                <w:b/>
              </w:rPr>
            </w:pPr>
            <w:r w:rsidRPr="004E6172">
              <w:rPr>
                <w:rFonts w:ascii="Times New Roman" w:eastAsia="Calibri" w:hAnsi="Times New Roman" w:cs="Times New Roman"/>
                <w:b/>
              </w:rPr>
              <w:t>Stage 3</w:t>
            </w:r>
          </w:p>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b/>
              </w:rPr>
              <w:t>(Casting)</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Continuously Cast</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1,223</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Ingots</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82</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Liquid steel to cast products</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326DD0">
            <w:pPr>
              <w:spacing w:after="0" w:line="360" w:lineRule="auto"/>
              <w:rPr>
                <w:rFonts w:ascii="Times New Roman" w:eastAsia="Calibri" w:hAnsi="Times New Roman" w:cs="Times New Roman"/>
              </w:rPr>
            </w:pPr>
            <w:r w:rsidRPr="004E6172">
              <w:rPr>
                <w:rFonts w:ascii="Times New Roman" w:eastAsia="Calibri" w:hAnsi="Times New Roman" w:cs="Times New Roman"/>
              </w:rPr>
              <w:t xml:space="preserve">          11</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b/>
              </w:rPr>
            </w:pPr>
          </w:p>
          <w:p w:rsidR="00326DD0" w:rsidRPr="004E6172" w:rsidRDefault="00326DD0" w:rsidP="002F2832">
            <w:pPr>
              <w:spacing w:after="0" w:line="360" w:lineRule="auto"/>
              <w:jc w:val="center"/>
              <w:rPr>
                <w:rFonts w:ascii="Times New Roman" w:eastAsia="Calibri" w:hAnsi="Times New Roman" w:cs="Times New Roman"/>
                <w:b/>
              </w:rPr>
            </w:pPr>
          </w:p>
          <w:p w:rsidR="00326DD0" w:rsidRPr="004E6172" w:rsidRDefault="00326DD0" w:rsidP="002F2832">
            <w:pPr>
              <w:spacing w:after="0" w:line="360" w:lineRule="auto"/>
              <w:jc w:val="center"/>
              <w:rPr>
                <w:rFonts w:ascii="Times New Roman" w:eastAsia="Calibri" w:hAnsi="Times New Roman" w:cs="Times New Roman"/>
                <w:b/>
              </w:rPr>
            </w:pPr>
          </w:p>
          <w:p w:rsidR="00326DD0" w:rsidRPr="004E6172" w:rsidRDefault="00326DD0" w:rsidP="002F2832">
            <w:pPr>
              <w:spacing w:after="0" w:line="360" w:lineRule="auto"/>
              <w:jc w:val="center"/>
              <w:rPr>
                <w:rFonts w:ascii="Times New Roman" w:eastAsia="Calibri" w:hAnsi="Times New Roman" w:cs="Times New Roman"/>
                <w:b/>
              </w:rPr>
            </w:pPr>
            <w:r w:rsidRPr="004E6172">
              <w:rPr>
                <w:rFonts w:ascii="Times New Roman" w:eastAsia="Calibri" w:hAnsi="Times New Roman" w:cs="Times New Roman"/>
                <w:b/>
              </w:rPr>
              <w:t>Stage 4</w:t>
            </w:r>
          </w:p>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b/>
              </w:rPr>
              <w:t>(Hot Rolling)</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Blooms (Section Mill)</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104</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Billets (Rob/Bar Mill)</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491</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Slabs (Plate Mill)</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139</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Slabs (Hot Strip Mill)</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564</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Total</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1,298</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Hot Roll (Long Products)</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556</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Hot Roll (Flat Products)</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665</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b/>
              </w:rPr>
            </w:pPr>
          </w:p>
          <w:p w:rsidR="00326DD0" w:rsidRPr="004E6172" w:rsidRDefault="00326DD0" w:rsidP="002F2832">
            <w:pPr>
              <w:spacing w:after="0" w:line="360" w:lineRule="auto"/>
              <w:jc w:val="center"/>
              <w:rPr>
                <w:rFonts w:ascii="Times New Roman" w:eastAsia="Calibri" w:hAnsi="Times New Roman" w:cs="Times New Roman"/>
                <w:b/>
              </w:rPr>
            </w:pPr>
          </w:p>
          <w:p w:rsidR="00326DD0" w:rsidRPr="004E6172" w:rsidRDefault="00326DD0" w:rsidP="002F2832">
            <w:pPr>
              <w:spacing w:after="0" w:line="360" w:lineRule="auto"/>
              <w:jc w:val="center"/>
              <w:rPr>
                <w:rFonts w:ascii="Times New Roman" w:eastAsia="Calibri" w:hAnsi="Times New Roman" w:cs="Times New Roman"/>
                <w:b/>
              </w:rPr>
            </w:pPr>
          </w:p>
          <w:p w:rsidR="00326DD0" w:rsidRPr="004E6172" w:rsidRDefault="00326DD0" w:rsidP="002F2832">
            <w:pPr>
              <w:spacing w:after="0" w:line="360" w:lineRule="auto"/>
              <w:jc w:val="center"/>
              <w:rPr>
                <w:rFonts w:ascii="Times New Roman" w:eastAsia="Calibri" w:hAnsi="Times New Roman" w:cs="Times New Roman"/>
                <w:b/>
              </w:rPr>
            </w:pPr>
            <w:r w:rsidRPr="004E6172">
              <w:rPr>
                <w:rFonts w:ascii="Times New Roman" w:eastAsia="Calibri" w:hAnsi="Times New Roman" w:cs="Times New Roman"/>
                <w:b/>
              </w:rPr>
              <w:t>Stage 5</w:t>
            </w:r>
          </w:p>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b/>
              </w:rPr>
              <w:t>(Intermediate Products)</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Sections</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94</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Tube</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90</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Bar+ Rod</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432</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Plate</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110</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Cold Rolled Coil</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270</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Hot Rolled Coil</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200</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Cast Steel/Iron</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79</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r w:rsidR="00326DD0" w:rsidRPr="004E6172" w:rsidTr="002F2832">
        <w:tc>
          <w:tcPr>
            <w:tcW w:w="1951"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Total</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0" w:line="360" w:lineRule="auto"/>
              <w:jc w:val="center"/>
              <w:rPr>
                <w:rFonts w:ascii="Times New Roman" w:eastAsia="Calibri" w:hAnsi="Times New Roman" w:cs="Times New Roman"/>
              </w:rPr>
            </w:pPr>
            <w:r w:rsidRPr="004E6172">
              <w:rPr>
                <w:rFonts w:ascii="Times New Roman" w:eastAsia="Calibri" w:hAnsi="Times New Roman" w:cs="Times New Roman"/>
              </w:rPr>
              <w:t>1,275</w:t>
            </w:r>
          </w:p>
        </w:tc>
        <w:tc>
          <w:tcPr>
            <w:tcW w:w="156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c>
          <w:tcPr>
            <w:tcW w:w="132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26DD0" w:rsidRPr="004E6172" w:rsidRDefault="00326DD0" w:rsidP="002F2832">
            <w:pPr>
              <w:spacing w:after="200" w:line="360" w:lineRule="auto"/>
              <w:rPr>
                <w:rFonts w:ascii="Times New Roman" w:eastAsia="Calibri" w:hAnsi="Times New Roman" w:cs="Times New Roman"/>
              </w:rPr>
            </w:pPr>
          </w:p>
        </w:tc>
      </w:tr>
    </w:tbl>
    <w:p w:rsidR="00CF5A20" w:rsidRPr="00CE0A61" w:rsidRDefault="00CF5A20" w:rsidP="00CF5A20">
      <w:pPr>
        <w:spacing w:line="360" w:lineRule="auto"/>
        <w:jc w:val="both"/>
        <w:rPr>
          <w:rFonts w:ascii="Times New Roman" w:eastAsia="Calibri" w:hAnsi="Times New Roman" w:cs="Times New Roman"/>
        </w:rPr>
      </w:pPr>
    </w:p>
    <w:p w:rsidR="008E7C43" w:rsidRPr="00CE0A61" w:rsidRDefault="000835CF" w:rsidP="000835CF">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t xml:space="preserve">The steel Sankey diagram was created using </w:t>
      </w:r>
      <w:r w:rsidR="008E7C43" w:rsidRPr="00CE0A61">
        <w:rPr>
          <w:rFonts w:ascii="Times New Roman" w:eastAsia="Calibri" w:hAnsi="Times New Roman" w:cs="Times New Roman"/>
        </w:rPr>
        <w:t>data obtained from Table S2 in supporting i</w:t>
      </w:r>
      <w:r w:rsidRPr="00CE0A61">
        <w:rPr>
          <w:rFonts w:ascii="Times New Roman" w:eastAsia="Calibri" w:hAnsi="Times New Roman" w:cs="Times New Roman"/>
        </w:rPr>
        <w:t xml:space="preserve">nformation from </w:t>
      </w:r>
      <w:r w:rsidRPr="00CE0A61">
        <w:rPr>
          <w:rFonts w:ascii="Times New Roman" w:eastAsia="Calibri" w:hAnsi="Times New Roman" w:cs="Times New Roman"/>
          <w:noProof/>
        </w:rPr>
        <w:t>(Cullen et al. 2012)</w:t>
      </w:r>
      <w:r w:rsidR="002E4CB7" w:rsidRPr="00CE0A61">
        <w:rPr>
          <w:rFonts w:ascii="Times New Roman" w:eastAsia="Calibri" w:hAnsi="Times New Roman" w:cs="Times New Roman"/>
        </w:rPr>
        <w:t>. This approach was</w:t>
      </w:r>
      <w:r w:rsidRPr="00CE0A61">
        <w:rPr>
          <w:rFonts w:ascii="Times New Roman" w:eastAsia="Calibri" w:hAnsi="Times New Roman" w:cs="Times New Roman"/>
        </w:rPr>
        <w:t xml:space="preserve"> replicated </w:t>
      </w:r>
      <w:r w:rsidR="002E4CB7" w:rsidRPr="00CE0A61">
        <w:rPr>
          <w:rFonts w:ascii="Times New Roman" w:eastAsia="Calibri" w:hAnsi="Times New Roman" w:cs="Times New Roman"/>
        </w:rPr>
        <w:t xml:space="preserve">here </w:t>
      </w:r>
      <w:r w:rsidRPr="00CE0A61">
        <w:rPr>
          <w:rFonts w:ascii="Times New Roman" w:eastAsia="Calibri" w:hAnsi="Times New Roman" w:cs="Times New Roman"/>
        </w:rPr>
        <w:t xml:space="preserve">and can be seen along with detailed information regarding formulae, assumptions and original data sources utilised, in the Appendix </w:t>
      </w:r>
      <w:r w:rsidR="002E4CB7" w:rsidRPr="00CE0A61">
        <w:rPr>
          <w:rFonts w:ascii="Times New Roman" w:eastAsia="Calibri" w:hAnsi="Times New Roman" w:cs="Times New Roman"/>
        </w:rPr>
        <w:t>(</w:t>
      </w:r>
      <w:r w:rsidRPr="00CE0A61">
        <w:rPr>
          <w:rFonts w:ascii="Times New Roman" w:eastAsia="Calibri" w:hAnsi="Times New Roman" w:cs="Times New Roman"/>
        </w:rPr>
        <w:t>B1</w:t>
      </w:r>
      <w:r w:rsidR="002E4CB7" w:rsidRPr="00CE0A61">
        <w:rPr>
          <w:rFonts w:ascii="Times New Roman" w:eastAsia="Calibri" w:hAnsi="Times New Roman" w:cs="Times New Roman"/>
        </w:rPr>
        <w:t>.</w:t>
      </w:r>
      <w:r w:rsidRPr="00CE0A61">
        <w:rPr>
          <w:rFonts w:ascii="Times New Roman" w:eastAsia="Calibri" w:hAnsi="Times New Roman" w:cs="Times New Roman"/>
        </w:rPr>
        <w:t>Steel</w:t>
      </w:r>
      <w:r w:rsidR="002E4CB7" w:rsidRPr="00CE0A61">
        <w:rPr>
          <w:rFonts w:ascii="Times New Roman" w:eastAsia="Calibri" w:hAnsi="Times New Roman" w:cs="Times New Roman"/>
        </w:rPr>
        <w:t>). From the</w:t>
      </w:r>
      <w:r w:rsidR="009E207B" w:rsidRPr="00CE0A61">
        <w:rPr>
          <w:rFonts w:ascii="Times New Roman" w:eastAsia="Calibri" w:hAnsi="Times New Roman" w:cs="Times New Roman"/>
        </w:rPr>
        <w:t xml:space="preserve"> 116 flows calculated</w:t>
      </w:r>
      <w:r w:rsidRPr="00CE0A61">
        <w:rPr>
          <w:rFonts w:ascii="Times New Roman" w:eastAsia="Calibri" w:hAnsi="Times New Roman" w:cs="Times New Roman"/>
        </w:rPr>
        <w:t xml:space="preserve"> the data was split into 5 distinct stages and flows selected</w:t>
      </w:r>
      <w:r w:rsidR="009E207B" w:rsidRPr="00CE0A61">
        <w:rPr>
          <w:rFonts w:ascii="Times New Roman" w:eastAsia="Calibri" w:hAnsi="Times New Roman" w:cs="Times New Roman"/>
        </w:rPr>
        <w:t>,</w:t>
      </w:r>
      <w:r w:rsidRPr="00CE0A61">
        <w:rPr>
          <w:rFonts w:ascii="Times New Roman" w:eastAsia="Calibri" w:hAnsi="Times New Roman" w:cs="Times New Roman"/>
        </w:rPr>
        <w:t xml:space="preserve"> summarising the key inputs, outputs or products related to that stage as shown by </w:t>
      </w:r>
      <w:r w:rsidR="00A6415F" w:rsidRPr="00CE0A61">
        <w:fldChar w:fldCharType="begin"/>
      </w:r>
      <w:r w:rsidR="00A6415F" w:rsidRPr="00CE0A61">
        <w:instrText xml:space="preserve"> REF _Ref473138754 \h  \* MERGEFORMAT </w:instrText>
      </w:r>
      <w:r w:rsidR="00A6415F" w:rsidRPr="00CE0A61">
        <w:fldChar w:fldCharType="separate"/>
      </w:r>
      <w:r w:rsidR="009F5483" w:rsidRPr="00CE0A61">
        <w:rPr>
          <w:rFonts w:ascii="Times New Roman" w:hAnsi="Times New Roman" w:cs="Times New Roman"/>
        </w:rPr>
        <w:t xml:space="preserve">Table </w:t>
      </w:r>
      <w:r w:rsidR="009F5483">
        <w:rPr>
          <w:rFonts w:ascii="Times New Roman" w:hAnsi="Times New Roman" w:cs="Times New Roman"/>
        </w:rPr>
        <w:t>7</w:t>
      </w:r>
      <w:r w:rsidR="00A6415F" w:rsidRPr="00CE0A61">
        <w:fldChar w:fldCharType="end"/>
      </w:r>
      <w:r w:rsidRPr="00CE0A61">
        <w:rPr>
          <w:rFonts w:ascii="Times New Roman" w:eastAsia="Calibri" w:hAnsi="Times New Roman" w:cs="Times New Roman"/>
        </w:rPr>
        <w:t xml:space="preserve">. </w:t>
      </w:r>
    </w:p>
    <w:p w:rsidR="00705140" w:rsidRPr="00CE0A61" w:rsidRDefault="000835CF" w:rsidP="000835CF">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lastRenderedPageBreak/>
        <w:t xml:space="preserve">Whilst reconstructing the model based on data from </w:t>
      </w:r>
      <w:r w:rsidRPr="00CE0A61">
        <w:rPr>
          <w:rFonts w:ascii="Times New Roman" w:eastAsia="Calibri" w:hAnsi="Times New Roman" w:cs="Times New Roman"/>
          <w:noProof/>
        </w:rPr>
        <w:t>(Cullen et al. 2012)</w:t>
      </w:r>
      <w:r w:rsidRPr="00CE0A61">
        <w:rPr>
          <w:rFonts w:ascii="Times New Roman" w:eastAsia="Calibri" w:hAnsi="Times New Roman" w:cs="Times New Roman"/>
        </w:rPr>
        <w:t xml:space="preserve"> </w:t>
      </w:r>
      <w:r w:rsidR="00705140" w:rsidRPr="00CE0A61">
        <w:rPr>
          <w:rFonts w:ascii="Times New Roman" w:eastAsia="Calibri" w:hAnsi="Times New Roman" w:cs="Times New Roman"/>
        </w:rPr>
        <w:t>discrepancies for 7</w:t>
      </w:r>
      <w:r w:rsidR="00326DD0" w:rsidRPr="00CE0A61">
        <w:rPr>
          <w:rFonts w:ascii="Times New Roman" w:eastAsia="Calibri" w:hAnsi="Times New Roman" w:cs="Times New Roman"/>
        </w:rPr>
        <w:t xml:space="preserve"> </w:t>
      </w:r>
      <w:r w:rsidR="00705140" w:rsidRPr="00CE0A61">
        <w:rPr>
          <w:rFonts w:ascii="Times New Roman" w:eastAsia="Calibri" w:hAnsi="Times New Roman" w:cs="Times New Roman"/>
        </w:rPr>
        <w:t>flows (51, 52, 53, 57, 58, 66 and 67) were discovered</w:t>
      </w:r>
      <w:r w:rsidRPr="00CE0A61">
        <w:rPr>
          <w:rFonts w:ascii="Times New Roman" w:eastAsia="Calibri" w:hAnsi="Times New Roman" w:cs="Times New Roman"/>
        </w:rPr>
        <w:t>, which did not match</w:t>
      </w:r>
      <w:r w:rsidR="009E207B" w:rsidRPr="00CE0A61">
        <w:rPr>
          <w:rFonts w:ascii="Times New Roman" w:eastAsia="Calibri" w:hAnsi="Times New Roman" w:cs="Times New Roman"/>
        </w:rPr>
        <w:t xml:space="preserve"> the</w:t>
      </w:r>
      <w:r w:rsidR="00705140" w:rsidRPr="00CE0A61">
        <w:rPr>
          <w:rFonts w:ascii="Times New Roman" w:eastAsia="Calibri" w:hAnsi="Times New Roman" w:cs="Times New Roman"/>
        </w:rPr>
        <w:t xml:space="preserve"> original flow values. However,</w:t>
      </w:r>
      <w:r w:rsidR="00CA78E2" w:rsidRPr="00CE0A61">
        <w:rPr>
          <w:rFonts w:ascii="Times New Roman" w:eastAsia="Calibri" w:hAnsi="Times New Roman" w:cs="Times New Roman"/>
        </w:rPr>
        <w:t xml:space="preserve"> on contact with</w:t>
      </w:r>
      <w:r w:rsidR="00705140" w:rsidRPr="00CE0A61">
        <w:rPr>
          <w:rFonts w:ascii="Times New Roman" w:eastAsia="Calibri" w:hAnsi="Times New Roman" w:cs="Times New Roman"/>
        </w:rPr>
        <w:t xml:space="preserve"> one of the two original authors (</w:t>
      </w:r>
      <w:r w:rsidR="009E207B" w:rsidRPr="00CE0A61">
        <w:rPr>
          <w:rFonts w:ascii="Times New Roman" w:eastAsia="Calibri" w:hAnsi="Times New Roman" w:cs="Times New Roman"/>
        </w:rPr>
        <w:t xml:space="preserve">i.e. </w:t>
      </w:r>
      <w:r w:rsidR="00705140" w:rsidRPr="00CE0A61">
        <w:rPr>
          <w:rFonts w:ascii="Times New Roman" w:eastAsia="Calibri" w:hAnsi="Times New Roman" w:cs="Times New Roman"/>
        </w:rPr>
        <w:t>Jonathan Cullen) the discrepancies were resolved as follows:</w:t>
      </w:r>
    </w:p>
    <w:p w:rsidR="000306E5" w:rsidRPr="00CE0A61" w:rsidRDefault="00705140" w:rsidP="00EE7761">
      <w:pPr>
        <w:pStyle w:val="ListParagraph"/>
        <w:numPr>
          <w:ilvl w:val="0"/>
          <w:numId w:val="18"/>
        </w:numPr>
        <w:spacing w:after="0" w:line="360" w:lineRule="auto"/>
        <w:jc w:val="both"/>
        <w:rPr>
          <w:rFonts w:ascii="Times New Roman" w:eastAsia="Calibri" w:hAnsi="Times New Roman" w:cs="Times New Roman"/>
        </w:rPr>
      </w:pPr>
      <w:r w:rsidRPr="00CE0A61">
        <w:rPr>
          <w:rFonts w:ascii="Times New Roman" w:eastAsia="Calibri" w:hAnsi="Times New Roman" w:cs="Times New Roman"/>
        </w:rPr>
        <w:t xml:space="preserve">Flow 51 </w:t>
      </w:r>
      <w:r w:rsidR="00CA78E2" w:rsidRPr="00CE0A61">
        <w:rPr>
          <w:rFonts w:ascii="Times New Roman" w:eastAsia="Calibri" w:hAnsi="Times New Roman" w:cs="Times New Roman"/>
        </w:rPr>
        <w:t>was sta</w:t>
      </w:r>
      <w:r w:rsidR="00D82EC9" w:rsidRPr="00CE0A61">
        <w:rPr>
          <w:rFonts w:ascii="Times New Roman" w:eastAsia="Calibri" w:hAnsi="Times New Roman" w:cs="Times New Roman"/>
        </w:rPr>
        <w:t>ted as 10.5</w:t>
      </w:r>
      <w:r w:rsidR="009E207B" w:rsidRPr="00CE0A61">
        <w:rPr>
          <w:rFonts w:ascii="Times New Roman" w:eastAsia="Calibri" w:hAnsi="Times New Roman" w:cs="Times New Roman"/>
        </w:rPr>
        <w:t>Mt but the value was</w:t>
      </w:r>
      <w:r w:rsidR="00CA78E2" w:rsidRPr="00CE0A61">
        <w:rPr>
          <w:rFonts w:ascii="Times New Roman" w:eastAsia="Calibri" w:hAnsi="Times New Roman" w:cs="Times New Roman"/>
        </w:rPr>
        <w:t xml:space="preserve"> </w:t>
      </w:r>
      <w:r w:rsidRPr="00CE0A61">
        <w:rPr>
          <w:rFonts w:ascii="Times New Roman" w:eastAsia="Calibri" w:hAnsi="Times New Roman" w:cs="Times New Roman"/>
        </w:rPr>
        <w:t>actually</w:t>
      </w:r>
      <w:r w:rsidR="000631BD" w:rsidRPr="00CE0A61">
        <w:rPr>
          <w:rFonts w:ascii="Times New Roman" w:eastAsia="Calibri" w:hAnsi="Times New Roman" w:cs="Times New Roman"/>
        </w:rPr>
        <w:t xml:space="preserve"> 10.538Mt due to rounding errors.</w:t>
      </w:r>
    </w:p>
    <w:p w:rsidR="000631BD" w:rsidRPr="00CE0A61" w:rsidRDefault="00705140" w:rsidP="00EE7761">
      <w:pPr>
        <w:pStyle w:val="ListParagraph"/>
        <w:numPr>
          <w:ilvl w:val="0"/>
          <w:numId w:val="18"/>
        </w:numPr>
        <w:spacing w:after="0" w:line="360" w:lineRule="auto"/>
        <w:jc w:val="both"/>
        <w:rPr>
          <w:rFonts w:ascii="Times New Roman" w:eastAsia="Calibri" w:hAnsi="Times New Roman" w:cs="Times New Roman"/>
        </w:rPr>
      </w:pPr>
      <w:r w:rsidRPr="00CE0A61">
        <w:rPr>
          <w:rFonts w:ascii="Times New Roman" w:eastAsia="Calibri" w:hAnsi="Times New Roman" w:cs="Times New Roman"/>
        </w:rPr>
        <w:t>Flow 52</w:t>
      </w:r>
      <w:r w:rsidR="00CA78E2" w:rsidRPr="00CE0A61">
        <w:rPr>
          <w:rFonts w:ascii="Times New Roman" w:eastAsia="Calibri" w:hAnsi="Times New Roman" w:cs="Times New Roman"/>
        </w:rPr>
        <w:t xml:space="preserve"> was</w:t>
      </w:r>
      <w:r w:rsidR="00D82EC9" w:rsidRPr="00CE0A61">
        <w:rPr>
          <w:rFonts w:ascii="Times New Roman" w:eastAsia="Calibri" w:hAnsi="Times New Roman" w:cs="Times New Roman"/>
        </w:rPr>
        <w:t xml:space="preserve"> stated originally as 0.1</w:t>
      </w:r>
      <w:r w:rsidR="009E207B" w:rsidRPr="00CE0A61">
        <w:rPr>
          <w:rFonts w:ascii="Times New Roman" w:eastAsia="Calibri" w:hAnsi="Times New Roman" w:cs="Times New Roman"/>
        </w:rPr>
        <w:t>Mt. The value was</w:t>
      </w:r>
      <w:r w:rsidRPr="00CE0A61">
        <w:rPr>
          <w:rFonts w:ascii="Times New Roman" w:eastAsia="Calibri" w:hAnsi="Times New Roman" w:cs="Times New Roman"/>
        </w:rPr>
        <w:t xml:space="preserve"> correct but the original formulae</w:t>
      </w:r>
      <w:r w:rsidR="000631BD" w:rsidRPr="00CE0A61">
        <w:rPr>
          <w:rFonts w:ascii="Times New Roman" w:eastAsia="Calibri" w:hAnsi="Times New Roman" w:cs="Times New Roman"/>
        </w:rPr>
        <w:t xml:space="preserve"> wa</w:t>
      </w:r>
      <w:r w:rsidRPr="00CE0A61">
        <w:rPr>
          <w:rFonts w:ascii="Times New Roman" w:eastAsia="Calibri" w:hAnsi="Times New Roman" w:cs="Times New Roman"/>
        </w:rPr>
        <w:t xml:space="preserve">s </w:t>
      </w:r>
      <w:r w:rsidR="000631BD" w:rsidRPr="00CE0A61">
        <w:rPr>
          <w:rFonts w:ascii="Times New Roman" w:eastAsia="Calibri" w:hAnsi="Times New Roman" w:cs="Times New Roman"/>
        </w:rPr>
        <w:t xml:space="preserve">incorrect and altered to Flow [52] </w:t>
      </w:r>
      <w:r w:rsidR="0034605F">
        <w:rPr>
          <w:rFonts w:ascii="Times New Roman" w:eastAsia="Calibri" w:hAnsi="Times New Roman" w:cs="Times New Roman"/>
        </w:rPr>
        <w:t>= [51] / 0.522 ×</w:t>
      </w:r>
      <w:r w:rsidR="000306E5" w:rsidRPr="00CE0A61">
        <w:rPr>
          <w:rFonts w:ascii="Times New Roman" w:eastAsia="Calibri" w:hAnsi="Times New Roman" w:cs="Times New Roman"/>
        </w:rPr>
        <w:t xml:space="preserve"> [47] / ([46</w:t>
      </w:r>
      <w:proofErr w:type="gramStart"/>
      <w:r w:rsidR="000306E5" w:rsidRPr="00CE0A61">
        <w:rPr>
          <w:rFonts w:ascii="Times New Roman" w:eastAsia="Calibri" w:hAnsi="Times New Roman" w:cs="Times New Roman"/>
        </w:rPr>
        <w:t>]+</w:t>
      </w:r>
      <w:proofErr w:type="gramEnd"/>
      <w:r w:rsidR="000306E5" w:rsidRPr="00CE0A61">
        <w:rPr>
          <w:rFonts w:ascii="Times New Roman" w:eastAsia="Calibri" w:hAnsi="Times New Roman" w:cs="Times New Roman"/>
        </w:rPr>
        <w:t>[47]+[48])</w:t>
      </w:r>
      <w:r w:rsidR="000631BD" w:rsidRPr="00CE0A61">
        <w:rPr>
          <w:rFonts w:ascii="Times New Roman" w:eastAsia="Calibri" w:hAnsi="Times New Roman" w:cs="Times New Roman"/>
        </w:rPr>
        <w:t>.</w:t>
      </w:r>
    </w:p>
    <w:p w:rsidR="000306E5" w:rsidRPr="00CE0A61" w:rsidRDefault="009E207B" w:rsidP="00EE7761">
      <w:pPr>
        <w:pStyle w:val="ListParagraph"/>
        <w:numPr>
          <w:ilvl w:val="0"/>
          <w:numId w:val="18"/>
        </w:numPr>
        <w:spacing w:after="0" w:line="360" w:lineRule="auto"/>
        <w:jc w:val="both"/>
        <w:rPr>
          <w:rFonts w:ascii="Times New Roman" w:eastAsia="Calibri" w:hAnsi="Times New Roman" w:cs="Times New Roman"/>
        </w:rPr>
      </w:pPr>
      <w:r w:rsidRPr="00CE0A61">
        <w:rPr>
          <w:rFonts w:ascii="Times New Roman" w:eastAsia="Calibri" w:hAnsi="Times New Roman" w:cs="Times New Roman"/>
        </w:rPr>
        <w:t>Flow 53 was automatically correct</w:t>
      </w:r>
      <w:r w:rsidR="001E18F6">
        <w:rPr>
          <w:rFonts w:ascii="Times New Roman" w:eastAsia="Calibri" w:hAnsi="Times New Roman" w:cs="Times New Roman"/>
        </w:rPr>
        <w:t>ed</w:t>
      </w:r>
      <w:r w:rsidR="000631BD" w:rsidRPr="00CE0A61">
        <w:rPr>
          <w:rFonts w:ascii="Times New Roman" w:eastAsia="Calibri" w:hAnsi="Times New Roman" w:cs="Times New Roman"/>
        </w:rPr>
        <w:t>, due to correction made to flow 52.</w:t>
      </w:r>
    </w:p>
    <w:p w:rsidR="000631BD" w:rsidRPr="00CE0A61" w:rsidRDefault="000631BD" w:rsidP="00EE7761">
      <w:pPr>
        <w:pStyle w:val="ListParagraph"/>
        <w:numPr>
          <w:ilvl w:val="0"/>
          <w:numId w:val="18"/>
        </w:numPr>
        <w:spacing w:after="0" w:line="360" w:lineRule="auto"/>
        <w:jc w:val="both"/>
        <w:rPr>
          <w:rFonts w:ascii="Times New Roman" w:eastAsia="Calibri" w:hAnsi="Times New Roman" w:cs="Times New Roman"/>
        </w:rPr>
      </w:pPr>
      <w:r w:rsidRPr="00CE0A61">
        <w:rPr>
          <w:rFonts w:ascii="Times New Roman" w:eastAsia="Calibri" w:hAnsi="Times New Roman" w:cs="Times New Roman"/>
        </w:rPr>
        <w:t xml:space="preserve">Flow 57 </w:t>
      </w:r>
      <w:r w:rsidR="00D82EC9" w:rsidRPr="00CE0A61">
        <w:rPr>
          <w:rFonts w:ascii="Times New Roman" w:eastAsia="Calibri" w:hAnsi="Times New Roman" w:cs="Times New Roman"/>
        </w:rPr>
        <w:t xml:space="preserve">was </w:t>
      </w:r>
      <w:r w:rsidRPr="00CE0A61">
        <w:rPr>
          <w:rFonts w:ascii="Times New Roman" w:eastAsia="Calibri" w:hAnsi="Times New Roman" w:cs="Times New Roman"/>
        </w:rPr>
        <w:t>s</w:t>
      </w:r>
      <w:r w:rsidR="009E207B" w:rsidRPr="00CE0A61">
        <w:rPr>
          <w:rFonts w:ascii="Times New Roman" w:eastAsia="Calibri" w:hAnsi="Times New Roman" w:cs="Times New Roman"/>
        </w:rPr>
        <w:t>tated as 68.3Mt but the value was</w:t>
      </w:r>
      <w:r w:rsidRPr="00CE0A61">
        <w:rPr>
          <w:rFonts w:ascii="Times New Roman" w:eastAsia="Calibri" w:hAnsi="Times New Roman" w:cs="Times New Roman"/>
        </w:rPr>
        <w:t xml:space="preserve"> actually</w:t>
      </w:r>
      <w:r w:rsidR="00D82EC9" w:rsidRPr="00CE0A61">
        <w:rPr>
          <w:rFonts w:ascii="Times New Roman" w:eastAsia="Calibri" w:hAnsi="Times New Roman" w:cs="Times New Roman"/>
        </w:rPr>
        <w:t xml:space="preserve"> 68.303</w:t>
      </w:r>
      <w:r w:rsidRPr="00CE0A61">
        <w:rPr>
          <w:rFonts w:ascii="Times New Roman" w:eastAsia="Calibri" w:hAnsi="Times New Roman" w:cs="Times New Roman"/>
        </w:rPr>
        <w:t>Mt due to rounding errors.</w:t>
      </w:r>
    </w:p>
    <w:p w:rsidR="000631BD" w:rsidRPr="00CE0A61" w:rsidRDefault="000631BD" w:rsidP="00EE7761">
      <w:pPr>
        <w:pStyle w:val="ListParagraph"/>
        <w:numPr>
          <w:ilvl w:val="0"/>
          <w:numId w:val="18"/>
        </w:numPr>
        <w:spacing w:after="0" w:line="360" w:lineRule="auto"/>
        <w:jc w:val="both"/>
        <w:rPr>
          <w:rFonts w:ascii="Times New Roman" w:eastAsia="Calibri" w:hAnsi="Times New Roman" w:cs="Times New Roman"/>
        </w:rPr>
      </w:pPr>
      <w:r w:rsidRPr="00CE0A61">
        <w:rPr>
          <w:rFonts w:ascii="Times New Roman" w:eastAsia="Calibri" w:hAnsi="Times New Roman" w:cs="Times New Roman"/>
        </w:rPr>
        <w:t xml:space="preserve">Flow 58 </w:t>
      </w:r>
      <w:r w:rsidR="00D82EC9" w:rsidRPr="00CE0A61">
        <w:rPr>
          <w:rFonts w:ascii="Times New Roman" w:eastAsia="Calibri" w:hAnsi="Times New Roman" w:cs="Times New Roman"/>
        </w:rPr>
        <w:t>was stated as 0.5</w:t>
      </w:r>
      <w:r w:rsidRPr="00CE0A61">
        <w:rPr>
          <w:rFonts w:ascii="Times New Roman" w:eastAsia="Calibri" w:hAnsi="Times New Roman" w:cs="Times New Roman"/>
        </w:rPr>
        <w:t xml:space="preserve">Mt. The original value was not correct nor the original formulae which should have been </w:t>
      </w:r>
      <w:r w:rsidR="0034605F">
        <w:rPr>
          <w:rFonts w:ascii="Times New Roman" w:eastAsia="Calibri" w:hAnsi="Times New Roman" w:cs="Times New Roman"/>
        </w:rPr>
        <w:t>Flow [58] = [57] /0.522 ×</w:t>
      </w:r>
      <w:r w:rsidRPr="00CE0A61">
        <w:rPr>
          <w:rFonts w:ascii="Times New Roman" w:eastAsia="Calibri" w:hAnsi="Times New Roman" w:cs="Times New Roman"/>
        </w:rPr>
        <w:t xml:space="preserve"> [47] / ([46</w:t>
      </w:r>
      <w:proofErr w:type="gramStart"/>
      <w:r w:rsidRPr="00CE0A61">
        <w:rPr>
          <w:rFonts w:ascii="Times New Roman" w:eastAsia="Calibri" w:hAnsi="Times New Roman" w:cs="Times New Roman"/>
        </w:rPr>
        <w:t>]+</w:t>
      </w:r>
      <w:proofErr w:type="gramEnd"/>
      <w:r w:rsidRPr="00CE0A61">
        <w:rPr>
          <w:rFonts w:ascii="Times New Roman" w:eastAsia="Calibri" w:hAnsi="Times New Roman" w:cs="Times New Roman"/>
        </w:rPr>
        <w:t>[47]+[48]).</w:t>
      </w:r>
    </w:p>
    <w:p w:rsidR="00D82EC9" w:rsidRPr="00CE0A61" w:rsidRDefault="000631BD" w:rsidP="00EE7761">
      <w:pPr>
        <w:pStyle w:val="ListParagraph"/>
        <w:numPr>
          <w:ilvl w:val="0"/>
          <w:numId w:val="18"/>
        </w:numPr>
        <w:spacing w:after="0" w:line="360" w:lineRule="auto"/>
        <w:jc w:val="both"/>
        <w:rPr>
          <w:rFonts w:ascii="Times New Roman" w:eastAsia="Calibri" w:hAnsi="Times New Roman" w:cs="Times New Roman"/>
        </w:rPr>
      </w:pPr>
      <w:r w:rsidRPr="00CE0A61">
        <w:rPr>
          <w:rFonts w:ascii="Times New Roman" w:eastAsia="Calibri" w:hAnsi="Times New Roman" w:cs="Times New Roman"/>
        </w:rPr>
        <w:t xml:space="preserve">Flow 66 </w:t>
      </w:r>
      <w:r w:rsidR="00D82EC9" w:rsidRPr="00CE0A61">
        <w:rPr>
          <w:rFonts w:ascii="Times New Roman" w:eastAsia="Calibri" w:hAnsi="Times New Roman" w:cs="Times New Roman"/>
        </w:rPr>
        <w:t>w</w:t>
      </w:r>
      <w:r w:rsidR="009E207B" w:rsidRPr="00CE0A61">
        <w:rPr>
          <w:rFonts w:ascii="Times New Roman" w:eastAsia="Calibri" w:hAnsi="Times New Roman" w:cs="Times New Roman"/>
        </w:rPr>
        <w:t>as stated as 8.9Mt. The value was</w:t>
      </w:r>
      <w:r w:rsidR="00D82EC9" w:rsidRPr="00CE0A61">
        <w:rPr>
          <w:rFonts w:ascii="Times New Roman" w:eastAsia="Calibri" w:hAnsi="Times New Roman" w:cs="Times New Roman"/>
        </w:rPr>
        <w:t xml:space="preserve"> correct but the original formulae was incorrect and flow 64 should have instead been flow 65.</w:t>
      </w:r>
    </w:p>
    <w:p w:rsidR="00D82EC9" w:rsidRPr="00CE0A61" w:rsidRDefault="00D82EC9" w:rsidP="00EE7761">
      <w:pPr>
        <w:pStyle w:val="ListParagraph"/>
        <w:numPr>
          <w:ilvl w:val="0"/>
          <w:numId w:val="18"/>
        </w:numPr>
        <w:spacing w:after="0" w:line="360" w:lineRule="auto"/>
        <w:jc w:val="both"/>
        <w:rPr>
          <w:rFonts w:ascii="Times New Roman" w:eastAsia="Calibri" w:hAnsi="Times New Roman" w:cs="Times New Roman"/>
        </w:rPr>
      </w:pPr>
      <w:r w:rsidRPr="00CE0A61">
        <w:rPr>
          <w:rFonts w:ascii="Times New Roman" w:eastAsia="Calibri" w:hAnsi="Times New Roman" w:cs="Times New Roman"/>
        </w:rPr>
        <w:t>Flow 67 w</w:t>
      </w:r>
      <w:r w:rsidR="009E207B" w:rsidRPr="00CE0A61">
        <w:rPr>
          <w:rFonts w:ascii="Times New Roman" w:eastAsia="Calibri" w:hAnsi="Times New Roman" w:cs="Times New Roman"/>
        </w:rPr>
        <w:t>as stated as 1.6Mt. The value was</w:t>
      </w:r>
      <w:r w:rsidRPr="00CE0A61">
        <w:rPr>
          <w:rFonts w:ascii="Times New Roman" w:eastAsia="Calibri" w:hAnsi="Times New Roman" w:cs="Times New Roman"/>
        </w:rPr>
        <w:t xml:space="preserve"> correct but the original formulae was incorrect and flow 64 should have instead been flow 65.</w:t>
      </w:r>
    </w:p>
    <w:p w:rsidR="00C968A7" w:rsidRPr="00CE0A61" w:rsidRDefault="00C968A7" w:rsidP="003431F8">
      <w:pPr>
        <w:spacing w:after="0" w:line="360" w:lineRule="auto"/>
        <w:ind w:firstLine="720"/>
        <w:jc w:val="both"/>
        <w:rPr>
          <w:rFonts w:ascii="Times New Roman" w:eastAsia="Calibri" w:hAnsi="Times New Roman" w:cs="Times New Roman"/>
        </w:rPr>
      </w:pPr>
    </w:p>
    <w:p w:rsidR="004E77ED" w:rsidRPr="00CE0A61" w:rsidRDefault="003431F8" w:rsidP="004E77ED">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t>Despite the discrepancies, an attempt was made to update the global steel model from the year 2008 to the year 2014. However a number of significant flows (40,81,84,97,111,113,115,116) were not able to be updated directly through literature. An attempt was made to extrapolate these values from known quantities in other years and with available trend data.  But, due to large number of flows and in particular</w:t>
      </w:r>
      <w:r w:rsidR="002E4CB7" w:rsidRPr="00CE0A61">
        <w:rPr>
          <w:rFonts w:ascii="Times New Roman" w:eastAsia="Calibri" w:hAnsi="Times New Roman" w:cs="Times New Roman"/>
        </w:rPr>
        <w:t xml:space="preserve">, the connectivity of </w:t>
      </w:r>
      <w:r w:rsidRPr="00CE0A61">
        <w:rPr>
          <w:rFonts w:ascii="Times New Roman" w:eastAsia="Calibri" w:hAnsi="Times New Roman" w:cs="Times New Roman"/>
        </w:rPr>
        <w:t>flow value</w:t>
      </w:r>
      <w:r w:rsidR="002E4CB7" w:rsidRPr="00CE0A61">
        <w:rPr>
          <w:rFonts w:ascii="Times New Roman" w:eastAsia="Calibri" w:hAnsi="Times New Roman" w:cs="Times New Roman"/>
        </w:rPr>
        <w:t>s</w:t>
      </w:r>
      <w:r w:rsidRPr="00CE0A61">
        <w:rPr>
          <w:rFonts w:ascii="Times New Roman" w:eastAsia="Calibri" w:hAnsi="Times New Roman" w:cs="Times New Roman"/>
        </w:rPr>
        <w:t xml:space="preserve"> from one calculation to another</w:t>
      </w:r>
      <w:r w:rsidR="002E4CB7" w:rsidRPr="00CE0A61">
        <w:rPr>
          <w:rFonts w:ascii="Times New Roman" w:eastAsia="Calibri" w:hAnsi="Times New Roman" w:cs="Times New Roman"/>
        </w:rPr>
        <w:t xml:space="preserve">, </w:t>
      </w:r>
      <w:r w:rsidRPr="00CE0A61">
        <w:rPr>
          <w:rFonts w:ascii="Times New Roman" w:eastAsia="Calibri" w:hAnsi="Times New Roman" w:cs="Times New Roman"/>
        </w:rPr>
        <w:t>this would have decrease</w:t>
      </w:r>
      <w:r w:rsidR="00C968A7" w:rsidRPr="00CE0A61">
        <w:rPr>
          <w:rFonts w:ascii="Times New Roman" w:eastAsia="Calibri" w:hAnsi="Times New Roman" w:cs="Times New Roman"/>
        </w:rPr>
        <w:t>d</w:t>
      </w:r>
      <w:r w:rsidRPr="00CE0A61">
        <w:rPr>
          <w:rFonts w:ascii="Times New Roman" w:eastAsia="Calibri" w:hAnsi="Times New Roman" w:cs="Times New Roman"/>
        </w:rPr>
        <w:t xml:space="preserve"> in accur</w:t>
      </w:r>
      <w:r w:rsidR="0034605F">
        <w:rPr>
          <w:rFonts w:ascii="Times New Roman" w:eastAsia="Calibri" w:hAnsi="Times New Roman" w:cs="Times New Roman"/>
        </w:rPr>
        <w:t>acy and therefore has been left</w:t>
      </w:r>
      <w:r w:rsidRPr="00CE0A61">
        <w:rPr>
          <w:rFonts w:ascii="Times New Roman" w:eastAsia="Calibri" w:hAnsi="Times New Roman" w:cs="Times New Roman"/>
        </w:rPr>
        <w:t xml:space="preserve"> until such time where more reliable and accurate data is available.</w:t>
      </w:r>
    </w:p>
    <w:p w:rsidR="004E77ED" w:rsidRPr="00CE0A61" w:rsidRDefault="004E77ED" w:rsidP="009E207B">
      <w:pPr>
        <w:spacing w:after="0" w:line="360" w:lineRule="auto"/>
        <w:ind w:firstLine="720"/>
        <w:jc w:val="both"/>
        <w:rPr>
          <w:rFonts w:ascii="Times New Roman" w:eastAsia="Calibri" w:hAnsi="Times New Roman" w:cs="Times New Roman"/>
        </w:rPr>
      </w:pPr>
    </w:p>
    <w:p w:rsidR="004E77ED" w:rsidRDefault="004E77ED" w:rsidP="009E207B">
      <w:pPr>
        <w:spacing w:after="0" w:line="360" w:lineRule="auto"/>
        <w:ind w:firstLine="720"/>
        <w:jc w:val="both"/>
        <w:rPr>
          <w:rFonts w:ascii="Times New Roman" w:eastAsia="Calibri" w:hAnsi="Times New Roman" w:cs="Times New Roman"/>
        </w:rPr>
        <w:sectPr w:rsidR="004E77ED" w:rsidSect="00C24042">
          <w:pgSz w:w="11906" w:h="16838"/>
          <w:pgMar w:top="1440" w:right="1440" w:bottom="1440" w:left="1440" w:header="708" w:footer="708" w:gutter="0"/>
          <w:cols w:space="708"/>
          <w:docGrid w:linePitch="360"/>
        </w:sectPr>
      </w:pPr>
    </w:p>
    <w:p w:rsidR="007E511E" w:rsidRPr="00A1085C" w:rsidRDefault="007E511E" w:rsidP="00326DD0">
      <w:pPr>
        <w:spacing w:after="0" w:line="360" w:lineRule="auto"/>
        <w:jc w:val="both"/>
        <w:rPr>
          <w:rFonts w:ascii="Times New Roman" w:eastAsia="Calibri" w:hAnsi="Times New Roman" w:cs="Times New Roman"/>
          <w:b/>
        </w:rPr>
      </w:pPr>
      <w:r w:rsidRPr="00A1085C">
        <w:rPr>
          <w:rFonts w:ascii="Times New Roman" w:eastAsia="Calibri" w:hAnsi="Times New Roman" w:cs="Times New Roman"/>
          <w:b/>
        </w:rPr>
        <w:lastRenderedPageBreak/>
        <w:t>ii) Chromium</w:t>
      </w:r>
    </w:p>
    <w:p w:rsidR="007E511E" w:rsidRPr="00CE0A61" w:rsidRDefault="007E511E" w:rsidP="00BF57EB">
      <w:pPr>
        <w:jc w:val="both"/>
        <w:rPr>
          <w:rFonts w:ascii="Times New Roman" w:eastAsia="Calibri" w:hAnsi="Times New Roman" w:cs="Times New Roman"/>
        </w:rPr>
      </w:pPr>
      <w:bookmarkStart w:id="50" w:name="_Ref473208898"/>
      <w:bookmarkStart w:id="51" w:name="_Toc474486516"/>
      <w:bookmarkStart w:id="52" w:name="_Toc495852686"/>
      <w:r w:rsidRPr="00CE0A61">
        <w:rPr>
          <w:rFonts w:ascii="Times New Roman" w:hAnsi="Times New Roman" w:cs="Times New Roman"/>
        </w:rPr>
        <w:t xml:space="preserve">Table </w:t>
      </w:r>
      <w:r w:rsidR="009A0ED7" w:rsidRPr="00CE0A61">
        <w:rPr>
          <w:rFonts w:ascii="Times New Roman" w:hAnsi="Times New Roman" w:cs="Times New Roman"/>
        </w:rPr>
        <w:fldChar w:fldCharType="begin"/>
      </w:r>
      <w:r w:rsidRPr="00CE0A61">
        <w:rPr>
          <w:rFonts w:ascii="Times New Roman" w:hAnsi="Times New Roman" w:cs="Times New Roman"/>
        </w:rPr>
        <w:instrText xml:space="preserve"> SEQ Table \* ARABIC </w:instrText>
      </w:r>
      <w:r w:rsidR="009A0ED7" w:rsidRPr="00CE0A61">
        <w:rPr>
          <w:rFonts w:ascii="Times New Roman" w:hAnsi="Times New Roman" w:cs="Times New Roman"/>
        </w:rPr>
        <w:fldChar w:fldCharType="separate"/>
      </w:r>
      <w:r w:rsidR="009F5483">
        <w:rPr>
          <w:rFonts w:ascii="Times New Roman" w:hAnsi="Times New Roman" w:cs="Times New Roman"/>
          <w:noProof/>
        </w:rPr>
        <w:t>8</w:t>
      </w:r>
      <w:r w:rsidR="009A0ED7" w:rsidRPr="00CE0A61">
        <w:rPr>
          <w:rFonts w:ascii="Times New Roman" w:hAnsi="Times New Roman" w:cs="Times New Roman"/>
        </w:rPr>
        <w:fldChar w:fldCharType="end"/>
      </w:r>
      <w:bookmarkEnd w:id="50"/>
      <w:r w:rsidRPr="00CE0A61">
        <w:rPr>
          <w:rFonts w:ascii="Times New Roman" w:hAnsi="Times New Roman" w:cs="Times New Roman"/>
        </w:rPr>
        <w:t xml:space="preserve">. </w:t>
      </w:r>
      <w:r w:rsidR="00107BD6" w:rsidRPr="00CE0A61">
        <w:rPr>
          <w:rFonts w:ascii="Times New Roman" w:eastAsia="Calibri" w:hAnsi="Times New Roman" w:cs="Times New Roman"/>
        </w:rPr>
        <w:t>I</w:t>
      </w:r>
      <w:r w:rsidRPr="00CE0A61">
        <w:rPr>
          <w:rFonts w:ascii="Times New Roman" w:eastAsia="Calibri" w:hAnsi="Times New Roman" w:cs="Times New Roman"/>
        </w:rPr>
        <w:t>nput data</w:t>
      </w:r>
      <w:r w:rsidR="00107BD6" w:rsidRPr="00CE0A61">
        <w:rPr>
          <w:rFonts w:ascii="Times New Roman" w:eastAsia="Calibri" w:hAnsi="Times New Roman" w:cs="Times New Roman"/>
        </w:rPr>
        <w:t xml:space="preserve"> utilised to create global chromium Sankey diagram</w:t>
      </w:r>
      <w:r w:rsidR="00625D7E" w:rsidRPr="00CE0A61">
        <w:rPr>
          <w:rFonts w:ascii="Times New Roman" w:eastAsia="Calibri" w:hAnsi="Times New Roman" w:cs="Times New Roman"/>
        </w:rPr>
        <w:t xml:space="preserve"> for the year 2014</w:t>
      </w:r>
      <w:r w:rsidR="00107BD6" w:rsidRPr="00CE0A61">
        <w:rPr>
          <w:rFonts w:ascii="Times New Roman" w:eastAsia="Calibri" w:hAnsi="Times New Roman" w:cs="Times New Roman"/>
        </w:rPr>
        <w:t>.</w:t>
      </w:r>
      <w:bookmarkEnd w:id="51"/>
      <w:bookmarkEnd w:id="52"/>
    </w:p>
    <w:tbl>
      <w:tblPr>
        <w:tblW w:w="5000" w:type="pct"/>
        <w:tblLayout w:type="fixed"/>
        <w:tblLook w:val="04A0" w:firstRow="1" w:lastRow="0" w:firstColumn="1" w:lastColumn="0" w:noHBand="0" w:noVBand="1"/>
      </w:tblPr>
      <w:tblGrid>
        <w:gridCol w:w="2263"/>
        <w:gridCol w:w="2550"/>
        <w:gridCol w:w="1410"/>
        <w:gridCol w:w="1423"/>
        <w:gridCol w:w="1360"/>
      </w:tblGrid>
      <w:tr w:rsidR="00C05D8F" w:rsidRPr="004E6172" w:rsidTr="00C05D8F">
        <w:trPr>
          <w:trHeight w:val="315"/>
        </w:trPr>
        <w:tc>
          <w:tcPr>
            <w:tcW w:w="1256"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05D8F" w:rsidRPr="004E6172" w:rsidRDefault="00C05D8F" w:rsidP="00C05D8F">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 xml:space="preserve">Stage </w:t>
            </w:r>
          </w:p>
        </w:tc>
        <w:tc>
          <w:tcPr>
            <w:tcW w:w="1416" w:type="pct"/>
            <w:tcBorders>
              <w:top w:val="single" w:sz="8" w:space="0" w:color="auto"/>
              <w:left w:val="nil"/>
              <w:bottom w:val="nil"/>
              <w:right w:val="single" w:sz="8" w:space="0" w:color="auto"/>
            </w:tcBorders>
            <w:shd w:val="clear" w:color="auto" w:fill="auto"/>
            <w:noWrap/>
            <w:vAlign w:val="bottom"/>
            <w:hideMark/>
          </w:tcPr>
          <w:p w:rsidR="00C05D8F" w:rsidRPr="004E6172" w:rsidRDefault="00C05D8F" w:rsidP="00C05D8F">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Source</w:t>
            </w:r>
          </w:p>
        </w:tc>
        <w:tc>
          <w:tcPr>
            <w:tcW w:w="783" w:type="pct"/>
            <w:tcBorders>
              <w:top w:val="single" w:sz="8" w:space="0" w:color="auto"/>
              <w:left w:val="nil"/>
              <w:bottom w:val="nil"/>
              <w:right w:val="single" w:sz="8" w:space="0" w:color="auto"/>
            </w:tcBorders>
            <w:shd w:val="clear" w:color="auto" w:fill="auto"/>
            <w:noWrap/>
            <w:vAlign w:val="bottom"/>
            <w:hideMark/>
          </w:tcPr>
          <w:p w:rsidR="00C05D8F" w:rsidRPr="004E6172" w:rsidRDefault="00C05D8F" w:rsidP="00B55096">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Tonnage (</w:t>
            </w:r>
            <w:r w:rsidR="00B55096">
              <w:rPr>
                <w:rFonts w:ascii="Times New Roman" w:eastAsia="Times New Roman" w:hAnsi="Times New Roman" w:cs="Times New Roman"/>
                <w:b/>
                <w:bCs/>
                <w:color w:val="000000"/>
              </w:rPr>
              <w:t>t</w:t>
            </w:r>
            <w:r w:rsidRPr="004E6172">
              <w:rPr>
                <w:rFonts w:ascii="Times New Roman" w:eastAsia="Times New Roman" w:hAnsi="Times New Roman" w:cs="Times New Roman"/>
                <w:b/>
                <w:bCs/>
                <w:color w:val="000000"/>
              </w:rPr>
              <w:t>)</w:t>
            </w:r>
          </w:p>
        </w:tc>
        <w:tc>
          <w:tcPr>
            <w:tcW w:w="790" w:type="pct"/>
            <w:tcBorders>
              <w:top w:val="single" w:sz="8" w:space="0" w:color="auto"/>
              <w:left w:val="nil"/>
              <w:bottom w:val="nil"/>
              <w:right w:val="single" w:sz="8" w:space="0" w:color="auto"/>
            </w:tcBorders>
            <w:shd w:val="clear" w:color="auto" w:fill="auto"/>
            <w:noWrap/>
            <w:vAlign w:val="bottom"/>
            <w:hideMark/>
          </w:tcPr>
          <w:p w:rsidR="00C05D8F" w:rsidRPr="004E6172" w:rsidRDefault="00C05D8F" w:rsidP="00C05D8F">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Data Source</w:t>
            </w:r>
          </w:p>
        </w:tc>
        <w:tc>
          <w:tcPr>
            <w:tcW w:w="756" w:type="pct"/>
            <w:tcBorders>
              <w:top w:val="single" w:sz="8" w:space="0" w:color="auto"/>
              <w:left w:val="nil"/>
              <w:bottom w:val="nil"/>
              <w:right w:val="single" w:sz="8" w:space="0" w:color="auto"/>
            </w:tcBorders>
            <w:shd w:val="clear" w:color="auto" w:fill="auto"/>
            <w:noWrap/>
            <w:vAlign w:val="bottom"/>
            <w:hideMark/>
          </w:tcPr>
          <w:p w:rsidR="00C05D8F" w:rsidRPr="004E6172" w:rsidRDefault="00C05D8F" w:rsidP="00C05D8F">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Data Source Year</w:t>
            </w:r>
          </w:p>
        </w:tc>
      </w:tr>
      <w:tr w:rsidR="00C05D8F" w:rsidRPr="004E6172" w:rsidTr="00C05D8F">
        <w:trPr>
          <w:trHeight w:val="300"/>
        </w:trPr>
        <w:tc>
          <w:tcPr>
            <w:tcW w:w="1256" w:type="pct"/>
            <w:vMerge w:val="restart"/>
            <w:tcBorders>
              <w:top w:val="nil"/>
              <w:left w:val="single" w:sz="8" w:space="0" w:color="auto"/>
              <w:bottom w:val="single" w:sz="8" w:space="0" w:color="000000"/>
              <w:right w:val="nil"/>
            </w:tcBorders>
            <w:shd w:val="clear" w:color="auto" w:fill="auto"/>
            <w:vAlign w:val="center"/>
            <w:hideMark/>
          </w:tcPr>
          <w:p w:rsidR="00C05D8F" w:rsidRPr="004E6172" w:rsidRDefault="00C05D8F" w:rsidP="00C05D8F">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Stage 1</w:t>
            </w:r>
          </w:p>
          <w:p w:rsidR="00C05D8F" w:rsidRPr="004E6172" w:rsidRDefault="00C05D8F" w:rsidP="00C05D8F">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 xml:space="preserve"> (Extraction)</w:t>
            </w:r>
          </w:p>
        </w:tc>
        <w:tc>
          <w:tcPr>
            <w:tcW w:w="1416" w:type="pct"/>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India</w:t>
            </w:r>
          </w:p>
        </w:tc>
        <w:tc>
          <w:tcPr>
            <w:tcW w:w="783" w:type="pct"/>
            <w:tcBorders>
              <w:top w:val="single" w:sz="8" w:space="0" w:color="auto"/>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3</w:t>
            </w:r>
            <w:r w:rsidR="007B2136">
              <w:rPr>
                <w:rFonts w:ascii="Times New Roman" w:eastAsia="Times New Roman" w:hAnsi="Times New Roman" w:cs="Times New Roman"/>
                <w:color w:val="000000"/>
              </w:rPr>
              <w:t>,000,000</w:t>
            </w:r>
          </w:p>
        </w:tc>
        <w:tc>
          <w:tcPr>
            <w:tcW w:w="790" w:type="pct"/>
            <w:tcBorders>
              <w:top w:val="single" w:sz="8" w:space="0" w:color="auto"/>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USGS MCS</w:t>
            </w:r>
          </w:p>
        </w:tc>
        <w:tc>
          <w:tcPr>
            <w:tcW w:w="756" w:type="pct"/>
            <w:tcBorders>
              <w:top w:val="single" w:sz="8" w:space="0" w:color="auto"/>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C05D8F" w:rsidRPr="004E6172" w:rsidTr="00C05D8F">
        <w:trPr>
          <w:trHeight w:val="300"/>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Kazakhstan</w:t>
            </w:r>
          </w:p>
        </w:tc>
        <w:tc>
          <w:tcPr>
            <w:tcW w:w="783" w:type="pct"/>
            <w:tcBorders>
              <w:top w:val="nil"/>
              <w:left w:val="nil"/>
              <w:bottom w:val="single" w:sz="4" w:space="0" w:color="auto"/>
              <w:right w:val="single" w:sz="8" w:space="0" w:color="auto"/>
            </w:tcBorders>
            <w:shd w:val="clear" w:color="000000" w:fill="FFFFFF"/>
            <w:noWrap/>
            <w:vAlign w:val="bottom"/>
            <w:hideMark/>
          </w:tcPr>
          <w:p w:rsidR="00B55096" w:rsidRPr="004E6172" w:rsidRDefault="007B2136" w:rsidP="00B55096">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4,000,000</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USGS MCS</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C05D8F" w:rsidRPr="004E6172" w:rsidTr="00C05D8F">
        <w:trPr>
          <w:trHeight w:val="300"/>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South Africa</w:t>
            </w:r>
          </w:p>
        </w:tc>
        <w:tc>
          <w:tcPr>
            <w:tcW w:w="783" w:type="pct"/>
            <w:tcBorders>
              <w:top w:val="nil"/>
              <w:left w:val="nil"/>
              <w:bottom w:val="single" w:sz="4" w:space="0" w:color="auto"/>
              <w:right w:val="single" w:sz="8" w:space="0" w:color="auto"/>
            </w:tcBorders>
            <w:shd w:val="clear" w:color="000000" w:fill="FFFFFF"/>
            <w:noWrap/>
            <w:vAlign w:val="bottom"/>
            <w:hideMark/>
          </w:tcPr>
          <w:p w:rsidR="00C05D8F" w:rsidRPr="004E6172" w:rsidRDefault="007B2136" w:rsidP="007B2136">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15,000,000</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USGS MCS</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C05D8F" w:rsidRPr="004E6172" w:rsidTr="00C05D8F">
        <w:trPr>
          <w:trHeight w:val="300"/>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Turkey</w:t>
            </w:r>
          </w:p>
        </w:tc>
        <w:tc>
          <w:tcPr>
            <w:tcW w:w="783" w:type="pct"/>
            <w:tcBorders>
              <w:top w:val="nil"/>
              <w:left w:val="nil"/>
              <w:bottom w:val="single" w:sz="4"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2,400,000</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USGS MCS</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C05D8F" w:rsidRPr="004E6172" w:rsidTr="00C05D8F">
        <w:trPr>
          <w:trHeight w:val="300"/>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Other</w:t>
            </w:r>
          </w:p>
        </w:tc>
        <w:tc>
          <w:tcPr>
            <w:tcW w:w="783" w:type="pct"/>
            <w:tcBorders>
              <w:top w:val="nil"/>
              <w:left w:val="nil"/>
              <w:bottom w:val="single" w:sz="4"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4,600,000</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USGS MCS</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C05D8F" w:rsidRPr="004E6172" w:rsidTr="00C05D8F">
        <w:trPr>
          <w:trHeight w:val="300"/>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Global Total</w:t>
            </w:r>
          </w:p>
        </w:tc>
        <w:tc>
          <w:tcPr>
            <w:tcW w:w="783" w:type="pct"/>
            <w:tcBorders>
              <w:top w:val="nil"/>
              <w:left w:val="nil"/>
              <w:bottom w:val="single" w:sz="4"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29,000,000</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USGS MCS</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C05D8F" w:rsidRPr="004E6172" w:rsidTr="00C05D8F">
        <w:trPr>
          <w:trHeight w:val="300"/>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Global Fe-Cr Production</w:t>
            </w:r>
          </w:p>
        </w:tc>
        <w:tc>
          <w:tcPr>
            <w:tcW w:w="783" w:type="pct"/>
            <w:tcBorders>
              <w:top w:val="nil"/>
              <w:left w:val="nil"/>
              <w:bottom w:val="single" w:sz="4"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12,130,000</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ICDA</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C05D8F" w:rsidRPr="004E6172" w:rsidTr="00C05D8F">
        <w:trPr>
          <w:trHeight w:val="300"/>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MC &amp; LC Fe-Cr</w:t>
            </w:r>
          </w:p>
        </w:tc>
        <w:tc>
          <w:tcPr>
            <w:tcW w:w="783" w:type="pct"/>
            <w:tcBorders>
              <w:top w:val="nil"/>
              <w:left w:val="nil"/>
              <w:bottom w:val="single" w:sz="4"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650,000</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ICDA</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C05D8F" w:rsidRPr="004E6172" w:rsidTr="00C05D8F">
        <w:trPr>
          <w:trHeight w:val="315"/>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8"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 xml:space="preserve">Wastage </w:t>
            </w:r>
          </w:p>
        </w:tc>
        <w:tc>
          <w:tcPr>
            <w:tcW w:w="783" w:type="pct"/>
            <w:tcBorders>
              <w:top w:val="nil"/>
              <w:left w:val="nil"/>
              <w:bottom w:val="single" w:sz="8"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16,121,235</w:t>
            </w:r>
          </w:p>
        </w:tc>
        <w:tc>
          <w:tcPr>
            <w:tcW w:w="790" w:type="pct"/>
            <w:tcBorders>
              <w:top w:val="nil"/>
              <w:left w:val="nil"/>
              <w:bottom w:val="single" w:sz="8"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Calculation</w:t>
            </w:r>
          </w:p>
        </w:tc>
        <w:tc>
          <w:tcPr>
            <w:tcW w:w="756" w:type="pct"/>
            <w:tcBorders>
              <w:top w:val="nil"/>
              <w:left w:val="nil"/>
              <w:bottom w:val="single" w:sz="8"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C05D8F" w:rsidRPr="004E6172" w:rsidTr="00C05D8F">
        <w:trPr>
          <w:trHeight w:val="300"/>
        </w:trPr>
        <w:tc>
          <w:tcPr>
            <w:tcW w:w="1256" w:type="pct"/>
            <w:vMerge w:val="restart"/>
            <w:tcBorders>
              <w:top w:val="nil"/>
              <w:left w:val="single" w:sz="8" w:space="0" w:color="auto"/>
              <w:bottom w:val="single" w:sz="8" w:space="0" w:color="000000"/>
              <w:right w:val="nil"/>
            </w:tcBorders>
            <w:shd w:val="clear" w:color="auto" w:fill="auto"/>
            <w:noWrap/>
            <w:vAlign w:val="center"/>
            <w:hideMark/>
          </w:tcPr>
          <w:p w:rsidR="00C05D8F" w:rsidRPr="004E6172" w:rsidRDefault="00C05D8F" w:rsidP="00C05D8F">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Stage 2</w:t>
            </w:r>
          </w:p>
          <w:p w:rsidR="00C05D8F" w:rsidRPr="004E6172" w:rsidRDefault="00C05D8F" w:rsidP="00C05D8F">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 xml:space="preserve"> (Processing)</w:t>
            </w: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Global Fe-Cr Production</w:t>
            </w:r>
          </w:p>
        </w:tc>
        <w:tc>
          <w:tcPr>
            <w:tcW w:w="783" w:type="pct"/>
            <w:tcBorders>
              <w:top w:val="nil"/>
              <w:left w:val="nil"/>
              <w:bottom w:val="single" w:sz="4"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12,130,000</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ICDA</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C05D8F" w:rsidRPr="004E6172" w:rsidTr="00C05D8F">
        <w:trPr>
          <w:trHeight w:val="300"/>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Cr Ore*</w:t>
            </w:r>
          </w:p>
        </w:tc>
        <w:tc>
          <w:tcPr>
            <w:tcW w:w="783" w:type="pct"/>
            <w:tcBorders>
              <w:top w:val="nil"/>
              <w:left w:val="nil"/>
              <w:bottom w:val="single" w:sz="4"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748,765</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Extrapolation</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2010</w:t>
            </w:r>
          </w:p>
        </w:tc>
      </w:tr>
      <w:tr w:rsidR="00C05D8F" w:rsidRPr="004E6172" w:rsidTr="00C05D8F">
        <w:trPr>
          <w:trHeight w:val="300"/>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Total SUS Scrap*</w:t>
            </w:r>
          </w:p>
        </w:tc>
        <w:tc>
          <w:tcPr>
            <w:tcW w:w="783" w:type="pct"/>
            <w:tcBorders>
              <w:top w:val="nil"/>
              <w:left w:val="nil"/>
              <w:bottom w:val="single" w:sz="4"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5,023,535</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Extrapolation</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2010</w:t>
            </w:r>
          </w:p>
        </w:tc>
      </w:tr>
      <w:tr w:rsidR="00C05D8F" w:rsidRPr="004E6172" w:rsidTr="00C05D8F">
        <w:trPr>
          <w:trHeight w:val="300"/>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OAS Scrap*</w:t>
            </w:r>
          </w:p>
        </w:tc>
        <w:tc>
          <w:tcPr>
            <w:tcW w:w="783" w:type="pct"/>
            <w:tcBorders>
              <w:top w:val="nil"/>
              <w:left w:val="nil"/>
              <w:bottom w:val="single" w:sz="4"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299,506</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Extrapolation</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2010</w:t>
            </w:r>
          </w:p>
        </w:tc>
      </w:tr>
      <w:tr w:rsidR="00C05D8F" w:rsidRPr="004E6172" w:rsidTr="00C05D8F">
        <w:trPr>
          <w:trHeight w:val="300"/>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 xml:space="preserve">Total Primary </w:t>
            </w:r>
          </w:p>
        </w:tc>
        <w:tc>
          <w:tcPr>
            <w:tcW w:w="783" w:type="pct"/>
            <w:tcBorders>
              <w:top w:val="nil"/>
              <w:left w:val="nil"/>
              <w:bottom w:val="single" w:sz="4"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12,878,765</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Calculation</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2010 &amp; 2014</w:t>
            </w:r>
          </w:p>
        </w:tc>
      </w:tr>
      <w:tr w:rsidR="00C05D8F" w:rsidRPr="004E6172" w:rsidTr="00C05D8F">
        <w:trPr>
          <w:trHeight w:val="315"/>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8"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Total Recycled</w:t>
            </w:r>
          </w:p>
        </w:tc>
        <w:tc>
          <w:tcPr>
            <w:tcW w:w="783" w:type="pct"/>
            <w:tcBorders>
              <w:top w:val="nil"/>
              <w:left w:val="nil"/>
              <w:bottom w:val="single" w:sz="8"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5,323,042</w:t>
            </w:r>
          </w:p>
        </w:tc>
        <w:tc>
          <w:tcPr>
            <w:tcW w:w="790" w:type="pct"/>
            <w:tcBorders>
              <w:top w:val="nil"/>
              <w:left w:val="nil"/>
              <w:bottom w:val="single" w:sz="8"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Calculation</w:t>
            </w:r>
          </w:p>
        </w:tc>
        <w:tc>
          <w:tcPr>
            <w:tcW w:w="756" w:type="pct"/>
            <w:tcBorders>
              <w:top w:val="nil"/>
              <w:left w:val="nil"/>
              <w:bottom w:val="single" w:sz="8"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2010 &amp; 2014</w:t>
            </w:r>
          </w:p>
        </w:tc>
      </w:tr>
      <w:tr w:rsidR="00C05D8F" w:rsidRPr="004E6172" w:rsidTr="00C05D8F">
        <w:trPr>
          <w:trHeight w:val="300"/>
        </w:trPr>
        <w:tc>
          <w:tcPr>
            <w:tcW w:w="1256" w:type="pct"/>
            <w:vMerge w:val="restart"/>
            <w:tcBorders>
              <w:top w:val="nil"/>
              <w:left w:val="single" w:sz="8" w:space="0" w:color="auto"/>
              <w:bottom w:val="single" w:sz="8" w:space="0" w:color="000000"/>
              <w:right w:val="nil"/>
            </w:tcBorders>
            <w:shd w:val="clear" w:color="auto" w:fill="auto"/>
            <w:noWrap/>
            <w:vAlign w:val="center"/>
            <w:hideMark/>
          </w:tcPr>
          <w:p w:rsidR="00C05D8F" w:rsidRPr="004E6172" w:rsidRDefault="00C05D8F" w:rsidP="00C05D8F">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 xml:space="preserve">Stage 3 </w:t>
            </w:r>
          </w:p>
          <w:p w:rsidR="00C05D8F" w:rsidRPr="004E6172" w:rsidRDefault="00C05D8F" w:rsidP="00C05D8F">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(Applications)</w:t>
            </w: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Metallurgical</w:t>
            </w:r>
          </w:p>
        </w:tc>
        <w:tc>
          <w:tcPr>
            <w:tcW w:w="783" w:type="pct"/>
            <w:tcBorders>
              <w:top w:val="nil"/>
              <w:left w:val="nil"/>
              <w:bottom w:val="single" w:sz="4"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16,381,626</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Calculation</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C05D8F" w:rsidRPr="004E6172" w:rsidTr="00C05D8F">
        <w:trPr>
          <w:trHeight w:val="300"/>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Chemical</w:t>
            </w:r>
          </w:p>
        </w:tc>
        <w:tc>
          <w:tcPr>
            <w:tcW w:w="783" w:type="pct"/>
            <w:tcBorders>
              <w:top w:val="nil"/>
              <w:left w:val="nil"/>
              <w:bottom w:val="single" w:sz="4"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910,090</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Calculation</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C05D8F" w:rsidRPr="004E6172" w:rsidTr="00C05D8F">
        <w:trPr>
          <w:trHeight w:val="315"/>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8"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Refractories &amp; Foundries</w:t>
            </w:r>
          </w:p>
        </w:tc>
        <w:tc>
          <w:tcPr>
            <w:tcW w:w="783" w:type="pct"/>
            <w:tcBorders>
              <w:top w:val="nil"/>
              <w:left w:val="nil"/>
              <w:bottom w:val="single" w:sz="8"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910,090</w:t>
            </w:r>
          </w:p>
        </w:tc>
        <w:tc>
          <w:tcPr>
            <w:tcW w:w="790" w:type="pct"/>
            <w:tcBorders>
              <w:top w:val="nil"/>
              <w:left w:val="nil"/>
              <w:bottom w:val="single" w:sz="8"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Calculation</w:t>
            </w:r>
          </w:p>
        </w:tc>
        <w:tc>
          <w:tcPr>
            <w:tcW w:w="756" w:type="pct"/>
            <w:tcBorders>
              <w:top w:val="nil"/>
              <w:left w:val="nil"/>
              <w:bottom w:val="single" w:sz="8"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C05D8F" w:rsidRPr="004E6172" w:rsidTr="00C05D8F">
        <w:trPr>
          <w:trHeight w:val="300"/>
        </w:trPr>
        <w:tc>
          <w:tcPr>
            <w:tcW w:w="1256" w:type="pct"/>
            <w:vMerge w:val="restart"/>
            <w:tcBorders>
              <w:top w:val="nil"/>
              <w:left w:val="single" w:sz="8" w:space="0" w:color="auto"/>
              <w:bottom w:val="single" w:sz="8" w:space="0" w:color="000000"/>
              <w:right w:val="nil"/>
            </w:tcBorders>
            <w:shd w:val="clear" w:color="auto" w:fill="auto"/>
            <w:noWrap/>
            <w:vAlign w:val="center"/>
            <w:hideMark/>
          </w:tcPr>
          <w:p w:rsidR="00C05D8F" w:rsidRPr="004E6172" w:rsidRDefault="00C05D8F" w:rsidP="00C05D8F">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 xml:space="preserve">Stage 4 </w:t>
            </w:r>
          </w:p>
          <w:p w:rsidR="00C05D8F" w:rsidRPr="004E6172" w:rsidRDefault="00C05D8F" w:rsidP="00C05D8F">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(Metallurgical Applications)</w:t>
            </w: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Super-alloy</w:t>
            </w:r>
          </w:p>
        </w:tc>
        <w:tc>
          <w:tcPr>
            <w:tcW w:w="783" w:type="pct"/>
            <w:tcBorders>
              <w:top w:val="nil"/>
              <w:left w:val="nil"/>
              <w:bottom w:val="single" w:sz="4" w:space="0" w:color="auto"/>
              <w:right w:val="single" w:sz="8" w:space="0" w:color="auto"/>
            </w:tcBorders>
            <w:shd w:val="clear" w:color="000000" w:fill="FFFFFF"/>
            <w:noWrap/>
            <w:vAlign w:val="bottom"/>
            <w:hideMark/>
          </w:tcPr>
          <w:p w:rsidR="00C05D8F" w:rsidRPr="004E6172" w:rsidRDefault="007B2136" w:rsidP="007B2136">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1,474,346</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Calculation</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C05D8F" w:rsidRPr="004E6172" w:rsidTr="00C05D8F">
        <w:trPr>
          <w:trHeight w:val="300"/>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Stainless Steel</w:t>
            </w:r>
          </w:p>
        </w:tc>
        <w:tc>
          <w:tcPr>
            <w:tcW w:w="783" w:type="pct"/>
            <w:tcBorders>
              <w:top w:val="nil"/>
              <w:left w:val="nil"/>
              <w:bottom w:val="single" w:sz="4"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14,415,831</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Calculation</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C05D8F" w:rsidRPr="004E6172" w:rsidTr="00C05D8F">
        <w:trPr>
          <w:trHeight w:val="300"/>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Steel</w:t>
            </w:r>
          </w:p>
        </w:tc>
        <w:tc>
          <w:tcPr>
            <w:tcW w:w="783" w:type="pct"/>
            <w:tcBorders>
              <w:top w:val="nil"/>
              <w:left w:val="nil"/>
              <w:bottom w:val="single" w:sz="4"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327,633</w:t>
            </w:r>
          </w:p>
        </w:tc>
        <w:tc>
          <w:tcPr>
            <w:tcW w:w="790"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Calculation</w:t>
            </w:r>
          </w:p>
        </w:tc>
        <w:tc>
          <w:tcPr>
            <w:tcW w:w="756" w:type="pct"/>
            <w:tcBorders>
              <w:top w:val="nil"/>
              <w:left w:val="nil"/>
              <w:bottom w:val="single" w:sz="4"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C05D8F" w:rsidRPr="004E6172" w:rsidTr="00C05D8F">
        <w:trPr>
          <w:trHeight w:val="315"/>
        </w:trPr>
        <w:tc>
          <w:tcPr>
            <w:tcW w:w="1256" w:type="pct"/>
            <w:vMerge/>
            <w:tcBorders>
              <w:top w:val="nil"/>
              <w:left w:val="single" w:sz="8" w:space="0" w:color="auto"/>
              <w:bottom w:val="single" w:sz="8" w:space="0" w:color="000000"/>
              <w:right w:val="nil"/>
            </w:tcBorders>
            <w:vAlign w:val="center"/>
            <w:hideMark/>
          </w:tcPr>
          <w:p w:rsidR="00C05D8F" w:rsidRPr="004E6172" w:rsidRDefault="00C05D8F" w:rsidP="00C05D8F">
            <w:pPr>
              <w:spacing w:after="0" w:line="240" w:lineRule="auto"/>
              <w:rPr>
                <w:rFonts w:ascii="Times New Roman" w:eastAsia="Times New Roman" w:hAnsi="Times New Roman" w:cs="Times New Roman"/>
                <w:b/>
                <w:bCs/>
                <w:color w:val="000000"/>
              </w:rPr>
            </w:pPr>
          </w:p>
        </w:tc>
        <w:tc>
          <w:tcPr>
            <w:tcW w:w="1416" w:type="pct"/>
            <w:tcBorders>
              <w:top w:val="nil"/>
              <w:left w:val="single" w:sz="8" w:space="0" w:color="auto"/>
              <w:bottom w:val="single" w:sz="8"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Other</w:t>
            </w:r>
          </w:p>
        </w:tc>
        <w:tc>
          <w:tcPr>
            <w:tcW w:w="783" w:type="pct"/>
            <w:tcBorders>
              <w:top w:val="nil"/>
              <w:left w:val="nil"/>
              <w:bottom w:val="single" w:sz="8" w:space="0" w:color="auto"/>
              <w:right w:val="single" w:sz="8" w:space="0" w:color="auto"/>
            </w:tcBorders>
            <w:shd w:val="clear" w:color="000000" w:fill="FFFFFF"/>
            <w:noWrap/>
            <w:vAlign w:val="bottom"/>
            <w:hideMark/>
          </w:tcPr>
          <w:p w:rsidR="00C05D8F" w:rsidRPr="004E6172" w:rsidRDefault="007B2136" w:rsidP="00C05D8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163,816</w:t>
            </w:r>
          </w:p>
        </w:tc>
        <w:tc>
          <w:tcPr>
            <w:tcW w:w="790" w:type="pct"/>
            <w:tcBorders>
              <w:top w:val="nil"/>
              <w:left w:val="nil"/>
              <w:bottom w:val="single" w:sz="8"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Calculation</w:t>
            </w:r>
          </w:p>
        </w:tc>
        <w:tc>
          <w:tcPr>
            <w:tcW w:w="756" w:type="pct"/>
            <w:tcBorders>
              <w:top w:val="nil"/>
              <w:left w:val="nil"/>
              <w:bottom w:val="single" w:sz="8" w:space="0" w:color="auto"/>
              <w:right w:val="single" w:sz="8" w:space="0" w:color="auto"/>
            </w:tcBorders>
            <w:shd w:val="clear" w:color="000000" w:fill="FFFFFF"/>
            <w:noWrap/>
            <w:vAlign w:val="bottom"/>
            <w:hideMark/>
          </w:tcPr>
          <w:p w:rsidR="00C05D8F" w:rsidRPr="004E6172" w:rsidRDefault="00C05D8F" w:rsidP="00C05D8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bl>
    <w:p w:rsidR="00BE1153" w:rsidRPr="00A1085C" w:rsidRDefault="007E511E" w:rsidP="00970FCB">
      <w:pPr>
        <w:spacing w:line="360" w:lineRule="auto"/>
        <w:jc w:val="both"/>
        <w:rPr>
          <w:rFonts w:ascii="Times New Roman" w:eastAsia="Calibri" w:hAnsi="Times New Roman" w:cs="Times New Roman"/>
          <w:color w:val="000000"/>
        </w:rPr>
      </w:pPr>
      <w:r w:rsidRPr="00A1085C">
        <w:rPr>
          <w:rFonts w:ascii="Times New Roman" w:eastAsia="Calibri" w:hAnsi="Times New Roman" w:cs="Times New Roman"/>
        </w:rPr>
        <w:t>Note * Corresponds to data generated from percentage data from non</w:t>
      </w:r>
      <w:r w:rsidR="009E207B" w:rsidRPr="00A1085C">
        <w:rPr>
          <w:rFonts w:ascii="Times New Roman" w:eastAsia="Calibri" w:hAnsi="Times New Roman" w:cs="Times New Roman"/>
        </w:rPr>
        <w:t>-2014 sources applied to 2014 chromium</w:t>
      </w:r>
      <w:r w:rsidRPr="00A1085C">
        <w:rPr>
          <w:rFonts w:ascii="Times New Roman" w:eastAsia="Calibri" w:hAnsi="Times New Roman" w:cs="Times New Roman"/>
        </w:rPr>
        <w:t xml:space="preserve"> tonnages. </w:t>
      </w:r>
      <w:r w:rsidR="00970FCB" w:rsidRPr="00A1085C">
        <w:rPr>
          <w:rFonts w:ascii="Times New Roman" w:eastAsia="Calibri" w:hAnsi="Times New Roman" w:cs="Times New Roman"/>
        </w:rPr>
        <w:t>[</w:t>
      </w:r>
      <w:r w:rsidRPr="00A1085C">
        <w:rPr>
          <w:rFonts w:ascii="Times New Roman" w:eastAsia="Calibri" w:hAnsi="Times New Roman" w:cs="Times New Roman"/>
          <w:color w:val="000000"/>
        </w:rPr>
        <w:t xml:space="preserve">SUS Scrap = Stainless Steel Scrap, OAS </w:t>
      </w:r>
      <w:r w:rsidR="00970FCB" w:rsidRPr="00A1085C">
        <w:rPr>
          <w:rFonts w:ascii="Times New Roman" w:eastAsia="Calibri" w:hAnsi="Times New Roman" w:cs="Times New Roman"/>
          <w:color w:val="000000"/>
        </w:rPr>
        <w:t>Scrap = Other Alloy Steel Scrap]</w:t>
      </w:r>
    </w:p>
    <w:p w:rsidR="00DA05B1" w:rsidRPr="00CE0A61" w:rsidRDefault="00BE1153" w:rsidP="00533203">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t>Global mine production figures</w:t>
      </w:r>
      <w:r w:rsidR="00002D62" w:rsidRPr="00CE0A61">
        <w:rPr>
          <w:rFonts w:ascii="Times New Roman" w:eastAsia="Calibri" w:hAnsi="Times New Roman" w:cs="Times New Roman"/>
        </w:rPr>
        <w:t xml:space="preserve">, </w:t>
      </w:r>
      <w:r w:rsidRPr="00CE0A61">
        <w:rPr>
          <w:rFonts w:ascii="Times New Roman" w:eastAsia="Calibri" w:hAnsi="Times New Roman" w:cs="Times New Roman"/>
        </w:rPr>
        <w:t>g</w:t>
      </w:r>
      <w:r w:rsidR="00002D62" w:rsidRPr="00CE0A61">
        <w:rPr>
          <w:rFonts w:ascii="Times New Roman" w:eastAsia="Calibri" w:hAnsi="Times New Roman" w:cs="Times New Roman"/>
        </w:rPr>
        <w:t>iven in metric tons of chromium, and</w:t>
      </w:r>
      <w:r w:rsidRPr="00CE0A61">
        <w:rPr>
          <w:rFonts w:ascii="Times New Roman" w:eastAsia="Calibri" w:hAnsi="Times New Roman" w:cs="Times New Roman"/>
        </w:rPr>
        <w:t xml:space="preserve"> displayed in </w:t>
      </w:r>
      <w:r w:rsidR="00A6415F" w:rsidRPr="00CE0A61">
        <w:fldChar w:fldCharType="begin"/>
      </w:r>
      <w:r w:rsidR="00A6415F" w:rsidRPr="00CE0A61">
        <w:instrText xml:space="preserve"> REF _Ref473208898 \h  \* MERGEFORMAT </w:instrText>
      </w:r>
      <w:r w:rsidR="00A6415F" w:rsidRPr="00CE0A61">
        <w:fldChar w:fldCharType="separate"/>
      </w:r>
      <w:r w:rsidR="009F5483" w:rsidRPr="00CE0A61">
        <w:rPr>
          <w:rFonts w:ascii="Times New Roman" w:hAnsi="Times New Roman" w:cs="Times New Roman"/>
        </w:rPr>
        <w:t xml:space="preserve">Table </w:t>
      </w:r>
      <w:r w:rsidR="009F5483">
        <w:rPr>
          <w:rFonts w:ascii="Times New Roman" w:hAnsi="Times New Roman" w:cs="Times New Roman"/>
        </w:rPr>
        <w:t>8</w:t>
      </w:r>
      <w:r w:rsidR="00A6415F" w:rsidRPr="00CE0A61">
        <w:fldChar w:fldCharType="end"/>
      </w:r>
      <w:r w:rsidRPr="00CE0A61">
        <w:rPr>
          <w:rFonts w:ascii="Times New Roman" w:eastAsia="Calibri" w:hAnsi="Times New Roman" w:cs="Times New Roman"/>
        </w:rPr>
        <w:t xml:space="preserve"> w</w:t>
      </w:r>
      <w:r w:rsidR="009E207B" w:rsidRPr="00CE0A61">
        <w:rPr>
          <w:rFonts w:ascii="Times New Roman" w:eastAsia="Calibri" w:hAnsi="Times New Roman" w:cs="Times New Roman"/>
        </w:rPr>
        <w:t>ere</w:t>
      </w:r>
      <w:r w:rsidRPr="00CE0A61">
        <w:rPr>
          <w:rFonts w:ascii="Times New Roman" w:eastAsia="Calibri" w:hAnsi="Times New Roman" w:cs="Times New Roman"/>
        </w:rPr>
        <w:t xml:space="preserve"> obtained </w:t>
      </w:r>
      <w:r w:rsidR="009E207B" w:rsidRPr="00CE0A61">
        <w:rPr>
          <w:rFonts w:ascii="Times New Roman" w:eastAsia="Calibri" w:hAnsi="Times New Roman" w:cs="Times New Roman"/>
        </w:rPr>
        <w:t xml:space="preserve">via USGS </w:t>
      </w:r>
      <w:r w:rsidRPr="00CE0A61">
        <w:rPr>
          <w:rFonts w:ascii="Times New Roman" w:eastAsia="Calibri" w:hAnsi="Times New Roman" w:cs="Times New Roman"/>
        </w:rPr>
        <w:t xml:space="preserve">mineral commodity summary report </w:t>
      </w:r>
      <w:r w:rsidR="008C01B1" w:rsidRPr="00CE0A61">
        <w:rPr>
          <w:rFonts w:ascii="Times New Roman" w:eastAsia="Calibri" w:hAnsi="Times New Roman" w:cs="Times New Roman"/>
          <w:noProof/>
        </w:rPr>
        <w:t>(USGS 2015a)</w:t>
      </w:r>
      <w:r w:rsidR="00002D62" w:rsidRPr="00CE0A61">
        <w:rPr>
          <w:rFonts w:ascii="Times New Roman" w:eastAsia="Calibri" w:hAnsi="Times New Roman" w:cs="Times New Roman"/>
        </w:rPr>
        <w:t>. This was</w:t>
      </w:r>
      <w:r w:rsidR="00533203" w:rsidRPr="00CE0A61">
        <w:rPr>
          <w:rFonts w:ascii="Times New Roman" w:eastAsia="Calibri" w:hAnsi="Times New Roman" w:cs="Times New Roman"/>
        </w:rPr>
        <w:t xml:space="preserve"> for the year 2014,</w:t>
      </w:r>
      <w:r w:rsidRPr="00CE0A61">
        <w:rPr>
          <w:rFonts w:ascii="Times New Roman" w:eastAsia="Calibri" w:hAnsi="Times New Roman" w:cs="Times New Roman"/>
        </w:rPr>
        <w:t xml:space="preserve"> and formed the basis of the MFA model.</w:t>
      </w:r>
      <w:r w:rsidR="00533203" w:rsidRPr="00CE0A61">
        <w:rPr>
          <w:rFonts w:ascii="Times New Roman" w:eastAsia="Calibri" w:hAnsi="Times New Roman" w:cs="Times New Roman"/>
        </w:rPr>
        <w:t xml:space="preserve"> </w:t>
      </w:r>
    </w:p>
    <w:p w:rsidR="00401DE8" w:rsidRPr="00CE0A61" w:rsidRDefault="00970FCB" w:rsidP="00970FCB">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t>As regards to globa</w:t>
      </w:r>
      <w:r w:rsidR="00107BD6" w:rsidRPr="00CE0A61">
        <w:rPr>
          <w:rFonts w:ascii="Times New Roman" w:eastAsia="Calibri" w:hAnsi="Times New Roman" w:cs="Times New Roman"/>
        </w:rPr>
        <w:t xml:space="preserve">l Fe-Cr production this was </w:t>
      </w:r>
      <w:r w:rsidR="00533203" w:rsidRPr="00CE0A61">
        <w:rPr>
          <w:rFonts w:ascii="Times New Roman" w:eastAsia="Calibri" w:hAnsi="Times New Roman" w:cs="Times New Roman"/>
        </w:rPr>
        <w:t>divided into charge chrome/HC</w:t>
      </w:r>
      <w:r w:rsidR="008E7C43" w:rsidRPr="00CE0A61">
        <w:rPr>
          <w:rFonts w:ascii="Times New Roman" w:eastAsia="Calibri" w:hAnsi="Times New Roman" w:cs="Times New Roman"/>
        </w:rPr>
        <w:t xml:space="preserve"> (High Carbon)</w:t>
      </w:r>
      <w:r w:rsidR="00533203" w:rsidRPr="00CE0A61">
        <w:rPr>
          <w:rFonts w:ascii="Times New Roman" w:eastAsia="Calibri" w:hAnsi="Times New Roman" w:cs="Times New Roman"/>
        </w:rPr>
        <w:t>, MC</w:t>
      </w:r>
      <w:r w:rsidR="008E7C43" w:rsidRPr="00CE0A61">
        <w:rPr>
          <w:rFonts w:ascii="Times New Roman" w:eastAsia="Calibri" w:hAnsi="Times New Roman" w:cs="Times New Roman"/>
        </w:rPr>
        <w:t xml:space="preserve">-Fe-Cr (Medium Carbon) and </w:t>
      </w:r>
      <w:r w:rsidR="00533203" w:rsidRPr="00CE0A61">
        <w:rPr>
          <w:rFonts w:ascii="Times New Roman" w:eastAsia="Calibri" w:hAnsi="Times New Roman" w:cs="Times New Roman"/>
        </w:rPr>
        <w:t>LC Fe-Cr</w:t>
      </w:r>
      <w:r w:rsidR="008E7C43" w:rsidRPr="00CE0A61">
        <w:rPr>
          <w:rFonts w:ascii="Times New Roman" w:eastAsia="Calibri" w:hAnsi="Times New Roman" w:cs="Times New Roman"/>
        </w:rPr>
        <w:t xml:space="preserve"> (Low Carbon)</w:t>
      </w:r>
      <w:r w:rsidR="00533203" w:rsidRPr="00CE0A61">
        <w:rPr>
          <w:rFonts w:ascii="Times New Roman" w:eastAsia="Calibri" w:hAnsi="Times New Roman" w:cs="Times New Roman"/>
        </w:rPr>
        <w:t xml:space="preserve"> </w:t>
      </w:r>
      <w:r w:rsidR="00E43B72" w:rsidRPr="00CE0A61">
        <w:rPr>
          <w:rFonts w:ascii="Times New Roman" w:eastAsia="Calibri" w:hAnsi="Times New Roman" w:cs="Times New Roman"/>
        </w:rPr>
        <w:t>and</w:t>
      </w:r>
      <w:r w:rsidR="00533203" w:rsidRPr="00CE0A61">
        <w:rPr>
          <w:rFonts w:ascii="Times New Roman" w:eastAsia="Calibri" w:hAnsi="Times New Roman" w:cs="Times New Roman"/>
        </w:rPr>
        <w:t xml:space="preserve"> calculated using data from</w:t>
      </w:r>
      <w:r w:rsidR="00E43B72" w:rsidRPr="00CE0A61">
        <w:rPr>
          <w:rFonts w:ascii="Times New Roman" w:eastAsia="Calibri" w:hAnsi="Times New Roman" w:cs="Times New Roman"/>
        </w:rPr>
        <w:t xml:space="preserve"> </w:t>
      </w:r>
      <w:r w:rsidR="00533203" w:rsidRPr="00CE0A61">
        <w:rPr>
          <w:rFonts w:ascii="Times New Roman" w:eastAsia="Calibri" w:hAnsi="Times New Roman" w:cs="Times New Roman"/>
          <w:noProof/>
        </w:rPr>
        <w:t>(ICDA 2015)</w:t>
      </w:r>
      <w:r w:rsidR="00533203" w:rsidRPr="00CE0A61">
        <w:rPr>
          <w:rFonts w:ascii="Times New Roman" w:eastAsia="Calibri" w:hAnsi="Times New Roman" w:cs="Times New Roman"/>
        </w:rPr>
        <w:t>.</w:t>
      </w:r>
      <w:r w:rsidR="00DA05B1" w:rsidRPr="00CE0A61">
        <w:rPr>
          <w:rFonts w:ascii="Times New Roman" w:eastAsia="Calibri" w:hAnsi="Times New Roman" w:cs="Times New Roman"/>
        </w:rPr>
        <w:t xml:space="preserve"> </w:t>
      </w:r>
      <w:r w:rsidRPr="00CE0A61">
        <w:rPr>
          <w:rFonts w:ascii="Times New Roman" w:eastAsia="Calibri" w:hAnsi="Times New Roman" w:cs="Times New Roman"/>
        </w:rPr>
        <w:t>For completeness t</w:t>
      </w:r>
      <w:r w:rsidR="00DA05B1" w:rsidRPr="00CE0A61">
        <w:rPr>
          <w:rFonts w:ascii="Times New Roman" w:eastAsia="Calibri" w:hAnsi="Times New Roman" w:cs="Times New Roman"/>
        </w:rPr>
        <w:t>he amount of chromium as gangue material was calculated by subtracting global</w:t>
      </w:r>
      <w:r w:rsidR="00401DE8" w:rsidRPr="00CE0A61">
        <w:rPr>
          <w:rFonts w:ascii="Times New Roman" w:eastAsia="Calibri" w:hAnsi="Times New Roman" w:cs="Times New Roman"/>
        </w:rPr>
        <w:t xml:space="preserve"> mined</w:t>
      </w:r>
      <w:r w:rsidR="00DA05B1" w:rsidRPr="00CE0A61">
        <w:rPr>
          <w:rFonts w:ascii="Times New Roman" w:eastAsia="Calibri" w:hAnsi="Times New Roman" w:cs="Times New Roman"/>
        </w:rPr>
        <w:t xml:space="preserve"> production of chromium against global Fe-Cr production.</w:t>
      </w:r>
      <w:r w:rsidR="00E43B72" w:rsidRPr="00CE0A61">
        <w:rPr>
          <w:rFonts w:ascii="Times New Roman" w:eastAsia="Calibri" w:hAnsi="Times New Roman" w:cs="Times New Roman"/>
        </w:rPr>
        <w:t xml:space="preserve"> The global Fe-Cr production value was then utilised </w:t>
      </w:r>
      <w:r w:rsidR="00401DE8" w:rsidRPr="00CE0A61">
        <w:rPr>
          <w:rFonts w:ascii="Times New Roman" w:eastAsia="Calibri" w:hAnsi="Times New Roman" w:cs="Times New Roman"/>
        </w:rPr>
        <w:t xml:space="preserve">in the EAF and BOS steelmaking stage. </w:t>
      </w:r>
    </w:p>
    <w:p w:rsidR="00C63041" w:rsidRPr="00CE0A61" w:rsidRDefault="007E511E" w:rsidP="00C63041">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t>This</w:t>
      </w:r>
      <w:r w:rsidR="00401DE8" w:rsidRPr="00CE0A61">
        <w:rPr>
          <w:rFonts w:ascii="Times New Roman" w:eastAsia="Calibri" w:hAnsi="Times New Roman" w:cs="Times New Roman"/>
        </w:rPr>
        <w:t xml:space="preserve"> stage</w:t>
      </w:r>
      <w:r w:rsidRPr="00CE0A61">
        <w:rPr>
          <w:rFonts w:ascii="Times New Roman" w:eastAsia="Calibri" w:hAnsi="Times New Roman" w:cs="Times New Roman"/>
        </w:rPr>
        <w:t xml:space="preserve"> accounted for the combination of all estimated melt-stock products, from primary ore sources, in addition to recycled stock being re-added to the manufacturing process. The recycled </w:t>
      </w:r>
      <w:r w:rsidRPr="00CE0A61">
        <w:rPr>
          <w:rFonts w:ascii="Times New Roman" w:eastAsia="Calibri" w:hAnsi="Times New Roman" w:cs="Times New Roman"/>
        </w:rPr>
        <w:lastRenderedPageBreak/>
        <w:t>material data was identified at the ultimate stage, succeeding the application sec</w:t>
      </w:r>
      <w:r w:rsidR="00E43B72" w:rsidRPr="00CE0A61">
        <w:rPr>
          <w:rFonts w:ascii="Times New Roman" w:eastAsia="Calibri" w:hAnsi="Times New Roman" w:cs="Times New Roman"/>
        </w:rPr>
        <w:t>tors, in the case of chromium, data wa</w:t>
      </w:r>
      <w:r w:rsidR="008E7C43" w:rsidRPr="00CE0A61">
        <w:rPr>
          <w:rFonts w:ascii="Times New Roman" w:eastAsia="Calibri" w:hAnsi="Times New Roman" w:cs="Times New Roman"/>
        </w:rPr>
        <w:t>s used from a study detailing chromium and nickel</w:t>
      </w:r>
      <w:r w:rsidR="00E43B72" w:rsidRPr="00CE0A61">
        <w:rPr>
          <w:rFonts w:ascii="Times New Roman" w:eastAsia="Calibri" w:hAnsi="Times New Roman" w:cs="Times New Roman"/>
        </w:rPr>
        <w:t xml:space="preserve"> MFA in Japanese stainless steelmaking </w:t>
      </w:r>
      <w:r w:rsidR="00401DE8" w:rsidRPr="00CE0A61">
        <w:rPr>
          <w:rFonts w:ascii="Times New Roman" w:eastAsia="Calibri" w:hAnsi="Times New Roman" w:cs="Times New Roman"/>
          <w:noProof/>
        </w:rPr>
        <w:t>(Daigo et al. 2010)</w:t>
      </w:r>
      <w:r w:rsidR="00E43B72" w:rsidRPr="00CE0A61">
        <w:rPr>
          <w:rFonts w:ascii="Times New Roman" w:eastAsia="Calibri" w:hAnsi="Times New Roman" w:cs="Times New Roman"/>
        </w:rPr>
        <w:t>.</w:t>
      </w:r>
      <w:r w:rsidR="00401DE8" w:rsidRPr="00CE0A61">
        <w:rPr>
          <w:rFonts w:ascii="Times New Roman" w:eastAsia="Calibri" w:hAnsi="Times New Roman" w:cs="Times New Roman"/>
        </w:rPr>
        <w:t xml:space="preserve"> </w:t>
      </w:r>
      <w:r w:rsidRPr="00CE0A61">
        <w:rPr>
          <w:rFonts w:ascii="Times New Roman" w:eastAsia="Calibri" w:hAnsi="Times New Roman" w:cs="Times New Roman"/>
        </w:rPr>
        <w:t xml:space="preserve">When using data from </w:t>
      </w:r>
      <w:r w:rsidR="00401DE8" w:rsidRPr="00CE0A61">
        <w:rPr>
          <w:rFonts w:ascii="Times New Roman" w:eastAsia="Calibri" w:hAnsi="Times New Roman" w:cs="Times New Roman"/>
          <w:noProof/>
        </w:rPr>
        <w:t>(Daigo et al. 2010)</w:t>
      </w:r>
      <w:r w:rsidRPr="00CE0A61">
        <w:rPr>
          <w:rFonts w:ascii="Times New Roman" w:eastAsia="Calibri" w:hAnsi="Times New Roman" w:cs="Times New Roman"/>
        </w:rPr>
        <w:t xml:space="preserve"> it was assumed that all other industries used the same </w:t>
      </w:r>
      <w:r w:rsidR="00C63041" w:rsidRPr="00CE0A61">
        <w:rPr>
          <w:rFonts w:ascii="Times New Roman" w:eastAsia="Calibri" w:hAnsi="Times New Roman" w:cs="Times New Roman"/>
        </w:rPr>
        <w:t xml:space="preserve">input proportions of Fe-Cr, chromium ore </w:t>
      </w:r>
      <w:r w:rsidRPr="00CE0A61">
        <w:rPr>
          <w:rFonts w:ascii="Times New Roman" w:eastAsia="Calibri" w:hAnsi="Times New Roman" w:cs="Times New Roman"/>
        </w:rPr>
        <w:t>and scrap as the stainless steel ind</w:t>
      </w:r>
      <w:r w:rsidR="001E18F6">
        <w:rPr>
          <w:rFonts w:ascii="Times New Roman" w:eastAsia="Calibri" w:hAnsi="Times New Roman" w:cs="Times New Roman"/>
        </w:rPr>
        <w:t>ustry. Although this is certainly</w:t>
      </w:r>
      <w:r w:rsidRPr="00CE0A61">
        <w:rPr>
          <w:rFonts w:ascii="Times New Roman" w:eastAsia="Calibri" w:hAnsi="Times New Roman" w:cs="Times New Roman"/>
        </w:rPr>
        <w:t xml:space="preserve"> not the case, stainless steel makes</w:t>
      </w:r>
      <w:r w:rsidR="00401DE8" w:rsidRPr="00CE0A61">
        <w:rPr>
          <w:rFonts w:ascii="Times New Roman" w:eastAsia="Calibri" w:hAnsi="Times New Roman" w:cs="Times New Roman"/>
        </w:rPr>
        <w:t xml:space="preserve"> up 88% of chromium use</w:t>
      </w:r>
      <w:r w:rsidRPr="00CE0A61">
        <w:rPr>
          <w:rFonts w:ascii="Times New Roman" w:eastAsia="Calibri" w:hAnsi="Times New Roman" w:cs="Times New Roman"/>
        </w:rPr>
        <w:t xml:space="preserve"> in metallurgy, according to </w:t>
      </w:r>
      <w:r w:rsidR="00C63041" w:rsidRPr="00CE0A61">
        <w:rPr>
          <w:rFonts w:ascii="Times New Roman" w:eastAsia="Calibri" w:hAnsi="Times New Roman" w:cs="Times New Roman"/>
        </w:rPr>
        <w:t>an EU criticality report</w:t>
      </w:r>
      <w:r w:rsidR="00401DE8" w:rsidRPr="00CE0A61">
        <w:rPr>
          <w:rFonts w:ascii="Times New Roman" w:eastAsia="Calibri" w:hAnsi="Times New Roman" w:cs="Times New Roman"/>
        </w:rPr>
        <w:t xml:space="preserve"> </w:t>
      </w:r>
      <w:r w:rsidR="00401DE8" w:rsidRPr="00CE0A61">
        <w:rPr>
          <w:rFonts w:ascii="Times New Roman" w:eastAsia="Calibri" w:hAnsi="Times New Roman" w:cs="Times New Roman"/>
          <w:noProof/>
        </w:rPr>
        <w:t>(European Commission 2014)</w:t>
      </w:r>
      <w:r w:rsidR="00401DE8" w:rsidRPr="00CE0A61">
        <w:rPr>
          <w:rFonts w:ascii="Times New Roman" w:eastAsia="Calibri" w:hAnsi="Times New Roman" w:cs="Times New Roman"/>
        </w:rPr>
        <w:t xml:space="preserve"> and 79% of chromium</w:t>
      </w:r>
      <w:r w:rsidRPr="00CE0A61">
        <w:rPr>
          <w:rFonts w:ascii="Times New Roman" w:eastAsia="Calibri" w:hAnsi="Times New Roman" w:cs="Times New Roman"/>
        </w:rPr>
        <w:t xml:space="preserve"> overall and therefore should remain reliable for the majority of the flow. The combination of new and recycled material flows were then combined to achieve the total amo</w:t>
      </w:r>
      <w:r w:rsidR="00401DE8" w:rsidRPr="00CE0A61">
        <w:rPr>
          <w:rFonts w:ascii="Times New Roman" w:eastAsia="Calibri" w:hAnsi="Times New Roman" w:cs="Times New Roman"/>
        </w:rPr>
        <w:t>unt of material inputted into chromium</w:t>
      </w:r>
      <w:r w:rsidRPr="00CE0A61">
        <w:rPr>
          <w:rFonts w:ascii="Times New Roman" w:eastAsia="Calibri" w:hAnsi="Times New Roman" w:cs="Times New Roman"/>
        </w:rPr>
        <w:t xml:space="preserve"> production</w:t>
      </w:r>
      <w:r w:rsidR="00C63041" w:rsidRPr="00CE0A61">
        <w:rPr>
          <w:rFonts w:ascii="Times New Roman" w:eastAsia="Calibri" w:hAnsi="Times New Roman" w:cs="Times New Roman"/>
        </w:rPr>
        <w:t>.</w:t>
      </w:r>
    </w:p>
    <w:p w:rsidR="0066350A" w:rsidRPr="00CE0A61" w:rsidRDefault="007E511E" w:rsidP="0066350A">
      <w:pPr>
        <w:spacing w:after="0" w:line="360" w:lineRule="auto"/>
        <w:ind w:firstLine="720"/>
        <w:jc w:val="both"/>
        <w:rPr>
          <w:rFonts w:ascii="Times New Roman" w:hAnsi="Times New Roman" w:cs="Times New Roman"/>
        </w:rPr>
      </w:pPr>
      <w:r w:rsidRPr="00CE0A61">
        <w:rPr>
          <w:rFonts w:ascii="Times New Roman" w:eastAsia="Calibri" w:hAnsi="Times New Roman" w:cs="Times New Roman"/>
        </w:rPr>
        <w:t xml:space="preserve">The penultimate MFA stages involved grouping of EAF and BOS products, firstly into generic applications </w:t>
      </w:r>
      <w:r w:rsidR="0066350A" w:rsidRPr="00CE0A61">
        <w:rPr>
          <w:rFonts w:ascii="Times New Roman" w:eastAsia="Calibri" w:hAnsi="Times New Roman" w:cs="Times New Roman"/>
        </w:rPr>
        <w:t xml:space="preserve">followed by </w:t>
      </w:r>
      <w:r w:rsidR="00C63041" w:rsidRPr="00CE0A61">
        <w:rPr>
          <w:rFonts w:ascii="Times New Roman" w:eastAsia="Calibri" w:hAnsi="Times New Roman" w:cs="Times New Roman"/>
        </w:rPr>
        <w:t>metallurgical applications.</w:t>
      </w:r>
      <w:r w:rsidR="0066350A" w:rsidRPr="00CE0A61">
        <w:rPr>
          <w:rFonts w:ascii="Times New Roman" w:eastAsia="Calibri" w:hAnsi="Times New Roman" w:cs="Times New Roman"/>
        </w:rPr>
        <w:t xml:space="preserve"> Using percentage data from</w:t>
      </w:r>
      <w:r w:rsidR="00002D62" w:rsidRPr="00CE0A61">
        <w:rPr>
          <w:rFonts w:ascii="Times New Roman" w:eastAsia="Calibri" w:hAnsi="Times New Roman" w:cs="Times New Roman"/>
        </w:rPr>
        <w:t xml:space="preserve"> </w:t>
      </w:r>
      <w:r w:rsidR="00002D62" w:rsidRPr="00CE0A61">
        <w:rPr>
          <w:rFonts w:ascii="Times New Roman" w:eastAsia="Calibri" w:hAnsi="Times New Roman" w:cs="Times New Roman"/>
          <w:noProof/>
        </w:rPr>
        <w:t>(ICDA 2013)</w:t>
      </w:r>
      <w:r w:rsidR="0066350A" w:rsidRPr="00CE0A61">
        <w:rPr>
          <w:rFonts w:ascii="Times New Roman" w:eastAsia="Calibri" w:hAnsi="Times New Roman" w:cs="Times New Roman"/>
        </w:rPr>
        <w:t xml:space="preserve"> 3 </w:t>
      </w:r>
      <w:r w:rsidR="00107BD6" w:rsidRPr="00CE0A61">
        <w:rPr>
          <w:rFonts w:ascii="Times New Roman" w:eastAsia="Calibri" w:hAnsi="Times New Roman" w:cs="Times New Roman"/>
        </w:rPr>
        <w:t xml:space="preserve">principle </w:t>
      </w:r>
      <w:r w:rsidR="0066350A" w:rsidRPr="00CE0A61">
        <w:rPr>
          <w:rFonts w:ascii="Times New Roman" w:eastAsia="Calibri" w:hAnsi="Times New Roman" w:cs="Times New Roman"/>
        </w:rPr>
        <w:t>applications were identified (metallurgical, chemical and refractories) and numerical values calculated</w:t>
      </w:r>
      <w:r w:rsidR="00002D62" w:rsidRPr="00CE0A61">
        <w:rPr>
          <w:rFonts w:ascii="Times New Roman" w:eastAsia="Calibri" w:hAnsi="Times New Roman" w:cs="Times New Roman"/>
        </w:rPr>
        <w:t xml:space="preserve"> for each application,</w:t>
      </w:r>
      <w:r w:rsidR="0066350A" w:rsidRPr="00CE0A61">
        <w:rPr>
          <w:rFonts w:ascii="Times New Roman" w:eastAsia="Calibri" w:hAnsi="Times New Roman" w:cs="Times New Roman"/>
        </w:rPr>
        <w:t xml:space="preserve"> by multiplication of percentage data against total chromium </w:t>
      </w:r>
      <w:r w:rsidR="0066350A" w:rsidRPr="00CE0A61">
        <w:rPr>
          <w:rFonts w:ascii="Times New Roman" w:hAnsi="Times New Roman" w:cs="Times New Roman"/>
        </w:rPr>
        <w:t>(primary + recycled).</w:t>
      </w:r>
    </w:p>
    <w:p w:rsidR="00002D62" w:rsidRPr="00CE0A61" w:rsidRDefault="00107BD6" w:rsidP="00002D62">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t>Due to the majority of chromium</w:t>
      </w:r>
      <w:r w:rsidR="007E511E" w:rsidRPr="00CE0A61">
        <w:rPr>
          <w:rFonts w:ascii="Times New Roman" w:eastAsia="Calibri" w:hAnsi="Times New Roman" w:cs="Times New Roman"/>
        </w:rPr>
        <w:t xml:space="preserve"> applications being metallurgical i.e. 90%, </w:t>
      </w:r>
      <w:r w:rsidR="00002D62" w:rsidRPr="00CE0A61">
        <w:rPr>
          <w:rFonts w:ascii="Times New Roman" w:eastAsia="Calibri" w:hAnsi="Times New Roman" w:cs="Times New Roman"/>
        </w:rPr>
        <w:t xml:space="preserve"> percentage </w:t>
      </w:r>
      <w:r w:rsidR="007E511E" w:rsidRPr="00CE0A61">
        <w:rPr>
          <w:rFonts w:ascii="Times New Roman" w:eastAsia="Calibri" w:hAnsi="Times New Roman" w:cs="Times New Roman"/>
        </w:rPr>
        <w:t>data available fro</w:t>
      </w:r>
      <w:r w:rsidR="00002D62" w:rsidRPr="00CE0A61">
        <w:rPr>
          <w:rFonts w:ascii="Times New Roman" w:eastAsia="Calibri" w:hAnsi="Times New Roman" w:cs="Times New Roman"/>
        </w:rPr>
        <w:t xml:space="preserve">m the EU Criticality Report </w:t>
      </w:r>
      <w:r w:rsidR="00002D62" w:rsidRPr="00CE0A61">
        <w:rPr>
          <w:rFonts w:ascii="Times New Roman" w:eastAsia="Calibri" w:hAnsi="Times New Roman" w:cs="Times New Roman"/>
          <w:noProof/>
        </w:rPr>
        <w:t>(European Commission 2014)</w:t>
      </w:r>
      <w:r w:rsidR="007E511E" w:rsidRPr="00CE0A61">
        <w:rPr>
          <w:rFonts w:ascii="Times New Roman" w:eastAsia="Calibri" w:hAnsi="Times New Roman" w:cs="Times New Roman"/>
        </w:rPr>
        <w:t xml:space="preserve"> </w:t>
      </w:r>
      <w:r w:rsidR="00002D62" w:rsidRPr="00CE0A61">
        <w:rPr>
          <w:rFonts w:ascii="Times New Roman" w:eastAsia="Calibri" w:hAnsi="Times New Roman" w:cs="Times New Roman"/>
        </w:rPr>
        <w:t xml:space="preserve"> was used to calculate the </w:t>
      </w:r>
      <w:r w:rsidR="007E511E" w:rsidRPr="00CE0A61">
        <w:rPr>
          <w:rFonts w:ascii="Times New Roman" w:eastAsia="Calibri" w:hAnsi="Times New Roman" w:cs="Times New Roman"/>
        </w:rPr>
        <w:t>breakdown of metallurgical applications into the final industrial sectors to which they contribute</w:t>
      </w:r>
      <w:r w:rsidRPr="00CE0A61">
        <w:rPr>
          <w:rFonts w:ascii="Times New Roman" w:eastAsia="Calibri" w:hAnsi="Times New Roman" w:cs="Times New Roman"/>
        </w:rPr>
        <w:t>d</w:t>
      </w:r>
      <w:r w:rsidR="007E511E" w:rsidRPr="00CE0A61">
        <w:rPr>
          <w:rFonts w:ascii="Times New Roman" w:eastAsia="Calibri" w:hAnsi="Times New Roman" w:cs="Times New Roman"/>
        </w:rPr>
        <w:t xml:space="preserve">. </w:t>
      </w:r>
    </w:p>
    <w:p w:rsidR="007E511E" w:rsidRPr="00CE0A61" w:rsidRDefault="007E511E" w:rsidP="00002D62">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t>For completeness of the model, recycling loops were identified in the EoL products, which were then fed back in</w:t>
      </w:r>
      <w:r w:rsidR="00002D62" w:rsidRPr="00CE0A61">
        <w:rPr>
          <w:rFonts w:ascii="Times New Roman" w:eastAsia="Calibri" w:hAnsi="Times New Roman" w:cs="Times New Roman"/>
        </w:rPr>
        <w:t>to the EAF and BOS melt stage where</w:t>
      </w:r>
      <w:r w:rsidRPr="00CE0A61">
        <w:rPr>
          <w:rFonts w:ascii="Times New Roman" w:eastAsia="Calibri" w:hAnsi="Times New Roman" w:cs="Times New Roman"/>
        </w:rPr>
        <w:t xml:space="preserve"> applicable, to co</w:t>
      </w:r>
      <w:r w:rsidR="00002D62" w:rsidRPr="00CE0A61">
        <w:rPr>
          <w:rFonts w:ascii="Times New Roman" w:eastAsia="Calibri" w:hAnsi="Times New Roman" w:cs="Times New Roman"/>
        </w:rPr>
        <w:t>mplete the MFA model. Ideally,</w:t>
      </w:r>
      <w:r w:rsidRPr="00CE0A61">
        <w:rPr>
          <w:rFonts w:ascii="Times New Roman" w:eastAsia="Calibri" w:hAnsi="Times New Roman" w:cs="Times New Roman"/>
        </w:rPr>
        <w:t xml:space="preserve"> the model could have been enhanced by tracing the recycling melt-stock through into each application sector, </w:t>
      </w:r>
      <w:r w:rsidR="00107BD6" w:rsidRPr="00CE0A61">
        <w:rPr>
          <w:rFonts w:ascii="Times New Roman" w:eastAsia="Calibri" w:hAnsi="Times New Roman" w:cs="Times New Roman"/>
        </w:rPr>
        <w:t>but this was not possible for chromium</w:t>
      </w:r>
      <w:r w:rsidRPr="00CE0A61">
        <w:rPr>
          <w:rFonts w:ascii="Times New Roman" w:eastAsia="Calibri" w:hAnsi="Times New Roman" w:cs="Times New Roman"/>
        </w:rPr>
        <w:t xml:space="preserve"> because such data did not exist. </w:t>
      </w:r>
    </w:p>
    <w:p w:rsidR="00C05D8F" w:rsidRPr="00CE0A61" w:rsidRDefault="007E511E" w:rsidP="0006682C">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t>For reliability and consistency, the entire MFA was traced and summed in reverse order to ensure conservation of mass, which by definition allowed validation of the model. Additionally, ICDA data used in the study enabled the MFA to regain greater levels of continuity, particularly in the ultimate recycling stage.</w:t>
      </w:r>
    </w:p>
    <w:p w:rsidR="006F7BC2" w:rsidRPr="00CE0A61" w:rsidRDefault="006F7BC2" w:rsidP="00BF57EB">
      <w:pPr>
        <w:spacing w:after="0" w:line="360" w:lineRule="auto"/>
        <w:jc w:val="both"/>
        <w:rPr>
          <w:rFonts w:ascii="Times New Roman" w:eastAsia="Calibri" w:hAnsi="Times New Roman" w:cs="Times New Roman"/>
        </w:rPr>
      </w:pPr>
    </w:p>
    <w:p w:rsidR="004E77ED" w:rsidRDefault="004E77ED" w:rsidP="0006682C">
      <w:pPr>
        <w:spacing w:after="0" w:line="360" w:lineRule="auto"/>
        <w:ind w:firstLine="720"/>
        <w:jc w:val="both"/>
        <w:rPr>
          <w:rFonts w:ascii="Times New Roman" w:eastAsia="Calibri" w:hAnsi="Times New Roman" w:cs="Times New Roman"/>
        </w:rPr>
        <w:sectPr w:rsidR="004E77ED" w:rsidSect="00C24042">
          <w:pgSz w:w="11906" w:h="16838"/>
          <w:pgMar w:top="1440" w:right="1440" w:bottom="1440" w:left="1440" w:header="708" w:footer="708" w:gutter="0"/>
          <w:cols w:space="708"/>
          <w:docGrid w:linePitch="360"/>
        </w:sectPr>
      </w:pPr>
    </w:p>
    <w:p w:rsidR="007E511E" w:rsidRPr="00A1085C" w:rsidRDefault="007E511E" w:rsidP="007E511E">
      <w:pPr>
        <w:spacing w:after="0" w:line="360" w:lineRule="auto"/>
        <w:jc w:val="both"/>
        <w:rPr>
          <w:rFonts w:ascii="Times New Roman" w:eastAsia="Calibri" w:hAnsi="Times New Roman" w:cs="Times New Roman"/>
          <w:b/>
        </w:rPr>
      </w:pPr>
      <w:r w:rsidRPr="00A1085C">
        <w:rPr>
          <w:rFonts w:ascii="Times New Roman" w:eastAsia="Calibri" w:hAnsi="Times New Roman" w:cs="Times New Roman"/>
          <w:b/>
        </w:rPr>
        <w:lastRenderedPageBreak/>
        <w:t>iii) Molybdenum</w:t>
      </w:r>
    </w:p>
    <w:p w:rsidR="00A0100C" w:rsidRDefault="007E511E" w:rsidP="00676BF5">
      <w:pPr>
        <w:spacing w:line="360" w:lineRule="auto"/>
        <w:jc w:val="both"/>
        <w:rPr>
          <w:rFonts w:ascii="Times New Roman" w:eastAsia="Calibri" w:hAnsi="Times New Roman" w:cs="Times New Roman"/>
        </w:rPr>
      </w:pPr>
      <w:bookmarkStart w:id="53" w:name="_Ref473217020"/>
      <w:bookmarkStart w:id="54" w:name="_Toc474486517"/>
      <w:bookmarkStart w:id="55" w:name="_Toc495852687"/>
      <w:r w:rsidRPr="00CE0A61">
        <w:rPr>
          <w:rFonts w:ascii="Times New Roman" w:hAnsi="Times New Roman" w:cs="Times New Roman"/>
        </w:rPr>
        <w:t xml:space="preserve">Table </w:t>
      </w:r>
      <w:r w:rsidR="009A0ED7" w:rsidRPr="00CE0A61">
        <w:rPr>
          <w:rFonts w:ascii="Times New Roman" w:hAnsi="Times New Roman" w:cs="Times New Roman"/>
        </w:rPr>
        <w:fldChar w:fldCharType="begin"/>
      </w:r>
      <w:r w:rsidRPr="00CE0A61">
        <w:rPr>
          <w:rFonts w:ascii="Times New Roman" w:hAnsi="Times New Roman" w:cs="Times New Roman"/>
        </w:rPr>
        <w:instrText xml:space="preserve"> SEQ Table \* ARABIC </w:instrText>
      </w:r>
      <w:r w:rsidR="009A0ED7" w:rsidRPr="00CE0A61">
        <w:rPr>
          <w:rFonts w:ascii="Times New Roman" w:hAnsi="Times New Roman" w:cs="Times New Roman"/>
        </w:rPr>
        <w:fldChar w:fldCharType="separate"/>
      </w:r>
      <w:r w:rsidR="009F5483">
        <w:rPr>
          <w:rFonts w:ascii="Times New Roman" w:hAnsi="Times New Roman" w:cs="Times New Roman"/>
          <w:noProof/>
        </w:rPr>
        <w:t>9</w:t>
      </w:r>
      <w:r w:rsidR="009A0ED7" w:rsidRPr="00CE0A61">
        <w:rPr>
          <w:rFonts w:ascii="Times New Roman" w:hAnsi="Times New Roman" w:cs="Times New Roman"/>
        </w:rPr>
        <w:fldChar w:fldCharType="end"/>
      </w:r>
      <w:bookmarkEnd w:id="53"/>
      <w:r w:rsidRPr="00CE0A61">
        <w:rPr>
          <w:rFonts w:ascii="Times New Roman" w:hAnsi="Times New Roman" w:cs="Times New Roman"/>
        </w:rPr>
        <w:t xml:space="preserve">. </w:t>
      </w:r>
      <w:r w:rsidR="00107BD6" w:rsidRPr="00CE0A61">
        <w:rPr>
          <w:rFonts w:ascii="Times New Roman" w:eastAsia="Calibri" w:hAnsi="Times New Roman" w:cs="Times New Roman"/>
        </w:rPr>
        <w:t>Input data utilised to create global molybdenum Sankey diagram</w:t>
      </w:r>
      <w:r w:rsidR="00625D7E" w:rsidRPr="00CE0A61">
        <w:rPr>
          <w:rFonts w:ascii="Times New Roman" w:eastAsia="Calibri" w:hAnsi="Times New Roman" w:cs="Times New Roman"/>
        </w:rPr>
        <w:t xml:space="preserve"> for the year 2014</w:t>
      </w:r>
      <w:bookmarkStart w:id="56" w:name="_Toc475570503"/>
      <w:bookmarkEnd w:id="54"/>
      <w:r w:rsidR="00A0100C">
        <w:rPr>
          <w:rFonts w:ascii="Times New Roman" w:eastAsia="Calibri" w:hAnsi="Times New Roman" w:cs="Times New Roman"/>
        </w:rPr>
        <w:t>.</w:t>
      </w:r>
      <w:bookmarkEnd w:id="55"/>
    </w:p>
    <w:tbl>
      <w:tblPr>
        <w:tblW w:w="5152" w:type="pct"/>
        <w:tblLook w:val="04A0" w:firstRow="1" w:lastRow="0" w:firstColumn="1" w:lastColumn="0" w:noHBand="0" w:noVBand="1"/>
      </w:tblPr>
      <w:tblGrid>
        <w:gridCol w:w="2098"/>
        <w:gridCol w:w="2832"/>
        <w:gridCol w:w="1384"/>
        <w:gridCol w:w="1794"/>
        <w:gridCol w:w="1371"/>
      </w:tblGrid>
      <w:tr w:rsidR="00A0100C" w:rsidRPr="00CE0A61" w:rsidTr="00A0100C">
        <w:trPr>
          <w:trHeight w:val="299"/>
        </w:trPr>
        <w:tc>
          <w:tcPr>
            <w:tcW w:w="110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A0100C" w:rsidRPr="00CE0A61" w:rsidRDefault="00A0100C" w:rsidP="008F124C">
            <w:pPr>
              <w:jc w:val="center"/>
              <w:rPr>
                <w:rFonts w:ascii="Times New Roman" w:eastAsia="Times New Roman" w:hAnsi="Times New Roman" w:cs="Times New Roman"/>
                <w:b/>
                <w:bCs/>
                <w:color w:val="000000"/>
              </w:rPr>
            </w:pPr>
            <w:r w:rsidRPr="00CE0A61">
              <w:rPr>
                <w:rFonts w:ascii="Times New Roman" w:eastAsia="Times New Roman" w:hAnsi="Times New Roman" w:cs="Times New Roman"/>
                <w:b/>
                <w:bCs/>
                <w:color w:val="000000"/>
              </w:rPr>
              <w:t xml:space="preserve">Stage </w:t>
            </w:r>
          </w:p>
        </w:tc>
        <w:tc>
          <w:tcPr>
            <w:tcW w:w="1494" w:type="pct"/>
            <w:tcBorders>
              <w:top w:val="single" w:sz="8" w:space="0" w:color="auto"/>
              <w:left w:val="nil"/>
              <w:bottom w:val="single" w:sz="8" w:space="0" w:color="auto"/>
              <w:right w:val="single" w:sz="8" w:space="0" w:color="auto"/>
            </w:tcBorders>
            <w:shd w:val="clear" w:color="auto" w:fill="auto"/>
            <w:noWrap/>
            <w:vAlign w:val="center"/>
            <w:hideMark/>
          </w:tcPr>
          <w:p w:rsidR="00A0100C" w:rsidRPr="00CE0A61" w:rsidRDefault="00A0100C" w:rsidP="008F124C">
            <w:pPr>
              <w:spacing w:after="0" w:line="240" w:lineRule="auto"/>
              <w:jc w:val="center"/>
              <w:rPr>
                <w:rFonts w:ascii="Times New Roman" w:eastAsia="Times New Roman" w:hAnsi="Times New Roman" w:cs="Times New Roman"/>
                <w:b/>
                <w:bCs/>
                <w:color w:val="000000"/>
              </w:rPr>
            </w:pPr>
            <w:r w:rsidRPr="00CE0A61">
              <w:rPr>
                <w:rFonts w:ascii="Times New Roman" w:eastAsia="Times New Roman" w:hAnsi="Times New Roman" w:cs="Times New Roman"/>
                <w:b/>
                <w:bCs/>
                <w:color w:val="000000"/>
              </w:rPr>
              <w:t>Source</w:t>
            </w:r>
          </w:p>
        </w:tc>
        <w:tc>
          <w:tcPr>
            <w:tcW w:w="730" w:type="pct"/>
            <w:tcBorders>
              <w:top w:val="single" w:sz="8" w:space="0" w:color="auto"/>
              <w:left w:val="nil"/>
              <w:bottom w:val="single" w:sz="8" w:space="0" w:color="auto"/>
              <w:right w:val="single" w:sz="8" w:space="0" w:color="auto"/>
            </w:tcBorders>
            <w:shd w:val="clear" w:color="auto" w:fill="auto"/>
            <w:noWrap/>
            <w:vAlign w:val="center"/>
            <w:hideMark/>
          </w:tcPr>
          <w:p w:rsidR="00A0100C" w:rsidRPr="00CE0A61" w:rsidRDefault="00A0100C" w:rsidP="008F124C">
            <w:pPr>
              <w:spacing w:after="0" w:line="240" w:lineRule="auto"/>
              <w:jc w:val="center"/>
              <w:rPr>
                <w:rFonts w:ascii="Times New Roman" w:eastAsia="Times New Roman" w:hAnsi="Times New Roman" w:cs="Times New Roman"/>
                <w:b/>
                <w:bCs/>
                <w:color w:val="000000"/>
              </w:rPr>
            </w:pPr>
            <w:r w:rsidRPr="00CE0A61">
              <w:rPr>
                <w:rFonts w:ascii="Times New Roman" w:eastAsia="Times New Roman" w:hAnsi="Times New Roman" w:cs="Times New Roman"/>
                <w:b/>
                <w:bCs/>
                <w:color w:val="000000"/>
              </w:rPr>
              <w:t>Tonnage (T)</w:t>
            </w:r>
          </w:p>
        </w:tc>
        <w:tc>
          <w:tcPr>
            <w:tcW w:w="946" w:type="pct"/>
            <w:tcBorders>
              <w:top w:val="single" w:sz="8" w:space="0" w:color="auto"/>
              <w:left w:val="nil"/>
              <w:bottom w:val="single" w:sz="8" w:space="0" w:color="auto"/>
              <w:right w:val="single" w:sz="8" w:space="0" w:color="auto"/>
            </w:tcBorders>
            <w:shd w:val="clear" w:color="auto" w:fill="auto"/>
            <w:noWrap/>
            <w:vAlign w:val="center"/>
            <w:hideMark/>
          </w:tcPr>
          <w:p w:rsidR="00A0100C" w:rsidRPr="00CE0A61" w:rsidRDefault="00A0100C" w:rsidP="008F124C">
            <w:pPr>
              <w:spacing w:after="0" w:line="240" w:lineRule="auto"/>
              <w:jc w:val="center"/>
              <w:rPr>
                <w:rFonts w:ascii="Times New Roman" w:eastAsia="Times New Roman" w:hAnsi="Times New Roman" w:cs="Times New Roman"/>
                <w:b/>
                <w:bCs/>
                <w:color w:val="000000"/>
              </w:rPr>
            </w:pPr>
            <w:r w:rsidRPr="00CE0A61">
              <w:rPr>
                <w:rFonts w:ascii="Times New Roman" w:eastAsia="Times New Roman" w:hAnsi="Times New Roman" w:cs="Times New Roman"/>
                <w:b/>
                <w:bCs/>
                <w:color w:val="000000"/>
              </w:rPr>
              <w:t>Data Source</w:t>
            </w:r>
          </w:p>
        </w:tc>
        <w:tc>
          <w:tcPr>
            <w:tcW w:w="723" w:type="pct"/>
            <w:tcBorders>
              <w:top w:val="single" w:sz="8" w:space="0" w:color="auto"/>
              <w:left w:val="nil"/>
              <w:bottom w:val="single" w:sz="8"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b/>
                <w:bCs/>
                <w:color w:val="000000"/>
              </w:rPr>
            </w:pPr>
            <w:r w:rsidRPr="00CE0A61">
              <w:rPr>
                <w:rFonts w:ascii="Times New Roman" w:eastAsia="Times New Roman" w:hAnsi="Times New Roman" w:cs="Times New Roman"/>
                <w:b/>
                <w:bCs/>
                <w:color w:val="000000"/>
              </w:rPr>
              <w:t>Data Source</w:t>
            </w:r>
          </w:p>
          <w:p w:rsidR="00A0100C" w:rsidRPr="00CE0A61" w:rsidRDefault="00A0100C" w:rsidP="008F124C">
            <w:pPr>
              <w:spacing w:after="0" w:line="240" w:lineRule="auto"/>
              <w:jc w:val="center"/>
              <w:rPr>
                <w:rFonts w:ascii="Times New Roman" w:eastAsia="Times New Roman" w:hAnsi="Times New Roman" w:cs="Times New Roman"/>
                <w:b/>
                <w:bCs/>
                <w:color w:val="000000"/>
              </w:rPr>
            </w:pPr>
            <w:r w:rsidRPr="00CE0A61">
              <w:rPr>
                <w:rFonts w:ascii="Times New Roman" w:eastAsia="Times New Roman" w:hAnsi="Times New Roman" w:cs="Times New Roman"/>
                <w:b/>
                <w:bCs/>
                <w:color w:val="000000"/>
              </w:rPr>
              <w:t xml:space="preserve"> Year</w:t>
            </w:r>
          </w:p>
        </w:tc>
      </w:tr>
      <w:tr w:rsidR="00A0100C" w:rsidRPr="00CE0A61" w:rsidTr="00A0100C">
        <w:trPr>
          <w:trHeight w:val="285"/>
        </w:trPr>
        <w:tc>
          <w:tcPr>
            <w:tcW w:w="1107" w:type="pct"/>
            <w:vMerge w:val="restart"/>
            <w:tcBorders>
              <w:top w:val="nil"/>
              <w:left w:val="single" w:sz="8" w:space="0" w:color="auto"/>
              <w:bottom w:val="single" w:sz="8" w:space="0" w:color="000000"/>
              <w:right w:val="single" w:sz="8" w:space="0" w:color="auto"/>
            </w:tcBorders>
            <w:shd w:val="clear" w:color="auto" w:fill="auto"/>
            <w:vAlign w:val="center"/>
            <w:hideMark/>
          </w:tcPr>
          <w:p w:rsidR="00A0100C" w:rsidRPr="00CE0A61" w:rsidRDefault="00A0100C" w:rsidP="008F124C">
            <w:pPr>
              <w:spacing w:after="0" w:line="240" w:lineRule="auto"/>
              <w:jc w:val="center"/>
              <w:rPr>
                <w:rFonts w:ascii="Times New Roman" w:eastAsia="Times New Roman" w:hAnsi="Times New Roman" w:cs="Times New Roman"/>
                <w:b/>
                <w:bCs/>
                <w:color w:val="000000"/>
              </w:rPr>
            </w:pPr>
            <w:r w:rsidRPr="00CE0A61">
              <w:rPr>
                <w:rFonts w:ascii="Times New Roman" w:eastAsia="Times New Roman" w:hAnsi="Times New Roman" w:cs="Times New Roman"/>
                <w:b/>
                <w:bCs/>
                <w:color w:val="000000"/>
              </w:rPr>
              <w:t>Stage 1 (Extraction)</w:t>
            </w: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USA</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65,500</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USGS MCS 2015</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2014</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Armenia</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6,700</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USGS MCS 2015</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2014</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Canada</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9,500</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USGS MCS 2015</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2014</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Chile</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39,000</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USGS MCS 2015</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2014</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China</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100,000</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USGS MCS 2015</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2014</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Iran</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6,300</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USGS MCS 2015</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2014</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Mexico</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11,000</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USGS MCS 2015</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2014</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Mongolia</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2,000</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USGS MCS 2015</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2014</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Peru</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18,100</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USGS MCS 2015</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2014</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Russia</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4,800</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USGS MCS 2015</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2014</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Turkey</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2,800</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USGS MCS 2015</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2014</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Uzbekistan</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550</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USGS MCS 2015</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2014</w:t>
            </w:r>
          </w:p>
        </w:tc>
      </w:tr>
      <w:tr w:rsidR="00A0100C" w:rsidRPr="00CE0A61" w:rsidTr="00A0100C">
        <w:trPr>
          <w:trHeight w:val="299"/>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nil"/>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Global Mine Production</w:t>
            </w:r>
          </w:p>
        </w:tc>
        <w:tc>
          <w:tcPr>
            <w:tcW w:w="730" w:type="pct"/>
            <w:tcBorders>
              <w:top w:val="nil"/>
              <w:left w:val="nil"/>
              <w:bottom w:val="nil"/>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266,250</w:t>
            </w:r>
          </w:p>
        </w:tc>
        <w:tc>
          <w:tcPr>
            <w:tcW w:w="946" w:type="pct"/>
            <w:tcBorders>
              <w:top w:val="nil"/>
              <w:left w:val="nil"/>
              <w:bottom w:val="nil"/>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USGS MCS 2015</w:t>
            </w:r>
          </w:p>
        </w:tc>
        <w:tc>
          <w:tcPr>
            <w:tcW w:w="723" w:type="pct"/>
            <w:tcBorders>
              <w:top w:val="nil"/>
              <w:left w:val="nil"/>
              <w:bottom w:val="nil"/>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2014</w:t>
            </w:r>
          </w:p>
        </w:tc>
      </w:tr>
      <w:tr w:rsidR="00A0100C" w:rsidRPr="00CE0A61" w:rsidTr="00A0100C">
        <w:trPr>
          <w:trHeight w:val="285"/>
        </w:trPr>
        <w:tc>
          <w:tcPr>
            <w:tcW w:w="1107"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A0100C" w:rsidRPr="00CE0A61" w:rsidRDefault="00A0100C" w:rsidP="008F124C">
            <w:pPr>
              <w:spacing w:after="0" w:line="240" w:lineRule="auto"/>
              <w:jc w:val="center"/>
              <w:rPr>
                <w:rFonts w:ascii="Times New Roman" w:eastAsia="Times New Roman" w:hAnsi="Times New Roman" w:cs="Times New Roman"/>
                <w:b/>
                <w:bCs/>
                <w:color w:val="000000"/>
              </w:rPr>
            </w:pPr>
            <w:r w:rsidRPr="00CE0A61">
              <w:rPr>
                <w:rFonts w:ascii="Times New Roman" w:eastAsia="Times New Roman" w:hAnsi="Times New Roman" w:cs="Times New Roman"/>
                <w:b/>
                <w:bCs/>
                <w:color w:val="000000"/>
              </w:rPr>
              <w:t>Stage 2 (Processing)</w:t>
            </w:r>
          </w:p>
        </w:tc>
        <w:tc>
          <w:tcPr>
            <w:tcW w:w="1494" w:type="pct"/>
            <w:tcBorders>
              <w:top w:val="single" w:sz="8" w:space="0" w:color="auto"/>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Fe-Mo*</w:t>
            </w:r>
          </w:p>
        </w:tc>
        <w:tc>
          <w:tcPr>
            <w:tcW w:w="730" w:type="pct"/>
            <w:tcBorders>
              <w:top w:val="single" w:sz="8" w:space="0" w:color="auto"/>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82,471</w:t>
            </w:r>
          </w:p>
        </w:tc>
        <w:tc>
          <w:tcPr>
            <w:tcW w:w="946" w:type="pct"/>
            <w:tcBorders>
              <w:top w:val="single" w:sz="8" w:space="0" w:color="auto"/>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single" w:sz="8" w:space="0" w:color="auto"/>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Upgrade Products*</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47,126</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Tech Oxide*</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106,034</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Revert Scrap**</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46,150</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2011</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Old Scrap &amp; Blends**</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28,511</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2011</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New Scrap **</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13,867</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2011</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Molybdenite (Primary Mo)**</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235,631</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2011</w:t>
            </w:r>
          </w:p>
        </w:tc>
      </w:tr>
      <w:tr w:rsidR="00A0100C" w:rsidRPr="00CE0A61" w:rsidTr="00A0100C">
        <w:trPr>
          <w:trHeight w:val="299"/>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nil"/>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Total Recycled**</w:t>
            </w:r>
          </w:p>
        </w:tc>
        <w:tc>
          <w:tcPr>
            <w:tcW w:w="730" w:type="pct"/>
            <w:tcBorders>
              <w:top w:val="nil"/>
              <w:left w:val="nil"/>
              <w:bottom w:val="nil"/>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88,528</w:t>
            </w:r>
          </w:p>
        </w:tc>
        <w:tc>
          <w:tcPr>
            <w:tcW w:w="946" w:type="pct"/>
            <w:tcBorders>
              <w:top w:val="nil"/>
              <w:left w:val="nil"/>
              <w:bottom w:val="nil"/>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nil"/>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2011</w:t>
            </w:r>
          </w:p>
        </w:tc>
      </w:tr>
      <w:tr w:rsidR="00A0100C" w:rsidRPr="00CE0A61" w:rsidTr="00A0100C">
        <w:trPr>
          <w:trHeight w:val="285"/>
        </w:trPr>
        <w:tc>
          <w:tcPr>
            <w:tcW w:w="1107" w:type="pct"/>
            <w:vMerge w:val="restart"/>
            <w:tcBorders>
              <w:top w:val="nil"/>
              <w:left w:val="single" w:sz="8" w:space="0" w:color="auto"/>
              <w:bottom w:val="single" w:sz="8" w:space="0" w:color="000000"/>
              <w:right w:val="nil"/>
            </w:tcBorders>
            <w:shd w:val="clear" w:color="auto" w:fill="auto"/>
            <w:vAlign w:val="center"/>
            <w:hideMark/>
          </w:tcPr>
          <w:p w:rsidR="00A0100C" w:rsidRPr="00CE0A61" w:rsidRDefault="00A0100C" w:rsidP="008F124C">
            <w:pPr>
              <w:spacing w:after="0" w:line="240" w:lineRule="auto"/>
              <w:jc w:val="center"/>
              <w:rPr>
                <w:rFonts w:ascii="Times New Roman" w:eastAsia="Times New Roman" w:hAnsi="Times New Roman" w:cs="Times New Roman"/>
                <w:b/>
                <w:bCs/>
                <w:color w:val="000000"/>
              </w:rPr>
            </w:pPr>
            <w:r w:rsidRPr="00CE0A61">
              <w:rPr>
                <w:rFonts w:ascii="Times New Roman" w:eastAsia="Times New Roman" w:hAnsi="Times New Roman" w:cs="Times New Roman"/>
                <w:b/>
                <w:bCs/>
                <w:color w:val="000000"/>
              </w:rPr>
              <w:t>Stage 3 (Applications)</w:t>
            </w:r>
            <w:r w:rsidRPr="00CE0A61">
              <w:rPr>
                <w:rFonts w:ascii="Times New Roman" w:eastAsia="Times New Roman" w:hAnsi="Times New Roman" w:cs="Times New Roman"/>
                <w:b/>
                <w:bCs/>
                <w:color w:val="000000"/>
              </w:rPr>
              <w:br/>
              <w:t>Primary Mo</w:t>
            </w:r>
          </w:p>
        </w:tc>
        <w:tc>
          <w:tcPr>
            <w:tcW w:w="1494"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Chemicals*</w:t>
            </w:r>
          </w:p>
        </w:tc>
        <w:tc>
          <w:tcPr>
            <w:tcW w:w="730" w:type="pct"/>
            <w:tcBorders>
              <w:top w:val="single" w:sz="8" w:space="0" w:color="auto"/>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36,954</w:t>
            </w:r>
          </w:p>
        </w:tc>
        <w:tc>
          <w:tcPr>
            <w:tcW w:w="946" w:type="pct"/>
            <w:tcBorders>
              <w:top w:val="single" w:sz="8" w:space="0" w:color="auto"/>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single" w:sz="8" w:space="0" w:color="auto"/>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r w:rsidR="00A0100C" w:rsidRPr="00CE0A61" w:rsidTr="00A0100C">
        <w:trPr>
          <w:trHeight w:val="285"/>
        </w:trPr>
        <w:tc>
          <w:tcPr>
            <w:tcW w:w="1107" w:type="pct"/>
            <w:vMerge/>
            <w:tcBorders>
              <w:top w:val="nil"/>
              <w:left w:val="single" w:sz="8" w:space="0" w:color="auto"/>
              <w:bottom w:val="single" w:sz="8" w:space="0" w:color="000000"/>
              <w:right w:val="nil"/>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single" w:sz="8" w:space="0" w:color="auto"/>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Cast Iron*</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21,006</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r w:rsidR="00A0100C" w:rsidRPr="00CE0A61" w:rsidTr="00A0100C">
        <w:trPr>
          <w:trHeight w:val="285"/>
        </w:trPr>
        <w:tc>
          <w:tcPr>
            <w:tcW w:w="1107" w:type="pct"/>
            <w:vMerge/>
            <w:tcBorders>
              <w:top w:val="nil"/>
              <w:left w:val="single" w:sz="8" w:space="0" w:color="auto"/>
              <w:bottom w:val="single" w:sz="8" w:space="0" w:color="000000"/>
              <w:right w:val="nil"/>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single" w:sz="8" w:space="0" w:color="auto"/>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Mo Metal*</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16,208</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r w:rsidR="00A0100C" w:rsidRPr="00CE0A61" w:rsidTr="00A0100C">
        <w:trPr>
          <w:trHeight w:val="285"/>
        </w:trPr>
        <w:tc>
          <w:tcPr>
            <w:tcW w:w="1107" w:type="pct"/>
            <w:vMerge/>
            <w:tcBorders>
              <w:top w:val="nil"/>
              <w:left w:val="single" w:sz="8" w:space="0" w:color="auto"/>
              <w:bottom w:val="single" w:sz="8" w:space="0" w:color="000000"/>
              <w:right w:val="nil"/>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single" w:sz="8" w:space="0" w:color="auto"/>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Tool Steel*</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11,410</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r w:rsidR="00A0100C" w:rsidRPr="00CE0A61" w:rsidTr="00A0100C">
        <w:trPr>
          <w:trHeight w:val="285"/>
        </w:trPr>
        <w:tc>
          <w:tcPr>
            <w:tcW w:w="1107" w:type="pct"/>
            <w:vMerge/>
            <w:tcBorders>
              <w:top w:val="nil"/>
              <w:left w:val="single" w:sz="8" w:space="0" w:color="auto"/>
              <w:bottom w:val="single" w:sz="8" w:space="0" w:color="000000"/>
              <w:right w:val="nil"/>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single" w:sz="8" w:space="0" w:color="auto"/>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Ni Alloy*</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2,658</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r w:rsidR="00A0100C" w:rsidRPr="00CE0A61" w:rsidTr="00A0100C">
        <w:trPr>
          <w:trHeight w:val="285"/>
        </w:trPr>
        <w:tc>
          <w:tcPr>
            <w:tcW w:w="1107" w:type="pct"/>
            <w:vMerge/>
            <w:tcBorders>
              <w:top w:val="nil"/>
              <w:left w:val="single" w:sz="8" w:space="0" w:color="auto"/>
              <w:bottom w:val="single" w:sz="8" w:space="0" w:color="000000"/>
              <w:right w:val="nil"/>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single" w:sz="8" w:space="0" w:color="auto"/>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Engineering Steel*</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119,874</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r w:rsidR="00A0100C" w:rsidRPr="00CE0A61" w:rsidTr="00A0100C">
        <w:trPr>
          <w:trHeight w:val="299"/>
        </w:trPr>
        <w:tc>
          <w:tcPr>
            <w:tcW w:w="1107" w:type="pct"/>
            <w:vMerge/>
            <w:tcBorders>
              <w:top w:val="nil"/>
              <w:left w:val="single" w:sz="8" w:space="0" w:color="auto"/>
              <w:bottom w:val="single" w:sz="8" w:space="0" w:color="000000"/>
              <w:right w:val="nil"/>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single" w:sz="8" w:space="0" w:color="auto"/>
              <w:bottom w:val="nil"/>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Stainless Steel*</w:t>
            </w:r>
          </w:p>
        </w:tc>
        <w:tc>
          <w:tcPr>
            <w:tcW w:w="730" w:type="pct"/>
            <w:tcBorders>
              <w:top w:val="nil"/>
              <w:left w:val="nil"/>
              <w:bottom w:val="nil"/>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44,215</w:t>
            </w:r>
          </w:p>
        </w:tc>
        <w:tc>
          <w:tcPr>
            <w:tcW w:w="946" w:type="pct"/>
            <w:tcBorders>
              <w:top w:val="nil"/>
              <w:left w:val="nil"/>
              <w:bottom w:val="nil"/>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nil"/>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r w:rsidR="00A0100C" w:rsidRPr="00CE0A61" w:rsidTr="00A0100C">
        <w:trPr>
          <w:trHeight w:val="285"/>
        </w:trPr>
        <w:tc>
          <w:tcPr>
            <w:tcW w:w="1107" w:type="pct"/>
            <w:vMerge w:val="restart"/>
            <w:tcBorders>
              <w:top w:val="nil"/>
              <w:left w:val="single" w:sz="8" w:space="0" w:color="auto"/>
              <w:bottom w:val="single" w:sz="8" w:space="0" w:color="000000"/>
              <w:right w:val="single" w:sz="8" w:space="0" w:color="auto"/>
            </w:tcBorders>
            <w:shd w:val="clear" w:color="auto" w:fill="auto"/>
            <w:vAlign w:val="center"/>
            <w:hideMark/>
          </w:tcPr>
          <w:p w:rsidR="00A0100C" w:rsidRPr="00CE0A61" w:rsidRDefault="00A0100C" w:rsidP="008F124C">
            <w:pPr>
              <w:spacing w:after="0" w:line="240" w:lineRule="auto"/>
              <w:jc w:val="center"/>
              <w:rPr>
                <w:rFonts w:ascii="Times New Roman" w:eastAsia="Times New Roman" w:hAnsi="Times New Roman" w:cs="Times New Roman"/>
                <w:b/>
                <w:bCs/>
                <w:color w:val="000000"/>
              </w:rPr>
            </w:pPr>
            <w:r w:rsidRPr="00CE0A61">
              <w:rPr>
                <w:rFonts w:ascii="Times New Roman" w:eastAsia="Times New Roman" w:hAnsi="Times New Roman" w:cs="Times New Roman"/>
                <w:b/>
                <w:bCs/>
                <w:color w:val="000000"/>
              </w:rPr>
              <w:t>Stage 4 (Applications)</w:t>
            </w:r>
            <w:r w:rsidRPr="00CE0A61">
              <w:rPr>
                <w:rFonts w:ascii="Times New Roman" w:eastAsia="Times New Roman" w:hAnsi="Times New Roman" w:cs="Times New Roman"/>
                <w:b/>
                <w:bCs/>
                <w:color w:val="000000"/>
              </w:rPr>
              <w:br/>
              <w:t>Recycled Mo</w:t>
            </w:r>
          </w:p>
        </w:tc>
        <w:tc>
          <w:tcPr>
            <w:tcW w:w="1494" w:type="pct"/>
            <w:tcBorders>
              <w:top w:val="single" w:sz="8" w:space="0" w:color="auto"/>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Chemicals*</w:t>
            </w:r>
          </w:p>
        </w:tc>
        <w:tc>
          <w:tcPr>
            <w:tcW w:w="730" w:type="pct"/>
            <w:tcBorders>
              <w:top w:val="single" w:sz="8" w:space="0" w:color="auto"/>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1,945</w:t>
            </w:r>
          </w:p>
        </w:tc>
        <w:tc>
          <w:tcPr>
            <w:tcW w:w="946" w:type="pct"/>
            <w:tcBorders>
              <w:top w:val="single" w:sz="8" w:space="0" w:color="auto"/>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single" w:sz="8" w:space="0" w:color="auto"/>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Cast Iron*</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4,927</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Tool Steel*</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14,522</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Ni Alloy*</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3,825</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Engineering Steel*</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19,514</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r w:rsidR="00A0100C" w:rsidRPr="00CE0A61" w:rsidTr="00A0100C">
        <w:trPr>
          <w:trHeight w:val="285"/>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Stainless Steel*</w:t>
            </w:r>
          </w:p>
        </w:tc>
        <w:tc>
          <w:tcPr>
            <w:tcW w:w="730" w:type="pct"/>
            <w:tcBorders>
              <w:top w:val="nil"/>
              <w:left w:val="nil"/>
              <w:bottom w:val="single" w:sz="4"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27,100</w:t>
            </w:r>
          </w:p>
        </w:tc>
        <w:tc>
          <w:tcPr>
            <w:tcW w:w="946" w:type="pct"/>
            <w:tcBorders>
              <w:top w:val="nil"/>
              <w:left w:val="nil"/>
              <w:bottom w:val="single" w:sz="4"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IMOA</w:t>
            </w:r>
          </w:p>
        </w:tc>
        <w:tc>
          <w:tcPr>
            <w:tcW w:w="723" w:type="pct"/>
            <w:tcBorders>
              <w:top w:val="nil"/>
              <w:left w:val="nil"/>
              <w:bottom w:val="single" w:sz="4"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r w:rsidR="00A0100C" w:rsidRPr="00CE0A61" w:rsidTr="00A0100C">
        <w:trPr>
          <w:trHeight w:val="299"/>
        </w:trPr>
        <w:tc>
          <w:tcPr>
            <w:tcW w:w="1107" w:type="pct"/>
            <w:vMerge/>
            <w:tcBorders>
              <w:top w:val="nil"/>
              <w:left w:val="single" w:sz="8" w:space="0" w:color="auto"/>
              <w:bottom w:val="single" w:sz="8" w:space="0" w:color="000000"/>
              <w:right w:val="single" w:sz="8" w:space="0" w:color="auto"/>
            </w:tcBorders>
            <w:vAlign w:val="center"/>
            <w:hideMark/>
          </w:tcPr>
          <w:p w:rsidR="00A0100C" w:rsidRPr="00CE0A61" w:rsidRDefault="00A0100C" w:rsidP="008F124C">
            <w:pPr>
              <w:spacing w:after="0" w:line="240" w:lineRule="auto"/>
              <w:rPr>
                <w:rFonts w:ascii="Times New Roman" w:eastAsia="Times New Roman" w:hAnsi="Times New Roman" w:cs="Times New Roman"/>
                <w:b/>
                <w:bCs/>
                <w:color w:val="000000"/>
              </w:rPr>
            </w:pPr>
          </w:p>
        </w:tc>
        <w:tc>
          <w:tcPr>
            <w:tcW w:w="1494" w:type="pct"/>
            <w:tcBorders>
              <w:top w:val="nil"/>
              <w:left w:val="nil"/>
              <w:bottom w:val="single" w:sz="8"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Total</w:t>
            </w:r>
          </w:p>
        </w:tc>
        <w:tc>
          <w:tcPr>
            <w:tcW w:w="730" w:type="pct"/>
            <w:tcBorders>
              <w:top w:val="nil"/>
              <w:left w:val="nil"/>
              <w:bottom w:val="single" w:sz="8" w:space="0" w:color="auto"/>
              <w:right w:val="single" w:sz="4" w:space="0" w:color="auto"/>
            </w:tcBorders>
            <w:shd w:val="clear" w:color="000000" w:fill="FFFFFF"/>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71,834</w:t>
            </w:r>
          </w:p>
        </w:tc>
        <w:tc>
          <w:tcPr>
            <w:tcW w:w="946" w:type="pct"/>
            <w:tcBorders>
              <w:top w:val="nil"/>
              <w:left w:val="nil"/>
              <w:bottom w:val="single" w:sz="8" w:space="0" w:color="auto"/>
              <w:right w:val="single" w:sz="4"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Calculation</w:t>
            </w:r>
          </w:p>
        </w:tc>
        <w:tc>
          <w:tcPr>
            <w:tcW w:w="723" w:type="pct"/>
            <w:tcBorders>
              <w:top w:val="nil"/>
              <w:left w:val="nil"/>
              <w:bottom w:val="single" w:sz="8" w:space="0" w:color="auto"/>
              <w:right w:val="single" w:sz="8" w:space="0" w:color="auto"/>
            </w:tcBorders>
            <w:shd w:val="clear" w:color="auto" w:fill="auto"/>
            <w:noWrap/>
            <w:vAlign w:val="bottom"/>
            <w:hideMark/>
          </w:tcPr>
          <w:p w:rsidR="00A0100C" w:rsidRPr="00CE0A61" w:rsidRDefault="00A0100C" w:rsidP="008F124C">
            <w:pPr>
              <w:spacing w:after="0" w:line="240" w:lineRule="auto"/>
              <w:jc w:val="center"/>
              <w:rPr>
                <w:rFonts w:ascii="Times New Roman" w:eastAsia="Times New Roman" w:hAnsi="Times New Roman" w:cs="Times New Roman"/>
                <w:color w:val="000000"/>
              </w:rPr>
            </w:pPr>
            <w:r w:rsidRPr="00CE0A61">
              <w:rPr>
                <w:rFonts w:ascii="Times New Roman" w:eastAsia="Times New Roman" w:hAnsi="Times New Roman" w:cs="Times New Roman"/>
                <w:color w:val="000000"/>
              </w:rPr>
              <w:t>2013</w:t>
            </w:r>
          </w:p>
        </w:tc>
      </w:tr>
    </w:tbl>
    <w:p w:rsidR="00970503" w:rsidRPr="00676BF5" w:rsidRDefault="007E511E" w:rsidP="00676BF5">
      <w:pPr>
        <w:spacing w:line="360" w:lineRule="auto"/>
        <w:jc w:val="both"/>
        <w:rPr>
          <w:rFonts w:ascii="Times New Roman" w:hAnsi="Times New Roman" w:cs="Times New Roman"/>
        </w:rPr>
      </w:pPr>
      <w:r w:rsidRPr="00676BF5">
        <w:rPr>
          <w:rFonts w:ascii="Times New Roman" w:hAnsi="Times New Roman" w:cs="Times New Roman"/>
        </w:rPr>
        <w:t>Notes * Corresponds to data generated from percentage data from non</w:t>
      </w:r>
      <w:r w:rsidR="00107BD6" w:rsidRPr="00676BF5">
        <w:rPr>
          <w:rFonts w:ascii="Times New Roman" w:hAnsi="Times New Roman" w:cs="Times New Roman"/>
        </w:rPr>
        <w:t>-2014 sources applied to 2014 molybdenum</w:t>
      </w:r>
      <w:r w:rsidRPr="00676BF5">
        <w:rPr>
          <w:rFonts w:ascii="Times New Roman" w:hAnsi="Times New Roman" w:cs="Times New Roman"/>
        </w:rPr>
        <w:t xml:space="preserve"> tonnages.  ** Corresponds to data extrapolated to 2014 from non-2014 sources, using </w:t>
      </w:r>
      <w:r w:rsidR="00676BF5" w:rsidRPr="00676BF5">
        <w:rPr>
          <w:rFonts w:ascii="Times New Roman" w:hAnsi="Times New Roman" w:cs="Times New Roman"/>
        </w:rPr>
        <w:t xml:space="preserve">Equation </w:t>
      </w:r>
      <w:r w:rsidR="00676BF5" w:rsidRPr="00676BF5">
        <w:rPr>
          <w:rFonts w:ascii="Times New Roman" w:hAnsi="Times New Roman" w:cs="Times New Roman"/>
        </w:rPr>
        <w:fldChar w:fldCharType="begin"/>
      </w:r>
      <w:r w:rsidR="00676BF5" w:rsidRPr="00676BF5">
        <w:rPr>
          <w:rFonts w:ascii="Times New Roman" w:hAnsi="Times New Roman" w:cs="Times New Roman"/>
        </w:rPr>
        <w:instrText xml:space="preserve"> SEQ Equation \* ARABIC </w:instrText>
      </w:r>
      <w:r w:rsidR="00676BF5" w:rsidRPr="00676BF5">
        <w:rPr>
          <w:rFonts w:ascii="Times New Roman" w:hAnsi="Times New Roman" w:cs="Times New Roman"/>
        </w:rPr>
        <w:fldChar w:fldCharType="separate"/>
      </w:r>
      <w:r w:rsidR="009F5483">
        <w:rPr>
          <w:rFonts w:ascii="Times New Roman" w:hAnsi="Times New Roman" w:cs="Times New Roman"/>
          <w:noProof/>
        </w:rPr>
        <w:t>3</w:t>
      </w:r>
      <w:bookmarkEnd w:id="56"/>
      <w:r w:rsidR="00676BF5" w:rsidRPr="00676BF5">
        <w:rPr>
          <w:rFonts w:ascii="Times New Roman" w:hAnsi="Times New Roman" w:cs="Times New Roman"/>
        </w:rPr>
        <w:fldChar w:fldCharType="end"/>
      </w:r>
      <w:r w:rsidR="00A0100C">
        <w:rPr>
          <w:rFonts w:ascii="Times New Roman" w:hAnsi="Times New Roman" w:cs="Times New Roman"/>
        </w:rPr>
        <w:t>.</w:t>
      </w:r>
    </w:p>
    <w:p w:rsidR="00555FC3" w:rsidRPr="00CE0A61" w:rsidRDefault="00267D0A" w:rsidP="00555FC3">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lastRenderedPageBreak/>
        <w:t>Similarly to the chromium</w:t>
      </w:r>
      <w:r w:rsidR="00460AB1" w:rsidRPr="00CE0A61">
        <w:rPr>
          <w:rFonts w:ascii="Times New Roman" w:eastAsia="Calibri" w:hAnsi="Times New Roman" w:cs="Times New Roman"/>
        </w:rPr>
        <w:t xml:space="preserve"> MFA model, initial molybdenum</w:t>
      </w:r>
      <w:r w:rsidR="007E511E" w:rsidRPr="00CE0A61">
        <w:rPr>
          <w:rFonts w:ascii="Times New Roman" w:eastAsia="Calibri" w:hAnsi="Times New Roman" w:cs="Times New Roman"/>
        </w:rPr>
        <w:t xml:space="preserve"> extraction data</w:t>
      </w:r>
      <w:r w:rsidR="00555FC3" w:rsidRPr="00CE0A61">
        <w:rPr>
          <w:rFonts w:ascii="Times New Roman" w:eastAsia="Calibri" w:hAnsi="Times New Roman" w:cs="Times New Roman"/>
        </w:rPr>
        <w:t>, given in metric tons of molybdenum,</w:t>
      </w:r>
      <w:r w:rsidR="007E511E" w:rsidRPr="00CE0A61">
        <w:rPr>
          <w:rFonts w:ascii="Times New Roman" w:eastAsia="Calibri" w:hAnsi="Times New Roman" w:cs="Times New Roman"/>
        </w:rPr>
        <w:t xml:space="preserve"> was obtained from the</w:t>
      </w:r>
      <w:r w:rsidRPr="00CE0A61">
        <w:rPr>
          <w:rFonts w:ascii="Times New Roman" w:eastAsia="Calibri" w:hAnsi="Times New Roman" w:cs="Times New Roman"/>
        </w:rPr>
        <w:t xml:space="preserve"> </w:t>
      </w:r>
      <w:r w:rsidR="008C01B1" w:rsidRPr="00CE0A61">
        <w:rPr>
          <w:rFonts w:ascii="Times New Roman" w:eastAsia="Calibri" w:hAnsi="Times New Roman" w:cs="Times New Roman"/>
          <w:noProof/>
        </w:rPr>
        <w:t>(USGS 2015</w:t>
      </w:r>
      <w:r w:rsidR="006F4F7E" w:rsidRPr="00CE0A61">
        <w:rPr>
          <w:rFonts w:ascii="Times New Roman" w:eastAsia="Calibri" w:hAnsi="Times New Roman" w:cs="Times New Roman"/>
          <w:noProof/>
        </w:rPr>
        <w:t>b</w:t>
      </w:r>
      <w:r w:rsidR="008C01B1" w:rsidRPr="00CE0A61">
        <w:rPr>
          <w:rFonts w:ascii="Times New Roman" w:eastAsia="Calibri" w:hAnsi="Times New Roman" w:cs="Times New Roman"/>
          <w:noProof/>
        </w:rPr>
        <w:t>)</w:t>
      </w:r>
      <w:r w:rsidR="00497CC0" w:rsidRPr="00CE0A61">
        <w:rPr>
          <w:rFonts w:ascii="Times New Roman" w:eastAsia="Calibri" w:hAnsi="Times New Roman" w:cs="Times New Roman"/>
        </w:rPr>
        <w:t xml:space="preserve"> for the year 2014,</w:t>
      </w:r>
      <w:r w:rsidRPr="00CE0A61">
        <w:rPr>
          <w:rFonts w:ascii="Times New Roman" w:eastAsia="Calibri" w:hAnsi="Times New Roman" w:cs="Times New Roman"/>
        </w:rPr>
        <w:t xml:space="preserve"> </w:t>
      </w:r>
      <w:r w:rsidR="007E511E" w:rsidRPr="00CE0A61">
        <w:rPr>
          <w:rFonts w:ascii="Times New Roman" w:eastAsia="Calibri" w:hAnsi="Times New Roman" w:cs="Times New Roman"/>
        </w:rPr>
        <w:t>as illustrated by</w:t>
      </w:r>
      <w:r w:rsidRPr="00CE0A61">
        <w:rPr>
          <w:rFonts w:ascii="Times New Roman" w:eastAsia="Calibri" w:hAnsi="Times New Roman" w:cs="Times New Roman"/>
        </w:rPr>
        <w:t xml:space="preserve"> </w:t>
      </w:r>
      <w:r w:rsidR="00A6415F" w:rsidRPr="00CE0A61">
        <w:fldChar w:fldCharType="begin"/>
      </w:r>
      <w:r w:rsidR="00A6415F" w:rsidRPr="00CE0A61">
        <w:instrText xml:space="preserve"> REF _Ref473217020 \h  \* MERGEFORMAT </w:instrText>
      </w:r>
      <w:r w:rsidR="00A6415F" w:rsidRPr="00CE0A61">
        <w:fldChar w:fldCharType="separate"/>
      </w:r>
      <w:r w:rsidR="009F5483" w:rsidRPr="00CE0A61">
        <w:rPr>
          <w:rFonts w:ascii="Times New Roman" w:hAnsi="Times New Roman" w:cs="Times New Roman"/>
        </w:rPr>
        <w:t xml:space="preserve">Table </w:t>
      </w:r>
      <w:r w:rsidR="009F5483">
        <w:rPr>
          <w:rFonts w:ascii="Times New Roman" w:hAnsi="Times New Roman" w:cs="Times New Roman"/>
        </w:rPr>
        <w:t>9</w:t>
      </w:r>
      <w:r w:rsidR="00A6415F" w:rsidRPr="00CE0A61">
        <w:fldChar w:fldCharType="end"/>
      </w:r>
      <w:r w:rsidR="007E511E" w:rsidRPr="00CE0A61">
        <w:rPr>
          <w:rFonts w:ascii="Times New Roman" w:eastAsia="Calibri" w:hAnsi="Times New Roman" w:cs="Times New Roman"/>
        </w:rPr>
        <w:t>. However</w:t>
      </w:r>
      <w:r w:rsidR="00497CC0" w:rsidRPr="00CE0A61">
        <w:rPr>
          <w:rFonts w:ascii="Times New Roman" w:eastAsia="Calibri" w:hAnsi="Times New Roman" w:cs="Times New Roman"/>
        </w:rPr>
        <w:t>,</w:t>
      </w:r>
      <w:r w:rsidR="007E511E" w:rsidRPr="00CE0A61">
        <w:rPr>
          <w:rFonts w:ascii="Times New Roman" w:eastAsia="Calibri" w:hAnsi="Times New Roman" w:cs="Times New Roman"/>
        </w:rPr>
        <w:t xml:space="preserve"> utilising thi</w:t>
      </w:r>
      <w:r w:rsidR="00460AB1" w:rsidRPr="00CE0A61">
        <w:rPr>
          <w:rFonts w:ascii="Times New Roman" w:eastAsia="Calibri" w:hAnsi="Times New Roman" w:cs="Times New Roman"/>
        </w:rPr>
        <w:t>s data for the calculation of molybdenum</w:t>
      </w:r>
      <w:r w:rsidR="007E511E" w:rsidRPr="00CE0A61">
        <w:rPr>
          <w:rFonts w:ascii="Times New Roman" w:eastAsia="Calibri" w:hAnsi="Times New Roman" w:cs="Times New Roman"/>
        </w:rPr>
        <w:t xml:space="preserve"> production (both primary and recycled), involved a number of assumpt</w:t>
      </w:r>
      <w:r w:rsidR="00497CC0" w:rsidRPr="00CE0A61">
        <w:rPr>
          <w:rFonts w:ascii="Times New Roman" w:eastAsia="Calibri" w:hAnsi="Times New Roman" w:cs="Times New Roman"/>
        </w:rPr>
        <w:t xml:space="preserve">ions and extrapolation of </w:t>
      </w:r>
      <w:r w:rsidR="007E511E" w:rsidRPr="00CE0A61">
        <w:rPr>
          <w:rFonts w:ascii="Times New Roman" w:eastAsia="Calibri" w:hAnsi="Times New Roman" w:cs="Times New Roman"/>
        </w:rPr>
        <w:t>data</w:t>
      </w:r>
      <w:r w:rsidR="00497CC0" w:rsidRPr="00CE0A61">
        <w:rPr>
          <w:rFonts w:ascii="Times New Roman" w:eastAsia="Calibri" w:hAnsi="Times New Roman" w:cs="Times New Roman"/>
        </w:rPr>
        <w:t xml:space="preserve"> as explained below</w:t>
      </w:r>
      <w:r w:rsidR="007E511E" w:rsidRPr="00CE0A61">
        <w:rPr>
          <w:rFonts w:ascii="Times New Roman" w:eastAsia="Calibri" w:hAnsi="Times New Roman" w:cs="Times New Roman"/>
        </w:rPr>
        <w:t>.</w:t>
      </w:r>
    </w:p>
    <w:p w:rsidR="00FF6A52" w:rsidRPr="00CE0A61" w:rsidRDefault="007E511E" w:rsidP="00FF6A52">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t>From literature</w:t>
      </w:r>
      <w:r w:rsidR="00497CC0" w:rsidRPr="00CE0A61">
        <w:rPr>
          <w:rFonts w:ascii="Times New Roman" w:eastAsia="Calibri" w:hAnsi="Times New Roman" w:cs="Times New Roman"/>
        </w:rPr>
        <w:t xml:space="preserve"> source</w:t>
      </w:r>
      <w:r w:rsidRPr="00CE0A61">
        <w:rPr>
          <w:rFonts w:ascii="Times New Roman" w:eastAsia="Calibri" w:hAnsi="Times New Roman" w:cs="Times New Roman"/>
        </w:rPr>
        <w:t xml:space="preserve"> </w:t>
      </w:r>
      <w:r w:rsidR="00555FC3" w:rsidRPr="00CE0A61">
        <w:rPr>
          <w:rFonts w:ascii="Times New Roman" w:eastAsia="Calibri" w:hAnsi="Times New Roman" w:cs="Times New Roman"/>
          <w:noProof/>
        </w:rPr>
        <w:t>(IMOA 2013)</w:t>
      </w:r>
      <w:r w:rsidRPr="00CE0A61">
        <w:rPr>
          <w:rFonts w:ascii="Times New Roman" w:eastAsia="Calibri" w:hAnsi="Times New Roman" w:cs="Times New Roman"/>
        </w:rPr>
        <w:t>, it was determined that rec</w:t>
      </w:r>
      <w:r w:rsidR="00497CC0" w:rsidRPr="00CE0A61">
        <w:rPr>
          <w:rFonts w:ascii="Times New Roman" w:eastAsia="Calibri" w:hAnsi="Times New Roman" w:cs="Times New Roman"/>
        </w:rPr>
        <w:t xml:space="preserve">ycling contributed 25% of all molybdenum </w:t>
      </w:r>
      <w:r w:rsidRPr="00CE0A61">
        <w:rPr>
          <w:rFonts w:ascii="Times New Roman" w:eastAsia="Calibri" w:hAnsi="Times New Roman" w:cs="Times New Roman"/>
        </w:rPr>
        <w:t>production in 2011 providing an empirical value of 80,000t. This was made u</w:t>
      </w:r>
      <w:r w:rsidR="00497CC0" w:rsidRPr="00CE0A61">
        <w:rPr>
          <w:rFonts w:ascii="Times New Roman" w:eastAsia="Calibri" w:hAnsi="Times New Roman" w:cs="Times New Roman"/>
        </w:rPr>
        <w:t>p of individual contributions including</w:t>
      </w:r>
      <w:r w:rsidRPr="00CE0A61">
        <w:rPr>
          <w:rFonts w:ascii="Times New Roman" w:eastAsia="Calibri" w:hAnsi="Times New Roman" w:cs="Times New Roman"/>
        </w:rPr>
        <w:t xml:space="preserve"> 13% f</w:t>
      </w:r>
      <w:r w:rsidR="00555FC3" w:rsidRPr="00CE0A61">
        <w:rPr>
          <w:rFonts w:ascii="Times New Roman" w:eastAsia="Calibri" w:hAnsi="Times New Roman" w:cs="Times New Roman"/>
        </w:rPr>
        <w:t xml:space="preserve">or revert scrap, 4% for old scrap and </w:t>
      </w:r>
      <w:r w:rsidR="00497CC0" w:rsidRPr="00CE0A61">
        <w:rPr>
          <w:rFonts w:ascii="Times New Roman" w:eastAsia="Calibri" w:hAnsi="Times New Roman" w:cs="Times New Roman"/>
        </w:rPr>
        <w:t xml:space="preserve">4% for </w:t>
      </w:r>
      <w:r w:rsidRPr="00CE0A61">
        <w:rPr>
          <w:rFonts w:ascii="Times New Roman" w:eastAsia="Calibri" w:hAnsi="Times New Roman" w:cs="Times New Roman"/>
        </w:rPr>
        <w:t>new scrap and blends. T</w:t>
      </w:r>
      <w:r w:rsidR="00497CC0" w:rsidRPr="00CE0A61">
        <w:rPr>
          <w:rFonts w:ascii="Times New Roman" w:eastAsia="Calibri" w:hAnsi="Times New Roman" w:cs="Times New Roman"/>
        </w:rPr>
        <w:t>he remainder of molybdenum</w:t>
      </w:r>
      <w:r w:rsidRPr="00CE0A61">
        <w:rPr>
          <w:rFonts w:ascii="Times New Roman" w:eastAsia="Calibri" w:hAnsi="Times New Roman" w:cs="Times New Roman"/>
        </w:rPr>
        <w:t xml:space="preserve"> production was</w:t>
      </w:r>
      <w:r w:rsidR="00497CC0" w:rsidRPr="00CE0A61">
        <w:rPr>
          <w:rFonts w:ascii="Times New Roman" w:eastAsia="Calibri" w:hAnsi="Times New Roman" w:cs="Times New Roman"/>
        </w:rPr>
        <w:t xml:space="preserve"> assumed to come from primary molybdenum</w:t>
      </w:r>
      <w:r w:rsidRPr="00CE0A61">
        <w:rPr>
          <w:rFonts w:ascii="Times New Roman" w:eastAsia="Calibri" w:hAnsi="Times New Roman" w:cs="Times New Roman"/>
        </w:rPr>
        <w:t xml:space="preserve"> to give an empirical value of 240,000</w:t>
      </w:r>
      <w:r w:rsidR="00497CC0" w:rsidRPr="00CE0A61">
        <w:rPr>
          <w:rFonts w:ascii="Times New Roman" w:eastAsia="Calibri" w:hAnsi="Times New Roman" w:cs="Times New Roman"/>
        </w:rPr>
        <w:t xml:space="preserve">t for 2011. </w:t>
      </w:r>
    </w:p>
    <w:p w:rsidR="00970503" w:rsidRPr="00CE0A61" w:rsidRDefault="00FF6A52" w:rsidP="00970503">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t>Taking</w:t>
      </w:r>
      <w:r w:rsidR="00497CC0" w:rsidRPr="00CE0A61">
        <w:rPr>
          <w:rFonts w:ascii="Times New Roman" w:eastAsia="Calibri" w:hAnsi="Times New Roman" w:cs="Times New Roman"/>
        </w:rPr>
        <w:t xml:space="preserve"> global molybdenum</w:t>
      </w:r>
      <w:r w:rsidR="007E511E" w:rsidRPr="00CE0A61">
        <w:rPr>
          <w:rFonts w:ascii="Times New Roman" w:eastAsia="Calibri" w:hAnsi="Times New Roman" w:cs="Times New Roman"/>
        </w:rPr>
        <w:t xml:space="preserve"> mining values in 2014 </w:t>
      </w:r>
      <w:r w:rsidR="00497CC0" w:rsidRPr="00CE0A61">
        <w:rPr>
          <w:rFonts w:ascii="Times New Roman" w:eastAsia="Calibri" w:hAnsi="Times New Roman" w:cs="Times New Roman"/>
        </w:rPr>
        <w:t>as equal to primary molybdenum</w:t>
      </w:r>
      <w:r w:rsidRPr="00CE0A61">
        <w:rPr>
          <w:rFonts w:ascii="Times New Roman" w:eastAsia="Calibri" w:hAnsi="Times New Roman" w:cs="Times New Roman"/>
        </w:rPr>
        <w:t xml:space="preserve"> production, </w:t>
      </w:r>
      <w:r w:rsidR="007E511E" w:rsidRPr="00CE0A61">
        <w:rPr>
          <w:rFonts w:ascii="Times New Roman" w:eastAsia="Calibri" w:hAnsi="Times New Roman" w:cs="Times New Roman"/>
        </w:rPr>
        <w:t>estimated recycled values for 2014 were calculated using</w:t>
      </w:r>
      <w:r w:rsidR="00A622B1" w:rsidRPr="00CE0A61">
        <w:rPr>
          <w:rFonts w:ascii="Times New Roman" w:eastAsia="Calibri" w:hAnsi="Times New Roman" w:cs="Times New Roman"/>
        </w:rPr>
        <w:t xml:space="preserve"> a</w:t>
      </w:r>
      <w:r w:rsidR="00970503" w:rsidRPr="00CE0A61">
        <w:rPr>
          <w:rFonts w:ascii="Times New Roman" w:eastAsia="Calibri" w:hAnsi="Times New Roman" w:cs="Times New Roman"/>
        </w:rPr>
        <w:t xml:space="preserve"> Compound Annual Growth Rate (CAGR)</w:t>
      </w:r>
      <w:r w:rsidR="007E511E" w:rsidRPr="00CE0A61">
        <w:rPr>
          <w:rFonts w:ascii="Times New Roman" w:eastAsia="Calibri" w:hAnsi="Times New Roman" w:cs="Times New Roman"/>
        </w:rPr>
        <w:t xml:space="preserve"> </w:t>
      </w:r>
      <w:r w:rsidR="00970503" w:rsidRPr="00CE0A61">
        <w:rPr>
          <w:rFonts w:ascii="Times New Roman" w:eastAsia="Calibri" w:hAnsi="Times New Roman" w:cs="Times New Roman"/>
        </w:rPr>
        <w:t>equation</w:t>
      </w:r>
      <w:r w:rsidR="00A622B1" w:rsidRPr="00CE0A61">
        <w:rPr>
          <w:rFonts w:ascii="Times New Roman" w:eastAsia="Calibri" w:hAnsi="Times New Roman" w:cs="Times New Roman"/>
        </w:rPr>
        <w:t xml:space="preserve"> as displayed</w:t>
      </w:r>
      <w:r w:rsidR="007E511E" w:rsidRPr="00CE0A61">
        <w:rPr>
          <w:rFonts w:ascii="Times New Roman" w:eastAsia="Calibri" w:hAnsi="Times New Roman" w:cs="Times New Roman"/>
        </w:rPr>
        <w:t xml:space="preserve"> </w:t>
      </w:r>
      <w:r w:rsidR="00970503" w:rsidRPr="00CE0A61">
        <w:rPr>
          <w:rFonts w:ascii="Times New Roman" w:eastAsia="Calibri" w:hAnsi="Times New Roman" w:cs="Times New Roman"/>
        </w:rPr>
        <w:t>below:</w:t>
      </w:r>
    </w:p>
    <w:tbl>
      <w:tblPr>
        <w:tblW w:w="0" w:type="auto"/>
        <w:tblInd w:w="108" w:type="dxa"/>
        <w:tblCellMar>
          <w:left w:w="10" w:type="dxa"/>
          <w:right w:w="10" w:type="dxa"/>
        </w:tblCellMar>
        <w:tblLook w:val="04A0" w:firstRow="1" w:lastRow="0" w:firstColumn="1" w:lastColumn="0" w:noHBand="0" w:noVBand="1"/>
      </w:tblPr>
      <w:tblGrid>
        <w:gridCol w:w="305"/>
        <w:gridCol w:w="8213"/>
        <w:gridCol w:w="400"/>
      </w:tblGrid>
      <w:tr w:rsidR="007E511E" w:rsidRPr="00CE0A61" w:rsidTr="00705140">
        <w:tc>
          <w:tcPr>
            <w:tcW w:w="307" w:type="dxa"/>
            <w:shd w:val="clear" w:color="000000" w:fill="FFFFFF"/>
            <w:tcMar>
              <w:left w:w="108" w:type="dxa"/>
              <w:right w:w="108" w:type="dxa"/>
            </w:tcMar>
          </w:tcPr>
          <w:p w:rsidR="007E511E" w:rsidRPr="00CE0A61" w:rsidRDefault="007E511E" w:rsidP="00705140">
            <w:pPr>
              <w:spacing w:after="0" w:line="360" w:lineRule="auto"/>
              <w:jc w:val="both"/>
              <w:rPr>
                <w:rFonts w:ascii="Times New Roman" w:eastAsia="Calibri" w:hAnsi="Times New Roman" w:cs="Times New Roman"/>
              </w:rPr>
            </w:pPr>
          </w:p>
        </w:tc>
        <w:tc>
          <w:tcPr>
            <w:tcW w:w="8315" w:type="dxa"/>
            <w:shd w:val="clear" w:color="000000" w:fill="FFFFFF"/>
            <w:tcMar>
              <w:left w:w="108" w:type="dxa"/>
              <w:right w:w="108" w:type="dxa"/>
            </w:tcMar>
          </w:tcPr>
          <w:tbl>
            <w:tblPr>
              <w:tblW w:w="0" w:type="auto"/>
              <w:tblCellMar>
                <w:left w:w="10" w:type="dxa"/>
                <w:right w:w="10" w:type="dxa"/>
              </w:tblCellMar>
              <w:tblLook w:val="04A0" w:firstRow="1" w:lastRow="0" w:firstColumn="1" w:lastColumn="0" w:noHBand="0" w:noVBand="1"/>
            </w:tblPr>
            <w:tblGrid>
              <w:gridCol w:w="7290"/>
              <w:gridCol w:w="222"/>
              <w:gridCol w:w="485"/>
            </w:tblGrid>
            <w:tr w:rsidR="007E511E" w:rsidRPr="00CE0A61" w:rsidTr="00686FA3">
              <w:tc>
                <w:tcPr>
                  <w:tcW w:w="7392" w:type="dxa"/>
                  <w:shd w:val="clear" w:color="000000" w:fill="FFFFFF"/>
                  <w:tcMar>
                    <w:left w:w="108" w:type="dxa"/>
                    <w:right w:w="108" w:type="dxa"/>
                  </w:tcMar>
                </w:tcPr>
                <w:p w:rsidR="007E511E" w:rsidRPr="00CE0A61" w:rsidRDefault="00A622B1" w:rsidP="00A622B1">
                  <w:pPr>
                    <w:spacing w:after="0" w:line="360" w:lineRule="auto"/>
                    <w:jc w:val="both"/>
                    <w:rPr>
                      <w:rFonts w:ascii="Times New Roman" w:eastAsia="Calibri" w:hAnsi="Times New Roman" w:cs="Times New Roman"/>
                    </w:rPr>
                  </w:pPr>
                  <m:oMathPara>
                    <m:oMath>
                      <m:r>
                        <w:rPr>
                          <w:rFonts w:ascii="Cambria Math" w:eastAsia="Calibri" w:hAnsi="Cambria Math" w:cs="Times New Roman"/>
                        </w:rPr>
                        <m:t>CAGR=</m:t>
                      </m:r>
                      <m:sSup>
                        <m:sSupPr>
                          <m:ctrlPr>
                            <w:rPr>
                              <w:rFonts w:ascii="Cambria Math" w:eastAsia="Calibri" w:hAnsi="Cambria Math" w:cs="Times New Roman"/>
                              <w:i/>
                            </w:rPr>
                          </m:ctrlPr>
                        </m:sSupPr>
                        <m:e>
                          <m:d>
                            <m:dPr>
                              <m:ctrlPr>
                                <w:rPr>
                                  <w:rFonts w:ascii="Cambria Math" w:eastAsia="Calibri" w:hAnsi="Cambria Math" w:cs="Times New Roman"/>
                                  <w:i/>
                                </w:rPr>
                              </m:ctrlPr>
                            </m:dPr>
                            <m:e>
                              <m:f>
                                <m:fPr>
                                  <m:ctrlPr>
                                    <w:rPr>
                                      <w:rFonts w:ascii="Cambria Math" w:eastAsia="Calibri" w:hAnsi="Cambria Math" w:cs="Times New Roman"/>
                                      <w:i/>
                                    </w:rPr>
                                  </m:ctrlPr>
                                </m:fPr>
                                <m:num>
                                  <m:r>
                                    <w:rPr>
                                      <w:rFonts w:ascii="Cambria Math" w:eastAsia="Calibri" w:hAnsi="Cambria Math" w:cs="Times New Roman"/>
                                    </w:rPr>
                                    <m:t>Ending Value</m:t>
                                  </m:r>
                                </m:num>
                                <m:den>
                                  <m:r>
                                    <w:rPr>
                                      <w:rFonts w:ascii="Cambria Math" w:eastAsia="Calibri" w:hAnsi="Cambria Math" w:cs="Times New Roman"/>
                                    </w:rPr>
                                    <m:t>Beginning Value</m:t>
                                  </m:r>
                                </m:den>
                              </m:f>
                            </m:e>
                          </m:d>
                        </m:e>
                        <m:sup>
                          <m:d>
                            <m:dPr>
                              <m:ctrlPr>
                                <w:rPr>
                                  <w:rFonts w:ascii="Cambria Math" w:eastAsia="Calibri" w:hAnsi="Cambria Math" w:cs="Times New Roman"/>
                                  <w:i/>
                                </w:rPr>
                              </m:ctrlPr>
                            </m:dPr>
                            <m:e>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n</m:t>
                                  </m:r>
                                </m:den>
                              </m:f>
                            </m:e>
                          </m:d>
                          <m:r>
                            <w:rPr>
                              <w:rFonts w:ascii="Cambria Math" w:eastAsia="Calibri" w:hAnsi="Cambria Math" w:cs="Times New Roman"/>
                            </w:rPr>
                            <m:t xml:space="preserve"> </m:t>
                          </m:r>
                        </m:sup>
                      </m:sSup>
                      <m:r>
                        <w:rPr>
                          <w:rFonts w:ascii="Cambria Math" w:eastAsia="Calibri" w:hAnsi="Cambria Math" w:cs="Times New Roman"/>
                        </w:rPr>
                        <m:t>-1</m:t>
                      </m:r>
                    </m:oMath>
                  </m:oMathPara>
                </w:p>
              </w:tc>
              <w:tc>
                <w:tcPr>
                  <w:tcW w:w="222" w:type="dxa"/>
                  <w:shd w:val="clear" w:color="000000" w:fill="FFFFFF"/>
                  <w:tcMar>
                    <w:left w:w="108" w:type="dxa"/>
                    <w:right w:w="108" w:type="dxa"/>
                  </w:tcMar>
                </w:tcPr>
                <w:p w:rsidR="007E511E" w:rsidRPr="00CE0A61" w:rsidRDefault="007E511E" w:rsidP="00705140">
                  <w:pPr>
                    <w:spacing w:after="0" w:line="360" w:lineRule="auto"/>
                    <w:jc w:val="both"/>
                    <w:rPr>
                      <w:rFonts w:ascii="Times New Roman" w:eastAsia="Calibri" w:hAnsi="Times New Roman" w:cs="Times New Roman"/>
                    </w:rPr>
                  </w:pPr>
                </w:p>
              </w:tc>
              <w:tc>
                <w:tcPr>
                  <w:tcW w:w="485" w:type="dxa"/>
                  <w:shd w:val="clear" w:color="000000" w:fill="FFFFFF"/>
                  <w:tcMar>
                    <w:left w:w="108" w:type="dxa"/>
                    <w:right w:w="108" w:type="dxa"/>
                  </w:tcMar>
                  <w:vAlign w:val="center"/>
                </w:tcPr>
                <w:p w:rsidR="007E511E" w:rsidRPr="00CE0A61" w:rsidRDefault="00CC013C" w:rsidP="00686FA3">
                  <w:pPr>
                    <w:spacing w:after="0" w:line="360" w:lineRule="auto"/>
                    <w:jc w:val="center"/>
                    <w:rPr>
                      <w:rFonts w:ascii="Times New Roman" w:hAnsi="Times New Roman" w:cs="Times New Roman"/>
                    </w:rPr>
                  </w:pPr>
                  <w:r w:rsidRPr="006440B9">
                    <w:rPr>
                      <w:rFonts w:ascii="Times New Roman" w:eastAsia="Times New Roman" w:hAnsi="Times New Roman" w:cs="Times New Roman"/>
                      <w:color w:val="FF0000"/>
                    </w:rPr>
                    <w:t>(3</w:t>
                  </w:r>
                  <w:r w:rsidR="007E511E" w:rsidRPr="006440B9">
                    <w:rPr>
                      <w:rFonts w:ascii="Times New Roman" w:eastAsia="Times New Roman" w:hAnsi="Times New Roman" w:cs="Times New Roman"/>
                      <w:color w:val="FF0000"/>
                    </w:rPr>
                    <w:t>)</w:t>
                  </w:r>
                </w:p>
              </w:tc>
            </w:tr>
          </w:tbl>
          <w:p w:rsidR="007E511E" w:rsidRPr="00CE0A61" w:rsidRDefault="007E511E" w:rsidP="00705140">
            <w:pPr>
              <w:spacing w:after="0" w:line="360" w:lineRule="auto"/>
              <w:rPr>
                <w:rFonts w:ascii="Times New Roman" w:hAnsi="Times New Roman" w:cs="Times New Roman"/>
              </w:rPr>
            </w:pPr>
          </w:p>
        </w:tc>
        <w:tc>
          <w:tcPr>
            <w:tcW w:w="404" w:type="dxa"/>
            <w:shd w:val="clear" w:color="000000" w:fill="FFFFFF"/>
            <w:tcMar>
              <w:left w:w="108" w:type="dxa"/>
              <w:right w:w="108" w:type="dxa"/>
            </w:tcMar>
          </w:tcPr>
          <w:p w:rsidR="007E511E" w:rsidRPr="00CE0A61" w:rsidRDefault="007E511E" w:rsidP="00705140">
            <w:pPr>
              <w:spacing w:after="0" w:line="360" w:lineRule="auto"/>
              <w:jc w:val="center"/>
              <w:rPr>
                <w:rFonts w:ascii="Times New Roman" w:eastAsia="Calibri" w:hAnsi="Times New Roman" w:cs="Times New Roman"/>
              </w:rPr>
            </w:pPr>
          </w:p>
        </w:tc>
      </w:tr>
    </w:tbl>
    <w:p w:rsidR="007E511E" w:rsidRPr="00CE0A61" w:rsidRDefault="00E1615B" w:rsidP="007E511E">
      <w:pPr>
        <w:spacing w:line="360" w:lineRule="auto"/>
        <w:rPr>
          <w:rFonts w:ascii="Times New Roman" w:eastAsia="Calibri" w:hAnsi="Times New Roman" w:cs="Times New Roman"/>
        </w:rPr>
      </w:pPr>
      <w:proofErr w:type="gramStart"/>
      <w:r>
        <w:rPr>
          <w:rFonts w:ascii="Times New Roman" w:eastAsia="Calibri" w:hAnsi="Times New Roman" w:cs="Times New Roman"/>
        </w:rPr>
        <w:t>w</w:t>
      </w:r>
      <w:r w:rsidR="00A622B1" w:rsidRPr="00CE0A61">
        <w:rPr>
          <w:rFonts w:ascii="Times New Roman" w:eastAsia="Calibri" w:hAnsi="Times New Roman" w:cs="Times New Roman"/>
        </w:rPr>
        <w:t>here</w:t>
      </w:r>
      <w:proofErr w:type="gramEnd"/>
      <w:r w:rsidR="00A622B1" w:rsidRPr="00CE0A61">
        <w:rPr>
          <w:rFonts w:ascii="Times New Roman" w:eastAsia="Calibri" w:hAnsi="Times New Roman" w:cs="Times New Roman"/>
        </w:rPr>
        <w:t xml:space="preserve"> n equals</w:t>
      </w:r>
      <w:r w:rsidR="007E511E" w:rsidRPr="00CE0A61">
        <w:rPr>
          <w:rFonts w:ascii="Times New Roman" w:eastAsia="Calibri" w:hAnsi="Times New Roman" w:cs="Times New Roman"/>
        </w:rPr>
        <w:t xml:space="preserve"> the number of years </w:t>
      </w:r>
    </w:p>
    <w:p w:rsidR="007E511E" w:rsidRPr="00CE0A61" w:rsidRDefault="007E511E" w:rsidP="007E511E">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t>Assuming a linear extr</w:t>
      </w:r>
      <w:r w:rsidR="00FF6A52" w:rsidRPr="00CE0A61">
        <w:rPr>
          <w:rFonts w:ascii="Times New Roman" w:eastAsia="Calibri" w:hAnsi="Times New Roman" w:cs="Times New Roman"/>
        </w:rPr>
        <w:t>apolation and no losses, the Year on Year (YoY)</w:t>
      </w:r>
      <w:r w:rsidR="00A622B1" w:rsidRPr="00CE0A61">
        <w:rPr>
          <w:rFonts w:ascii="Times New Roman" w:eastAsia="Calibri" w:hAnsi="Times New Roman" w:cs="Times New Roman"/>
        </w:rPr>
        <w:t xml:space="preserve"> percentage</w:t>
      </w:r>
      <w:r w:rsidRPr="00CE0A61">
        <w:rPr>
          <w:rFonts w:ascii="Times New Roman" w:eastAsia="Calibri" w:hAnsi="Times New Roman" w:cs="Times New Roman"/>
        </w:rPr>
        <w:t xml:space="preserve"> from primary production was applied to 2011 values of revert scrap, old scrap, new scrap and blends to determine estimated values for 2014</w:t>
      </w:r>
      <w:r w:rsidR="00FF6A52" w:rsidRPr="00CE0A61">
        <w:rPr>
          <w:rFonts w:ascii="Times New Roman" w:eastAsia="Calibri" w:hAnsi="Times New Roman" w:cs="Times New Roman"/>
        </w:rPr>
        <w:t>. The final value for primary molybdenum 2014 was calculated as</w:t>
      </w:r>
      <w:r w:rsidR="00970503" w:rsidRPr="00CE0A61">
        <w:rPr>
          <w:rFonts w:ascii="Times New Roman" w:eastAsia="Calibri" w:hAnsi="Times New Roman" w:cs="Times New Roman"/>
        </w:rPr>
        <w:t xml:space="preserve"> 235,631t after</w:t>
      </w:r>
      <w:r w:rsidRPr="00CE0A61">
        <w:rPr>
          <w:rFonts w:ascii="Times New Roman" w:eastAsia="Calibri" w:hAnsi="Times New Roman" w:cs="Times New Roman"/>
        </w:rPr>
        <w:t xml:space="preserve"> assuming 11.5% losses as industrially un-usable ore concentrate</w:t>
      </w:r>
      <w:r w:rsidR="00970503" w:rsidRPr="00CE0A61">
        <w:rPr>
          <w:rFonts w:ascii="Times New Roman" w:eastAsia="Calibri" w:hAnsi="Times New Roman" w:cs="Times New Roman"/>
        </w:rPr>
        <w:t xml:space="preserve"> </w:t>
      </w:r>
      <w:r w:rsidR="00625D7E" w:rsidRPr="00CE0A61">
        <w:rPr>
          <w:rFonts w:ascii="Times New Roman" w:eastAsia="Calibri" w:hAnsi="Times New Roman" w:cs="Times New Roman"/>
          <w:noProof/>
        </w:rPr>
        <w:t>(IMOA 2015b)</w:t>
      </w:r>
      <w:r w:rsidRPr="00CE0A61">
        <w:rPr>
          <w:rFonts w:ascii="Times New Roman" w:eastAsia="Calibri" w:hAnsi="Times New Roman" w:cs="Times New Roman"/>
        </w:rPr>
        <w:t>.</w:t>
      </w:r>
      <w:r w:rsidR="00970503" w:rsidRPr="00CE0A61">
        <w:rPr>
          <w:rFonts w:ascii="Times New Roman" w:eastAsia="Calibri" w:hAnsi="Times New Roman" w:cs="Times New Roman"/>
        </w:rPr>
        <w:t xml:space="preserve"> For recycled molybdenum a numerical value of 88,528t was calculated.</w:t>
      </w:r>
    </w:p>
    <w:p w:rsidR="00B24BFF" w:rsidRPr="00CE0A61" w:rsidRDefault="00460AB1" w:rsidP="00B24BFF">
      <w:pPr>
        <w:spacing w:after="0" w:line="360" w:lineRule="auto"/>
        <w:ind w:firstLine="720"/>
        <w:contextualSpacing/>
        <w:jc w:val="both"/>
        <w:rPr>
          <w:rFonts w:ascii="Times New Roman" w:eastAsia="Calibri" w:hAnsi="Times New Roman" w:cs="Times New Roman"/>
        </w:rPr>
      </w:pPr>
      <w:r w:rsidRPr="00CE0A61">
        <w:rPr>
          <w:rFonts w:ascii="Times New Roman" w:eastAsia="Calibri" w:hAnsi="Times New Roman" w:cs="Times New Roman"/>
        </w:rPr>
        <w:t>From determining primary molybdenum values for the year 2014</w:t>
      </w:r>
      <w:r w:rsidR="00B24BFF" w:rsidRPr="00CE0A61">
        <w:rPr>
          <w:rFonts w:ascii="Times New Roman" w:eastAsia="Calibri" w:hAnsi="Times New Roman" w:cs="Times New Roman"/>
        </w:rPr>
        <w:t xml:space="preserve">, using percentage data from </w:t>
      </w:r>
      <w:r w:rsidR="00B24BFF" w:rsidRPr="00CE0A61">
        <w:rPr>
          <w:rFonts w:ascii="Times New Roman" w:eastAsia="Calibri" w:hAnsi="Times New Roman" w:cs="Times New Roman"/>
          <w:noProof/>
        </w:rPr>
        <w:t>(ICDA 2013)</w:t>
      </w:r>
      <w:r w:rsidR="00B24BFF" w:rsidRPr="00CE0A61">
        <w:rPr>
          <w:rFonts w:ascii="Times New Roman" w:eastAsia="Calibri" w:hAnsi="Times New Roman" w:cs="Times New Roman"/>
        </w:rPr>
        <w:t xml:space="preserve"> this was further broken down into its respective constituent products namely Fe</w:t>
      </w:r>
      <w:r w:rsidR="00A622B1" w:rsidRPr="00CE0A61">
        <w:rPr>
          <w:rFonts w:ascii="Times New Roman" w:eastAsia="Calibri" w:hAnsi="Times New Roman" w:cs="Times New Roman"/>
        </w:rPr>
        <w:t>rro</w:t>
      </w:r>
      <w:r w:rsidR="00B24BFF" w:rsidRPr="00CE0A61">
        <w:rPr>
          <w:rFonts w:ascii="Times New Roman" w:eastAsia="Calibri" w:hAnsi="Times New Roman" w:cs="Times New Roman"/>
        </w:rPr>
        <w:t>-Mo</w:t>
      </w:r>
      <w:r w:rsidR="00A622B1" w:rsidRPr="00CE0A61">
        <w:rPr>
          <w:rFonts w:ascii="Times New Roman" w:eastAsia="Calibri" w:hAnsi="Times New Roman" w:cs="Times New Roman"/>
        </w:rPr>
        <w:t>lybdenum</w:t>
      </w:r>
      <w:r w:rsidR="00B24BFF" w:rsidRPr="00CE0A61">
        <w:rPr>
          <w:rFonts w:ascii="Times New Roman" w:eastAsia="Calibri" w:hAnsi="Times New Roman" w:cs="Times New Roman"/>
        </w:rPr>
        <w:t xml:space="preserve"> (35%), Upgrade products (20%) (Incl. chemical products, pure Mo and MoS</w:t>
      </w:r>
      <w:r w:rsidR="00B24BFF" w:rsidRPr="00CE0A61">
        <w:rPr>
          <w:rFonts w:ascii="Times New Roman" w:eastAsia="Calibri" w:hAnsi="Times New Roman" w:cs="Times New Roman"/>
          <w:vertAlign w:val="subscript"/>
        </w:rPr>
        <w:t>2</w:t>
      </w:r>
      <w:r w:rsidR="00B24BFF" w:rsidRPr="00CE0A61">
        <w:rPr>
          <w:rFonts w:ascii="Times New Roman" w:eastAsia="Calibri" w:hAnsi="Times New Roman" w:cs="Times New Roman"/>
        </w:rPr>
        <w:t xml:space="preserve"> lubricants) and Tech oxide (45%).</w:t>
      </w:r>
    </w:p>
    <w:p w:rsidR="007E511E" w:rsidRPr="00CE0A61" w:rsidRDefault="007E511E" w:rsidP="00B24BFF">
      <w:pPr>
        <w:spacing w:after="0" w:line="360" w:lineRule="auto"/>
        <w:ind w:firstLine="720"/>
        <w:contextualSpacing/>
        <w:jc w:val="both"/>
        <w:rPr>
          <w:rFonts w:ascii="Times New Roman" w:eastAsia="Calibri" w:hAnsi="Times New Roman" w:cs="Times New Roman"/>
        </w:rPr>
      </w:pPr>
      <w:r w:rsidRPr="00CE0A61">
        <w:rPr>
          <w:rFonts w:ascii="Times New Roman" w:eastAsia="Calibri" w:hAnsi="Times New Roman" w:cs="Times New Roman"/>
        </w:rPr>
        <w:t xml:space="preserve">The final stages </w:t>
      </w:r>
      <w:r w:rsidR="00B24BFF" w:rsidRPr="00CE0A61">
        <w:rPr>
          <w:rFonts w:ascii="Times New Roman" w:eastAsia="Calibri" w:hAnsi="Times New Roman" w:cs="Times New Roman"/>
        </w:rPr>
        <w:t>to complete the MFA model for molybdenum</w:t>
      </w:r>
      <w:r w:rsidRPr="00CE0A61">
        <w:rPr>
          <w:rFonts w:ascii="Times New Roman" w:eastAsia="Calibri" w:hAnsi="Times New Roman" w:cs="Times New Roman"/>
        </w:rPr>
        <w:t>, invol</w:t>
      </w:r>
      <w:r w:rsidR="00B24BFF" w:rsidRPr="00CE0A61">
        <w:rPr>
          <w:rFonts w:ascii="Times New Roman" w:eastAsia="Calibri" w:hAnsi="Times New Roman" w:cs="Times New Roman"/>
        </w:rPr>
        <w:t>ved calculating the amount of molybdenum</w:t>
      </w:r>
      <w:r w:rsidRPr="00CE0A61">
        <w:rPr>
          <w:rFonts w:ascii="Times New Roman" w:eastAsia="Calibri" w:hAnsi="Times New Roman" w:cs="Times New Roman"/>
        </w:rPr>
        <w:t xml:space="preserve"> (both primary and recycled) in each respective applic</w:t>
      </w:r>
      <w:r w:rsidR="00B24BFF" w:rsidRPr="00CE0A61">
        <w:rPr>
          <w:rFonts w:ascii="Times New Roman" w:eastAsia="Calibri" w:hAnsi="Times New Roman" w:cs="Times New Roman"/>
        </w:rPr>
        <w:t>ation sector. This was done</w:t>
      </w:r>
      <w:r w:rsidRPr="00CE0A61">
        <w:rPr>
          <w:rFonts w:ascii="Times New Roman" w:eastAsia="Calibri" w:hAnsi="Times New Roman" w:cs="Times New Roman"/>
        </w:rPr>
        <w:t xml:space="preserve"> by firstly obtaining a percentage breakdown of the </w:t>
      </w:r>
      <w:r w:rsidR="00B24BFF" w:rsidRPr="00CE0A61">
        <w:rPr>
          <w:rFonts w:ascii="Times New Roman" w:eastAsia="Calibri" w:hAnsi="Times New Roman" w:cs="Times New Roman"/>
        </w:rPr>
        <w:t>main sectoral applications of molybdenum</w:t>
      </w:r>
      <w:r w:rsidRPr="00CE0A61">
        <w:rPr>
          <w:rFonts w:ascii="Times New Roman" w:eastAsia="Calibri" w:hAnsi="Times New Roman" w:cs="Times New Roman"/>
        </w:rPr>
        <w:t xml:space="preserve"> </w:t>
      </w:r>
      <w:r w:rsidR="00625D7E" w:rsidRPr="00CE0A61">
        <w:rPr>
          <w:rFonts w:ascii="Times New Roman" w:eastAsia="Calibri" w:hAnsi="Times New Roman" w:cs="Times New Roman"/>
          <w:noProof/>
        </w:rPr>
        <w:t>(IMOA 2015a)</w:t>
      </w:r>
      <w:r w:rsidRPr="00CE0A61">
        <w:rPr>
          <w:rFonts w:ascii="Times New Roman" w:eastAsia="Calibri" w:hAnsi="Times New Roman" w:cs="Times New Roman"/>
        </w:rPr>
        <w:t>. The percentages for each sector were then multiplied against the total of primary and recycle</w:t>
      </w:r>
      <w:r w:rsidR="00B24BFF" w:rsidRPr="00CE0A61">
        <w:rPr>
          <w:rFonts w:ascii="Times New Roman" w:eastAsia="Calibri" w:hAnsi="Times New Roman" w:cs="Times New Roman"/>
        </w:rPr>
        <w:t>d molybdenum calculated previously (324,159</w:t>
      </w:r>
      <w:r w:rsidRPr="00CE0A61">
        <w:rPr>
          <w:rFonts w:ascii="Times New Roman" w:eastAsia="Calibri" w:hAnsi="Times New Roman" w:cs="Times New Roman"/>
        </w:rPr>
        <w:t xml:space="preserve">t) to give a breakdown of molybdenum by sector. For each of the respective sectors, data from </w:t>
      </w:r>
      <w:r w:rsidR="00B24BFF" w:rsidRPr="00CE0A61">
        <w:rPr>
          <w:rFonts w:ascii="Times New Roman" w:eastAsia="Calibri" w:hAnsi="Times New Roman" w:cs="Times New Roman"/>
          <w:noProof/>
        </w:rPr>
        <w:t>(IMOA 2013)</w:t>
      </w:r>
      <w:r w:rsidRPr="00CE0A61">
        <w:rPr>
          <w:rFonts w:ascii="Times New Roman" w:eastAsia="Calibri" w:hAnsi="Times New Roman" w:cs="Times New Roman"/>
        </w:rPr>
        <w:t xml:space="preserve"> p</w:t>
      </w:r>
      <w:r w:rsidR="00B24BFF" w:rsidRPr="00CE0A61">
        <w:rPr>
          <w:rFonts w:ascii="Times New Roman" w:eastAsia="Calibri" w:hAnsi="Times New Roman" w:cs="Times New Roman"/>
        </w:rPr>
        <w:t>rovided a percentage value of molybdenum</w:t>
      </w:r>
      <w:r w:rsidRPr="00CE0A61">
        <w:rPr>
          <w:rFonts w:ascii="Times New Roman" w:eastAsia="Calibri" w:hAnsi="Times New Roman" w:cs="Times New Roman"/>
        </w:rPr>
        <w:t xml:space="preserve"> from scrap. This was then applied to wo</w:t>
      </w:r>
      <w:r w:rsidR="00B24BFF" w:rsidRPr="00CE0A61">
        <w:rPr>
          <w:rFonts w:ascii="Times New Roman" w:eastAsia="Calibri" w:hAnsi="Times New Roman" w:cs="Times New Roman"/>
        </w:rPr>
        <w:t>rk out the amount of recycled molybdenum</w:t>
      </w:r>
      <w:r w:rsidRPr="00CE0A61">
        <w:rPr>
          <w:rFonts w:ascii="Times New Roman" w:eastAsia="Calibri" w:hAnsi="Times New Roman" w:cs="Times New Roman"/>
        </w:rPr>
        <w:t xml:space="preserve">. Primary </w:t>
      </w:r>
      <w:r w:rsidR="00B24BFF" w:rsidRPr="00CE0A61">
        <w:rPr>
          <w:rFonts w:ascii="Times New Roman" w:eastAsia="Calibri" w:hAnsi="Times New Roman" w:cs="Times New Roman"/>
        </w:rPr>
        <w:t>molybdenum</w:t>
      </w:r>
      <w:r w:rsidRPr="00CE0A61">
        <w:rPr>
          <w:rFonts w:ascii="Times New Roman" w:eastAsia="Calibri" w:hAnsi="Times New Roman" w:cs="Times New Roman"/>
        </w:rPr>
        <w:t xml:space="preserve"> values were calculated by subtracting the original value for each sector against the recycled value.</w:t>
      </w:r>
    </w:p>
    <w:p w:rsidR="000D0655" w:rsidRPr="00CE0A61" w:rsidRDefault="00B24BFF" w:rsidP="000D0655">
      <w:pPr>
        <w:spacing w:after="0" w:line="360" w:lineRule="auto"/>
        <w:ind w:firstLine="720"/>
        <w:contextualSpacing/>
        <w:jc w:val="both"/>
        <w:rPr>
          <w:rFonts w:ascii="Times New Roman" w:eastAsia="Calibri" w:hAnsi="Times New Roman" w:cs="Times New Roman"/>
        </w:rPr>
      </w:pPr>
      <w:r w:rsidRPr="00CE0A61">
        <w:rPr>
          <w:rFonts w:ascii="Times New Roman" w:eastAsia="Calibri" w:hAnsi="Times New Roman" w:cs="Times New Roman"/>
        </w:rPr>
        <w:t>Unlike the chromium MFA model, recycled flows could be calculated per sector, highlighting potential opportunities to save resources or increase the usage of recycled molybdenum in comparison to primary sources.</w:t>
      </w:r>
    </w:p>
    <w:p w:rsidR="007E511E" w:rsidRPr="00CE0A61" w:rsidRDefault="00A622B1" w:rsidP="00B96FBC">
      <w:pPr>
        <w:spacing w:after="0" w:line="360" w:lineRule="auto"/>
        <w:ind w:firstLine="720"/>
        <w:contextualSpacing/>
        <w:jc w:val="both"/>
        <w:rPr>
          <w:rFonts w:ascii="Times New Roman" w:eastAsia="Calibri" w:hAnsi="Times New Roman" w:cs="Times New Roman"/>
        </w:rPr>
      </w:pPr>
      <w:r w:rsidRPr="00CE0A61">
        <w:rPr>
          <w:rFonts w:ascii="Times New Roman" w:eastAsia="Calibri" w:hAnsi="Times New Roman" w:cs="Times New Roman"/>
        </w:rPr>
        <w:lastRenderedPageBreak/>
        <w:t>Comparable to the chromium</w:t>
      </w:r>
      <w:r w:rsidR="007E511E" w:rsidRPr="00CE0A61">
        <w:rPr>
          <w:rFonts w:ascii="Times New Roman" w:eastAsia="Calibri" w:hAnsi="Times New Roman" w:cs="Times New Roman"/>
        </w:rPr>
        <w:t xml:space="preserve"> MFA model some values correspond to data generated from percentage data from non</w:t>
      </w:r>
      <w:r w:rsidRPr="00CE0A61">
        <w:rPr>
          <w:rFonts w:ascii="Times New Roman" w:eastAsia="Calibri" w:hAnsi="Times New Roman" w:cs="Times New Roman"/>
        </w:rPr>
        <w:t>-2014 sources applied to 2014 molybdenum</w:t>
      </w:r>
      <w:r w:rsidR="007E511E" w:rsidRPr="00CE0A61">
        <w:rPr>
          <w:rFonts w:ascii="Times New Roman" w:eastAsia="Calibri" w:hAnsi="Times New Roman" w:cs="Times New Roman"/>
        </w:rPr>
        <w:t xml:space="preserve"> tonnages. In addition some values correspond to data extrapolated to 2014 from non-2014 sources. Both of these variations are highlighted in the summary table to the appropriate data.</w:t>
      </w:r>
    </w:p>
    <w:p w:rsidR="0006682C" w:rsidRDefault="0006682C" w:rsidP="00BF57EB">
      <w:pPr>
        <w:spacing w:after="0" w:line="360" w:lineRule="auto"/>
        <w:contextualSpacing/>
        <w:jc w:val="both"/>
        <w:rPr>
          <w:rFonts w:ascii="Times New Roman" w:eastAsia="Calibri" w:hAnsi="Times New Roman" w:cs="Times New Roman"/>
        </w:rPr>
      </w:pPr>
    </w:p>
    <w:p w:rsidR="004E77ED" w:rsidRDefault="004E77ED" w:rsidP="00B96FBC">
      <w:pPr>
        <w:spacing w:after="0" w:line="360" w:lineRule="auto"/>
        <w:ind w:firstLine="720"/>
        <w:contextualSpacing/>
        <w:jc w:val="both"/>
        <w:rPr>
          <w:rFonts w:ascii="Times New Roman" w:eastAsia="Calibri" w:hAnsi="Times New Roman" w:cs="Times New Roman"/>
        </w:rPr>
        <w:sectPr w:rsidR="004E77ED" w:rsidSect="00C24042">
          <w:pgSz w:w="11906" w:h="16838"/>
          <w:pgMar w:top="1440" w:right="1440" w:bottom="1440" w:left="1440" w:header="708" w:footer="708" w:gutter="0"/>
          <w:cols w:space="708"/>
          <w:docGrid w:linePitch="360"/>
        </w:sectPr>
      </w:pPr>
    </w:p>
    <w:p w:rsidR="007E511E" w:rsidRPr="00A1085C" w:rsidRDefault="007E511E" w:rsidP="007E511E">
      <w:pPr>
        <w:spacing w:after="0" w:line="360" w:lineRule="auto"/>
        <w:jc w:val="both"/>
        <w:rPr>
          <w:rFonts w:ascii="Times New Roman" w:eastAsia="Calibri" w:hAnsi="Times New Roman" w:cs="Times New Roman"/>
          <w:b/>
        </w:rPr>
      </w:pPr>
      <w:proofErr w:type="gramStart"/>
      <w:r w:rsidRPr="00A1085C">
        <w:rPr>
          <w:rFonts w:ascii="Times New Roman" w:eastAsia="Calibri" w:hAnsi="Times New Roman" w:cs="Times New Roman"/>
          <w:b/>
        </w:rPr>
        <w:lastRenderedPageBreak/>
        <w:t>iv) Niobium</w:t>
      </w:r>
      <w:proofErr w:type="gramEnd"/>
    </w:p>
    <w:p w:rsidR="00744620" w:rsidRPr="00CE0A61" w:rsidRDefault="007E511E" w:rsidP="00BF57EB">
      <w:pPr>
        <w:jc w:val="both"/>
        <w:rPr>
          <w:rFonts w:ascii="Times New Roman" w:eastAsia="Calibri" w:hAnsi="Times New Roman" w:cs="Times New Roman"/>
        </w:rPr>
      </w:pPr>
      <w:bookmarkStart w:id="57" w:name="_Toc474486518"/>
      <w:bookmarkStart w:id="58" w:name="_Toc495852688"/>
      <w:r w:rsidRPr="00CE0A61">
        <w:rPr>
          <w:rFonts w:ascii="Times New Roman" w:hAnsi="Times New Roman" w:cs="Times New Roman"/>
        </w:rPr>
        <w:t xml:space="preserve">Table </w:t>
      </w:r>
      <w:r w:rsidR="009A0ED7" w:rsidRPr="00CE0A61">
        <w:rPr>
          <w:rFonts w:ascii="Times New Roman" w:hAnsi="Times New Roman" w:cs="Times New Roman"/>
        </w:rPr>
        <w:fldChar w:fldCharType="begin"/>
      </w:r>
      <w:r w:rsidRPr="00CE0A61">
        <w:rPr>
          <w:rFonts w:ascii="Times New Roman" w:hAnsi="Times New Roman" w:cs="Times New Roman"/>
        </w:rPr>
        <w:instrText xml:space="preserve"> SEQ Table \* ARABIC </w:instrText>
      </w:r>
      <w:r w:rsidR="009A0ED7" w:rsidRPr="00CE0A61">
        <w:rPr>
          <w:rFonts w:ascii="Times New Roman" w:hAnsi="Times New Roman" w:cs="Times New Roman"/>
        </w:rPr>
        <w:fldChar w:fldCharType="separate"/>
      </w:r>
      <w:r w:rsidR="009F5483">
        <w:rPr>
          <w:rFonts w:ascii="Times New Roman" w:hAnsi="Times New Roman" w:cs="Times New Roman"/>
          <w:noProof/>
        </w:rPr>
        <w:t>10</w:t>
      </w:r>
      <w:r w:rsidR="009A0ED7" w:rsidRPr="00CE0A61">
        <w:rPr>
          <w:rFonts w:ascii="Times New Roman" w:hAnsi="Times New Roman" w:cs="Times New Roman"/>
        </w:rPr>
        <w:fldChar w:fldCharType="end"/>
      </w:r>
      <w:r w:rsidRPr="00CE0A61">
        <w:rPr>
          <w:rFonts w:ascii="Times New Roman" w:hAnsi="Times New Roman" w:cs="Times New Roman"/>
        </w:rPr>
        <w:t xml:space="preserve">. </w:t>
      </w:r>
      <w:r w:rsidR="00A622B1" w:rsidRPr="00CE0A61">
        <w:rPr>
          <w:rFonts w:ascii="Times New Roman" w:eastAsia="Calibri" w:hAnsi="Times New Roman" w:cs="Times New Roman"/>
        </w:rPr>
        <w:t>Input data utilised to create global niobium Sankey diagram</w:t>
      </w:r>
      <w:r w:rsidR="00625D7E" w:rsidRPr="00CE0A61">
        <w:rPr>
          <w:rFonts w:ascii="Times New Roman" w:eastAsia="Calibri" w:hAnsi="Times New Roman" w:cs="Times New Roman"/>
        </w:rPr>
        <w:t xml:space="preserve"> for the year 2013</w:t>
      </w:r>
      <w:r w:rsidR="00A622B1" w:rsidRPr="00CE0A61">
        <w:rPr>
          <w:rFonts w:ascii="Times New Roman" w:eastAsia="Calibri" w:hAnsi="Times New Roman" w:cs="Times New Roman"/>
        </w:rPr>
        <w:t>.</w:t>
      </w:r>
      <w:bookmarkEnd w:id="57"/>
      <w:bookmarkEnd w:id="58"/>
    </w:p>
    <w:tbl>
      <w:tblPr>
        <w:tblStyle w:val="TableGrid"/>
        <w:tblW w:w="9459" w:type="dxa"/>
        <w:jc w:val="center"/>
        <w:tblLook w:val="04A0" w:firstRow="1" w:lastRow="0" w:firstColumn="1" w:lastColumn="0" w:noHBand="0" w:noVBand="1"/>
      </w:tblPr>
      <w:tblGrid>
        <w:gridCol w:w="1512"/>
        <w:gridCol w:w="3586"/>
        <w:gridCol w:w="1418"/>
        <w:gridCol w:w="1417"/>
        <w:gridCol w:w="1526"/>
      </w:tblGrid>
      <w:tr w:rsidR="00D503DF" w:rsidRPr="00D503DF" w:rsidTr="00D503DF">
        <w:trPr>
          <w:trHeight w:val="315"/>
          <w:jc w:val="center"/>
        </w:trPr>
        <w:tc>
          <w:tcPr>
            <w:tcW w:w="1512" w:type="dxa"/>
            <w:noWrap/>
            <w:hideMark/>
          </w:tcPr>
          <w:p w:rsidR="00D503DF" w:rsidRDefault="00D503DF" w:rsidP="00D503DF">
            <w:pPr>
              <w:spacing w:line="360" w:lineRule="auto"/>
              <w:jc w:val="center"/>
              <w:rPr>
                <w:rFonts w:ascii="Times New Roman" w:eastAsia="Calibri" w:hAnsi="Times New Roman" w:cs="Times New Roman"/>
                <w:b/>
                <w:bCs/>
              </w:rPr>
            </w:pPr>
          </w:p>
          <w:p w:rsidR="00D503DF" w:rsidRPr="00D503DF" w:rsidRDefault="00D503DF" w:rsidP="00D503DF">
            <w:pPr>
              <w:spacing w:line="360" w:lineRule="auto"/>
              <w:jc w:val="center"/>
              <w:rPr>
                <w:rFonts w:ascii="Times New Roman" w:eastAsia="Calibri" w:hAnsi="Times New Roman" w:cs="Times New Roman"/>
                <w:b/>
                <w:bCs/>
              </w:rPr>
            </w:pPr>
            <w:r w:rsidRPr="00D503DF">
              <w:rPr>
                <w:rFonts w:ascii="Times New Roman" w:eastAsia="Calibri" w:hAnsi="Times New Roman" w:cs="Times New Roman"/>
                <w:b/>
                <w:bCs/>
              </w:rPr>
              <w:t>Stage</w:t>
            </w:r>
          </w:p>
        </w:tc>
        <w:tc>
          <w:tcPr>
            <w:tcW w:w="3586" w:type="dxa"/>
            <w:noWrap/>
            <w:hideMark/>
          </w:tcPr>
          <w:p w:rsidR="00D503DF" w:rsidRDefault="00D503DF" w:rsidP="00D503DF">
            <w:pPr>
              <w:spacing w:line="360" w:lineRule="auto"/>
              <w:jc w:val="center"/>
              <w:rPr>
                <w:rFonts w:ascii="Times New Roman" w:eastAsia="Calibri" w:hAnsi="Times New Roman" w:cs="Times New Roman"/>
                <w:b/>
                <w:bCs/>
              </w:rPr>
            </w:pPr>
          </w:p>
          <w:p w:rsidR="00D503DF" w:rsidRPr="00D503DF" w:rsidRDefault="00D503DF" w:rsidP="00D503DF">
            <w:pPr>
              <w:spacing w:line="360" w:lineRule="auto"/>
              <w:jc w:val="center"/>
              <w:rPr>
                <w:rFonts w:ascii="Times New Roman" w:eastAsia="Calibri" w:hAnsi="Times New Roman" w:cs="Times New Roman"/>
                <w:b/>
                <w:bCs/>
              </w:rPr>
            </w:pPr>
            <w:r w:rsidRPr="00D503DF">
              <w:rPr>
                <w:rFonts w:ascii="Times New Roman" w:eastAsia="Calibri" w:hAnsi="Times New Roman" w:cs="Times New Roman"/>
                <w:b/>
                <w:bCs/>
              </w:rPr>
              <w:t>Source</w:t>
            </w:r>
          </w:p>
        </w:tc>
        <w:tc>
          <w:tcPr>
            <w:tcW w:w="1418" w:type="dxa"/>
            <w:hideMark/>
          </w:tcPr>
          <w:p w:rsidR="00D503DF" w:rsidRDefault="00D503DF" w:rsidP="00D503DF">
            <w:pPr>
              <w:spacing w:line="360" w:lineRule="auto"/>
              <w:jc w:val="center"/>
              <w:rPr>
                <w:rFonts w:ascii="Times New Roman" w:eastAsia="Calibri" w:hAnsi="Times New Roman" w:cs="Times New Roman"/>
                <w:b/>
                <w:bCs/>
              </w:rPr>
            </w:pPr>
          </w:p>
          <w:p w:rsidR="00D503DF" w:rsidRPr="00D503DF" w:rsidRDefault="00D503DF" w:rsidP="00D503DF">
            <w:pPr>
              <w:spacing w:line="360" w:lineRule="auto"/>
              <w:jc w:val="center"/>
              <w:rPr>
                <w:rFonts w:ascii="Times New Roman" w:eastAsia="Calibri" w:hAnsi="Times New Roman" w:cs="Times New Roman"/>
                <w:b/>
                <w:bCs/>
              </w:rPr>
            </w:pPr>
            <w:r w:rsidRPr="00D503DF">
              <w:rPr>
                <w:rFonts w:ascii="Times New Roman" w:eastAsia="Calibri" w:hAnsi="Times New Roman" w:cs="Times New Roman"/>
                <w:b/>
                <w:bCs/>
              </w:rPr>
              <w:t>Tonnage (t)</w:t>
            </w:r>
          </w:p>
        </w:tc>
        <w:tc>
          <w:tcPr>
            <w:tcW w:w="1417" w:type="dxa"/>
            <w:noWrap/>
            <w:hideMark/>
          </w:tcPr>
          <w:p w:rsidR="00D503DF" w:rsidRDefault="00D503DF" w:rsidP="00D503DF">
            <w:pPr>
              <w:spacing w:line="360" w:lineRule="auto"/>
              <w:jc w:val="center"/>
              <w:rPr>
                <w:rFonts w:ascii="Times New Roman" w:eastAsia="Calibri" w:hAnsi="Times New Roman" w:cs="Times New Roman"/>
                <w:b/>
                <w:bCs/>
              </w:rPr>
            </w:pPr>
          </w:p>
          <w:p w:rsidR="00D503DF" w:rsidRPr="00D503DF" w:rsidRDefault="00D503DF" w:rsidP="00D503DF">
            <w:pPr>
              <w:spacing w:line="360" w:lineRule="auto"/>
              <w:jc w:val="center"/>
              <w:rPr>
                <w:rFonts w:ascii="Times New Roman" w:eastAsia="Calibri" w:hAnsi="Times New Roman" w:cs="Times New Roman"/>
                <w:b/>
                <w:bCs/>
              </w:rPr>
            </w:pPr>
            <w:r w:rsidRPr="00D503DF">
              <w:rPr>
                <w:rFonts w:ascii="Times New Roman" w:eastAsia="Calibri" w:hAnsi="Times New Roman" w:cs="Times New Roman"/>
                <w:b/>
                <w:bCs/>
              </w:rPr>
              <w:t>Data Source</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b/>
                <w:bCs/>
              </w:rPr>
            </w:pPr>
            <w:r w:rsidRPr="00D503DF">
              <w:rPr>
                <w:rFonts w:ascii="Times New Roman" w:eastAsia="Calibri" w:hAnsi="Times New Roman" w:cs="Times New Roman"/>
                <w:b/>
                <w:bCs/>
              </w:rPr>
              <w:t>Data Source Year</w:t>
            </w:r>
          </w:p>
        </w:tc>
      </w:tr>
      <w:tr w:rsidR="00D503DF" w:rsidRPr="00D503DF" w:rsidTr="00D503DF">
        <w:trPr>
          <w:trHeight w:val="300"/>
          <w:jc w:val="center"/>
        </w:trPr>
        <w:tc>
          <w:tcPr>
            <w:tcW w:w="1512" w:type="dxa"/>
            <w:vMerge w:val="restart"/>
            <w:noWrap/>
            <w:hideMark/>
          </w:tcPr>
          <w:p w:rsidR="00D503DF" w:rsidRDefault="00D503DF" w:rsidP="00D503DF">
            <w:pPr>
              <w:spacing w:line="360" w:lineRule="auto"/>
              <w:jc w:val="center"/>
              <w:rPr>
                <w:rFonts w:ascii="Times New Roman" w:eastAsia="Calibri" w:hAnsi="Times New Roman" w:cs="Times New Roman"/>
                <w:b/>
                <w:bCs/>
              </w:rPr>
            </w:pPr>
          </w:p>
          <w:p w:rsidR="00D503DF" w:rsidRPr="00D503DF" w:rsidRDefault="00D503DF" w:rsidP="00D503DF">
            <w:pPr>
              <w:spacing w:line="360" w:lineRule="auto"/>
              <w:jc w:val="center"/>
              <w:rPr>
                <w:rFonts w:ascii="Times New Roman" w:eastAsia="Calibri" w:hAnsi="Times New Roman" w:cs="Times New Roman"/>
                <w:b/>
                <w:bCs/>
              </w:rPr>
            </w:pPr>
            <w:r w:rsidRPr="00D503DF">
              <w:rPr>
                <w:rFonts w:ascii="Times New Roman" w:eastAsia="Calibri" w:hAnsi="Times New Roman" w:cs="Times New Roman"/>
                <w:b/>
                <w:bCs/>
              </w:rPr>
              <w:t>Stage 1 (Extraction)</w:t>
            </w:r>
          </w:p>
        </w:tc>
        <w:tc>
          <w:tcPr>
            <w:tcW w:w="358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Primary Niobium (Oxides)</w:t>
            </w:r>
          </w:p>
        </w:tc>
        <w:tc>
          <w:tcPr>
            <w:tcW w:w="1418"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55,833</w:t>
            </w:r>
          </w:p>
        </w:tc>
        <w:tc>
          <w:tcPr>
            <w:tcW w:w="1417"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USGS</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2013</w:t>
            </w:r>
          </w:p>
        </w:tc>
      </w:tr>
      <w:tr w:rsidR="00D503DF" w:rsidRPr="00D503DF" w:rsidTr="00D503DF">
        <w:trPr>
          <w:trHeight w:val="300"/>
          <w:jc w:val="center"/>
        </w:trPr>
        <w:tc>
          <w:tcPr>
            <w:tcW w:w="1512" w:type="dxa"/>
            <w:vMerge/>
            <w:hideMark/>
          </w:tcPr>
          <w:p w:rsidR="00D503DF" w:rsidRPr="00D503DF" w:rsidRDefault="00D503DF" w:rsidP="00D503DF">
            <w:pPr>
              <w:spacing w:line="360" w:lineRule="auto"/>
              <w:jc w:val="center"/>
              <w:rPr>
                <w:rFonts w:ascii="Times New Roman" w:eastAsia="Calibri" w:hAnsi="Times New Roman" w:cs="Times New Roman"/>
                <w:b/>
                <w:bCs/>
              </w:rPr>
            </w:pPr>
          </w:p>
        </w:tc>
        <w:tc>
          <w:tcPr>
            <w:tcW w:w="358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Recycled Niobium</w:t>
            </w:r>
          </w:p>
        </w:tc>
        <w:tc>
          <w:tcPr>
            <w:tcW w:w="1418"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11,394</w:t>
            </w:r>
          </w:p>
        </w:tc>
        <w:tc>
          <w:tcPr>
            <w:tcW w:w="1417"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Mackay</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2015</w:t>
            </w:r>
          </w:p>
        </w:tc>
      </w:tr>
      <w:tr w:rsidR="00D503DF" w:rsidRPr="00D503DF" w:rsidTr="00D503DF">
        <w:trPr>
          <w:trHeight w:val="315"/>
          <w:jc w:val="center"/>
        </w:trPr>
        <w:tc>
          <w:tcPr>
            <w:tcW w:w="1512" w:type="dxa"/>
            <w:vMerge/>
            <w:hideMark/>
          </w:tcPr>
          <w:p w:rsidR="00D503DF" w:rsidRPr="00D503DF" w:rsidRDefault="00D503DF" w:rsidP="00D503DF">
            <w:pPr>
              <w:spacing w:line="360" w:lineRule="auto"/>
              <w:jc w:val="center"/>
              <w:rPr>
                <w:rFonts w:ascii="Times New Roman" w:eastAsia="Calibri" w:hAnsi="Times New Roman" w:cs="Times New Roman"/>
                <w:b/>
                <w:bCs/>
              </w:rPr>
            </w:pPr>
          </w:p>
        </w:tc>
        <w:tc>
          <w:tcPr>
            <w:tcW w:w="358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Niobium from tin smelter waste and columbite</w:t>
            </w:r>
          </w:p>
        </w:tc>
        <w:tc>
          <w:tcPr>
            <w:tcW w:w="1418"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1,139</w:t>
            </w:r>
          </w:p>
        </w:tc>
        <w:tc>
          <w:tcPr>
            <w:tcW w:w="1417"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Calculation</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w:t>
            </w:r>
          </w:p>
        </w:tc>
      </w:tr>
      <w:tr w:rsidR="00D503DF" w:rsidRPr="00D503DF" w:rsidTr="00D503DF">
        <w:trPr>
          <w:trHeight w:val="300"/>
          <w:jc w:val="center"/>
        </w:trPr>
        <w:tc>
          <w:tcPr>
            <w:tcW w:w="1512" w:type="dxa"/>
            <w:vMerge w:val="restart"/>
            <w:noWrap/>
            <w:hideMark/>
          </w:tcPr>
          <w:p w:rsidR="00D503DF" w:rsidRPr="00D503DF" w:rsidRDefault="00D503DF" w:rsidP="00D503DF">
            <w:pPr>
              <w:spacing w:line="360" w:lineRule="auto"/>
              <w:jc w:val="center"/>
              <w:rPr>
                <w:rFonts w:ascii="Times New Roman" w:eastAsia="Calibri" w:hAnsi="Times New Roman" w:cs="Times New Roman"/>
                <w:b/>
                <w:bCs/>
              </w:rPr>
            </w:pPr>
            <w:r w:rsidRPr="00D503DF">
              <w:rPr>
                <w:rFonts w:ascii="Times New Roman" w:eastAsia="Calibri" w:hAnsi="Times New Roman" w:cs="Times New Roman"/>
                <w:b/>
                <w:bCs/>
              </w:rPr>
              <w:t>Stage 2 (Processing)</w:t>
            </w:r>
          </w:p>
        </w:tc>
        <w:tc>
          <w:tcPr>
            <w:tcW w:w="358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Niobium Metal Production</w:t>
            </w:r>
          </w:p>
        </w:tc>
        <w:tc>
          <w:tcPr>
            <w:tcW w:w="1418"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68,366</w:t>
            </w:r>
          </w:p>
        </w:tc>
        <w:tc>
          <w:tcPr>
            <w:tcW w:w="1417"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Calculation</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w:t>
            </w:r>
          </w:p>
        </w:tc>
      </w:tr>
      <w:tr w:rsidR="00D503DF" w:rsidRPr="00D503DF" w:rsidTr="00D503DF">
        <w:trPr>
          <w:trHeight w:val="315"/>
          <w:jc w:val="center"/>
        </w:trPr>
        <w:tc>
          <w:tcPr>
            <w:tcW w:w="1512" w:type="dxa"/>
            <w:vMerge/>
            <w:hideMark/>
          </w:tcPr>
          <w:p w:rsidR="00D503DF" w:rsidRPr="00D503DF" w:rsidRDefault="00D503DF" w:rsidP="00D503DF">
            <w:pPr>
              <w:spacing w:line="360" w:lineRule="auto"/>
              <w:jc w:val="center"/>
              <w:rPr>
                <w:rFonts w:ascii="Times New Roman" w:eastAsia="Calibri" w:hAnsi="Times New Roman" w:cs="Times New Roman"/>
                <w:b/>
                <w:bCs/>
              </w:rPr>
            </w:pPr>
          </w:p>
        </w:tc>
        <w:tc>
          <w:tcPr>
            <w:tcW w:w="3586" w:type="dxa"/>
            <w:noWrap/>
            <w:hideMark/>
          </w:tcPr>
          <w:p w:rsidR="00D503DF" w:rsidRPr="00D503DF" w:rsidRDefault="00D503DF" w:rsidP="00D503DF">
            <w:pPr>
              <w:spacing w:line="360" w:lineRule="auto"/>
              <w:jc w:val="center"/>
              <w:rPr>
                <w:rFonts w:ascii="Times New Roman" w:eastAsia="Calibri" w:hAnsi="Times New Roman" w:cs="Times New Roman"/>
              </w:rPr>
            </w:pPr>
            <w:r>
              <w:rPr>
                <w:rFonts w:ascii="Times New Roman" w:eastAsia="Calibri" w:hAnsi="Times New Roman" w:cs="Times New Roman"/>
              </w:rPr>
              <w:t>Combined processing l</w:t>
            </w:r>
            <w:r w:rsidRPr="00D503DF">
              <w:rPr>
                <w:rFonts w:ascii="Times New Roman" w:eastAsia="Calibri" w:hAnsi="Times New Roman" w:cs="Times New Roman"/>
              </w:rPr>
              <w:t>osses</w:t>
            </w:r>
          </w:p>
        </w:tc>
        <w:tc>
          <w:tcPr>
            <w:tcW w:w="1418"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8,204</w:t>
            </w:r>
          </w:p>
        </w:tc>
        <w:tc>
          <w:tcPr>
            <w:tcW w:w="1417"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Allwood</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2011</w:t>
            </w:r>
          </w:p>
        </w:tc>
      </w:tr>
      <w:tr w:rsidR="00D503DF" w:rsidRPr="00D503DF" w:rsidTr="00D503DF">
        <w:trPr>
          <w:trHeight w:val="315"/>
          <w:jc w:val="center"/>
        </w:trPr>
        <w:tc>
          <w:tcPr>
            <w:tcW w:w="1512" w:type="dxa"/>
            <w:vMerge w:val="restart"/>
            <w:noWrap/>
            <w:hideMark/>
          </w:tcPr>
          <w:p w:rsidR="00D503DF" w:rsidRDefault="00D503DF" w:rsidP="00D503DF">
            <w:pPr>
              <w:spacing w:line="360" w:lineRule="auto"/>
              <w:jc w:val="center"/>
              <w:rPr>
                <w:rFonts w:ascii="Times New Roman" w:eastAsia="Calibri" w:hAnsi="Times New Roman" w:cs="Times New Roman"/>
                <w:b/>
                <w:bCs/>
              </w:rPr>
            </w:pPr>
          </w:p>
          <w:p w:rsidR="00D503DF" w:rsidRDefault="00D503DF" w:rsidP="00D503DF">
            <w:pPr>
              <w:spacing w:line="360" w:lineRule="auto"/>
              <w:jc w:val="center"/>
              <w:rPr>
                <w:rFonts w:ascii="Times New Roman" w:eastAsia="Calibri" w:hAnsi="Times New Roman" w:cs="Times New Roman"/>
                <w:b/>
                <w:bCs/>
              </w:rPr>
            </w:pPr>
          </w:p>
          <w:p w:rsidR="00D503DF" w:rsidRPr="00D503DF" w:rsidRDefault="00D503DF" w:rsidP="00D503DF">
            <w:pPr>
              <w:spacing w:line="360" w:lineRule="auto"/>
              <w:jc w:val="center"/>
              <w:rPr>
                <w:rFonts w:ascii="Times New Roman" w:eastAsia="Calibri" w:hAnsi="Times New Roman" w:cs="Times New Roman"/>
                <w:b/>
                <w:bCs/>
              </w:rPr>
            </w:pPr>
            <w:r w:rsidRPr="00D503DF">
              <w:rPr>
                <w:rFonts w:ascii="Times New Roman" w:eastAsia="Calibri" w:hAnsi="Times New Roman" w:cs="Times New Roman"/>
                <w:b/>
                <w:bCs/>
              </w:rPr>
              <w:t>Stage 3 (Intermediate Applications)</w:t>
            </w:r>
          </w:p>
        </w:tc>
        <w:tc>
          <w:tcPr>
            <w:tcW w:w="358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HSLA Steel</w:t>
            </w:r>
          </w:p>
        </w:tc>
        <w:tc>
          <w:tcPr>
            <w:tcW w:w="1418"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52,943</w:t>
            </w:r>
          </w:p>
        </w:tc>
        <w:tc>
          <w:tcPr>
            <w:tcW w:w="1417"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BGS</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2013</w:t>
            </w:r>
          </w:p>
        </w:tc>
      </w:tr>
      <w:tr w:rsidR="00D503DF" w:rsidRPr="00D503DF" w:rsidTr="00D503DF">
        <w:trPr>
          <w:trHeight w:val="315"/>
          <w:jc w:val="center"/>
        </w:trPr>
        <w:tc>
          <w:tcPr>
            <w:tcW w:w="1512" w:type="dxa"/>
            <w:vMerge/>
            <w:hideMark/>
          </w:tcPr>
          <w:p w:rsidR="00D503DF" w:rsidRPr="00D503DF" w:rsidRDefault="00D503DF" w:rsidP="00D503DF">
            <w:pPr>
              <w:spacing w:line="360" w:lineRule="auto"/>
              <w:jc w:val="center"/>
              <w:rPr>
                <w:rFonts w:ascii="Times New Roman" w:eastAsia="Calibri" w:hAnsi="Times New Roman" w:cs="Times New Roman"/>
                <w:b/>
                <w:bCs/>
              </w:rPr>
            </w:pPr>
          </w:p>
        </w:tc>
        <w:tc>
          <w:tcPr>
            <w:tcW w:w="358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High Strength &amp; Corrosion Resistance</w:t>
            </w:r>
          </w:p>
        </w:tc>
        <w:tc>
          <w:tcPr>
            <w:tcW w:w="1418"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2,406</w:t>
            </w:r>
          </w:p>
        </w:tc>
        <w:tc>
          <w:tcPr>
            <w:tcW w:w="1417"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BGS</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2013</w:t>
            </w:r>
          </w:p>
        </w:tc>
      </w:tr>
      <w:tr w:rsidR="00D503DF" w:rsidRPr="00D503DF" w:rsidTr="00D503DF">
        <w:trPr>
          <w:trHeight w:val="315"/>
          <w:jc w:val="center"/>
        </w:trPr>
        <w:tc>
          <w:tcPr>
            <w:tcW w:w="1512" w:type="dxa"/>
            <w:vMerge/>
            <w:hideMark/>
          </w:tcPr>
          <w:p w:rsidR="00D503DF" w:rsidRPr="00D503DF" w:rsidRDefault="00D503DF" w:rsidP="00D503DF">
            <w:pPr>
              <w:spacing w:line="360" w:lineRule="auto"/>
              <w:jc w:val="center"/>
              <w:rPr>
                <w:rFonts w:ascii="Times New Roman" w:eastAsia="Calibri" w:hAnsi="Times New Roman" w:cs="Times New Roman"/>
                <w:b/>
                <w:bCs/>
              </w:rPr>
            </w:pPr>
          </w:p>
        </w:tc>
        <w:tc>
          <w:tcPr>
            <w:tcW w:w="358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Niobium Chemicals</w:t>
            </w:r>
          </w:p>
        </w:tc>
        <w:tc>
          <w:tcPr>
            <w:tcW w:w="1418"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2,406</w:t>
            </w:r>
          </w:p>
        </w:tc>
        <w:tc>
          <w:tcPr>
            <w:tcW w:w="1417"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BGS</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2013</w:t>
            </w:r>
          </w:p>
        </w:tc>
      </w:tr>
      <w:tr w:rsidR="00D503DF" w:rsidRPr="00D503DF" w:rsidTr="00D503DF">
        <w:trPr>
          <w:trHeight w:val="315"/>
          <w:jc w:val="center"/>
        </w:trPr>
        <w:tc>
          <w:tcPr>
            <w:tcW w:w="1512" w:type="dxa"/>
            <w:vMerge/>
            <w:hideMark/>
          </w:tcPr>
          <w:p w:rsidR="00D503DF" w:rsidRPr="00D503DF" w:rsidRDefault="00D503DF" w:rsidP="00D503DF">
            <w:pPr>
              <w:spacing w:line="360" w:lineRule="auto"/>
              <w:jc w:val="center"/>
              <w:rPr>
                <w:rFonts w:ascii="Times New Roman" w:eastAsia="Calibri" w:hAnsi="Times New Roman" w:cs="Times New Roman"/>
                <w:b/>
                <w:bCs/>
              </w:rPr>
            </w:pPr>
          </w:p>
        </w:tc>
        <w:tc>
          <w:tcPr>
            <w:tcW w:w="358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Niobium Metal</w:t>
            </w:r>
          </w:p>
        </w:tc>
        <w:tc>
          <w:tcPr>
            <w:tcW w:w="1418"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1,805</w:t>
            </w:r>
          </w:p>
        </w:tc>
        <w:tc>
          <w:tcPr>
            <w:tcW w:w="1417"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BGS</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2013</w:t>
            </w:r>
          </w:p>
        </w:tc>
      </w:tr>
      <w:tr w:rsidR="00D503DF" w:rsidRPr="00D503DF" w:rsidTr="00D503DF">
        <w:trPr>
          <w:trHeight w:val="315"/>
          <w:jc w:val="center"/>
        </w:trPr>
        <w:tc>
          <w:tcPr>
            <w:tcW w:w="1512" w:type="dxa"/>
            <w:vMerge/>
            <w:hideMark/>
          </w:tcPr>
          <w:p w:rsidR="00D503DF" w:rsidRPr="00D503DF" w:rsidRDefault="00D503DF" w:rsidP="00D503DF">
            <w:pPr>
              <w:spacing w:line="360" w:lineRule="auto"/>
              <w:jc w:val="center"/>
              <w:rPr>
                <w:rFonts w:ascii="Times New Roman" w:eastAsia="Calibri" w:hAnsi="Times New Roman" w:cs="Times New Roman"/>
                <w:b/>
                <w:bCs/>
              </w:rPr>
            </w:pPr>
          </w:p>
        </w:tc>
        <w:tc>
          <w:tcPr>
            <w:tcW w:w="358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Niobium Alloys</w:t>
            </w:r>
          </w:p>
        </w:tc>
        <w:tc>
          <w:tcPr>
            <w:tcW w:w="1418"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602</w:t>
            </w:r>
          </w:p>
        </w:tc>
        <w:tc>
          <w:tcPr>
            <w:tcW w:w="1417"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BGS</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2013</w:t>
            </w:r>
          </w:p>
        </w:tc>
      </w:tr>
      <w:tr w:rsidR="00D503DF" w:rsidRPr="00D503DF" w:rsidTr="00D503DF">
        <w:trPr>
          <w:trHeight w:val="300"/>
          <w:jc w:val="center"/>
        </w:trPr>
        <w:tc>
          <w:tcPr>
            <w:tcW w:w="1512" w:type="dxa"/>
            <w:vMerge w:val="restart"/>
            <w:noWrap/>
            <w:hideMark/>
          </w:tcPr>
          <w:p w:rsidR="00D503DF" w:rsidRDefault="00D503DF" w:rsidP="00D503DF">
            <w:pPr>
              <w:spacing w:line="360" w:lineRule="auto"/>
              <w:jc w:val="center"/>
              <w:rPr>
                <w:rFonts w:ascii="Times New Roman" w:eastAsia="Calibri" w:hAnsi="Times New Roman" w:cs="Times New Roman"/>
                <w:b/>
                <w:bCs/>
              </w:rPr>
            </w:pPr>
          </w:p>
          <w:p w:rsidR="00D503DF" w:rsidRDefault="00D503DF" w:rsidP="00D503DF">
            <w:pPr>
              <w:spacing w:line="360" w:lineRule="auto"/>
              <w:jc w:val="center"/>
              <w:rPr>
                <w:rFonts w:ascii="Times New Roman" w:eastAsia="Calibri" w:hAnsi="Times New Roman" w:cs="Times New Roman"/>
                <w:b/>
                <w:bCs/>
              </w:rPr>
            </w:pPr>
          </w:p>
          <w:p w:rsidR="00D503DF" w:rsidRDefault="00D503DF" w:rsidP="00D503DF">
            <w:pPr>
              <w:spacing w:line="360" w:lineRule="auto"/>
              <w:jc w:val="center"/>
              <w:rPr>
                <w:rFonts w:ascii="Times New Roman" w:eastAsia="Calibri" w:hAnsi="Times New Roman" w:cs="Times New Roman"/>
                <w:b/>
                <w:bCs/>
              </w:rPr>
            </w:pPr>
            <w:r w:rsidRPr="00D503DF">
              <w:rPr>
                <w:rFonts w:ascii="Times New Roman" w:eastAsia="Calibri" w:hAnsi="Times New Roman" w:cs="Times New Roman"/>
                <w:b/>
                <w:bCs/>
              </w:rPr>
              <w:t>Stage 4</w:t>
            </w:r>
          </w:p>
          <w:p w:rsidR="00D503DF" w:rsidRPr="00D503DF" w:rsidRDefault="00D503DF" w:rsidP="00D503DF">
            <w:pPr>
              <w:spacing w:line="360" w:lineRule="auto"/>
              <w:jc w:val="center"/>
              <w:rPr>
                <w:rFonts w:ascii="Times New Roman" w:eastAsia="Calibri" w:hAnsi="Times New Roman" w:cs="Times New Roman"/>
                <w:b/>
                <w:bCs/>
              </w:rPr>
            </w:pPr>
            <w:r w:rsidRPr="00D503DF">
              <w:rPr>
                <w:rFonts w:ascii="Times New Roman" w:eastAsia="Calibri" w:hAnsi="Times New Roman" w:cs="Times New Roman"/>
                <w:b/>
                <w:bCs/>
              </w:rPr>
              <w:t>(End Sector Use)</w:t>
            </w:r>
          </w:p>
        </w:tc>
        <w:tc>
          <w:tcPr>
            <w:tcW w:w="358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Structural Steel*</w:t>
            </w:r>
          </w:p>
        </w:tc>
        <w:tc>
          <w:tcPr>
            <w:tcW w:w="1418"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13,105</w:t>
            </w:r>
          </w:p>
        </w:tc>
        <w:tc>
          <w:tcPr>
            <w:tcW w:w="1417"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Allwood</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2011</w:t>
            </w:r>
          </w:p>
        </w:tc>
      </w:tr>
      <w:tr w:rsidR="00D503DF" w:rsidRPr="00D503DF" w:rsidTr="00D503DF">
        <w:trPr>
          <w:trHeight w:val="300"/>
          <w:jc w:val="center"/>
        </w:trPr>
        <w:tc>
          <w:tcPr>
            <w:tcW w:w="1512" w:type="dxa"/>
            <w:vMerge/>
            <w:hideMark/>
          </w:tcPr>
          <w:p w:rsidR="00D503DF" w:rsidRPr="00D503DF" w:rsidRDefault="00D503DF" w:rsidP="00D503DF">
            <w:pPr>
              <w:spacing w:line="360" w:lineRule="auto"/>
              <w:jc w:val="center"/>
              <w:rPr>
                <w:rFonts w:ascii="Times New Roman" w:eastAsia="Calibri" w:hAnsi="Times New Roman" w:cs="Times New Roman"/>
                <w:b/>
                <w:bCs/>
              </w:rPr>
            </w:pPr>
          </w:p>
        </w:tc>
        <w:tc>
          <w:tcPr>
            <w:tcW w:w="358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Tube Steel*</w:t>
            </w:r>
          </w:p>
        </w:tc>
        <w:tc>
          <w:tcPr>
            <w:tcW w:w="1418"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13,105</w:t>
            </w:r>
          </w:p>
        </w:tc>
        <w:tc>
          <w:tcPr>
            <w:tcW w:w="1417"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Allwood</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2011</w:t>
            </w:r>
          </w:p>
        </w:tc>
      </w:tr>
      <w:tr w:rsidR="00D503DF" w:rsidRPr="00D503DF" w:rsidTr="00D503DF">
        <w:trPr>
          <w:trHeight w:val="300"/>
          <w:jc w:val="center"/>
        </w:trPr>
        <w:tc>
          <w:tcPr>
            <w:tcW w:w="1512" w:type="dxa"/>
            <w:vMerge/>
            <w:hideMark/>
          </w:tcPr>
          <w:p w:rsidR="00D503DF" w:rsidRPr="00D503DF" w:rsidRDefault="00D503DF" w:rsidP="00D503DF">
            <w:pPr>
              <w:spacing w:line="360" w:lineRule="auto"/>
              <w:jc w:val="center"/>
              <w:rPr>
                <w:rFonts w:ascii="Times New Roman" w:eastAsia="Calibri" w:hAnsi="Times New Roman" w:cs="Times New Roman"/>
                <w:b/>
                <w:bCs/>
              </w:rPr>
            </w:pPr>
          </w:p>
        </w:tc>
        <w:tc>
          <w:tcPr>
            <w:tcW w:w="358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Automobile Steel*</w:t>
            </w:r>
          </w:p>
        </w:tc>
        <w:tc>
          <w:tcPr>
            <w:tcW w:w="1418"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12,056</w:t>
            </w:r>
          </w:p>
        </w:tc>
        <w:tc>
          <w:tcPr>
            <w:tcW w:w="1417"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Allwood</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2011</w:t>
            </w:r>
          </w:p>
        </w:tc>
      </w:tr>
      <w:tr w:rsidR="00D503DF" w:rsidRPr="00D503DF" w:rsidTr="00D503DF">
        <w:trPr>
          <w:trHeight w:val="300"/>
          <w:jc w:val="center"/>
        </w:trPr>
        <w:tc>
          <w:tcPr>
            <w:tcW w:w="1512" w:type="dxa"/>
            <w:vMerge/>
            <w:hideMark/>
          </w:tcPr>
          <w:p w:rsidR="00D503DF" w:rsidRPr="00D503DF" w:rsidRDefault="00D503DF" w:rsidP="00D503DF">
            <w:pPr>
              <w:spacing w:line="360" w:lineRule="auto"/>
              <w:jc w:val="both"/>
              <w:rPr>
                <w:rFonts w:ascii="Times New Roman" w:eastAsia="Calibri" w:hAnsi="Times New Roman" w:cs="Times New Roman"/>
                <w:b/>
                <w:bCs/>
              </w:rPr>
            </w:pPr>
          </w:p>
        </w:tc>
        <w:tc>
          <w:tcPr>
            <w:tcW w:w="358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Stainless Steel*</w:t>
            </w:r>
          </w:p>
        </w:tc>
        <w:tc>
          <w:tcPr>
            <w:tcW w:w="1418"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6,814</w:t>
            </w:r>
          </w:p>
        </w:tc>
        <w:tc>
          <w:tcPr>
            <w:tcW w:w="1417"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Allwood</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2011</w:t>
            </w:r>
          </w:p>
        </w:tc>
      </w:tr>
      <w:tr w:rsidR="00D503DF" w:rsidRPr="00D503DF" w:rsidTr="00D503DF">
        <w:trPr>
          <w:trHeight w:val="300"/>
          <w:jc w:val="center"/>
        </w:trPr>
        <w:tc>
          <w:tcPr>
            <w:tcW w:w="1512" w:type="dxa"/>
            <w:vMerge/>
            <w:hideMark/>
          </w:tcPr>
          <w:p w:rsidR="00D503DF" w:rsidRPr="00D503DF" w:rsidRDefault="00D503DF" w:rsidP="00D503DF">
            <w:pPr>
              <w:spacing w:line="360" w:lineRule="auto"/>
              <w:jc w:val="both"/>
              <w:rPr>
                <w:rFonts w:ascii="Times New Roman" w:eastAsia="Calibri" w:hAnsi="Times New Roman" w:cs="Times New Roman"/>
                <w:b/>
                <w:bCs/>
              </w:rPr>
            </w:pPr>
          </w:p>
        </w:tc>
        <w:tc>
          <w:tcPr>
            <w:tcW w:w="358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IF Steel*</w:t>
            </w:r>
          </w:p>
        </w:tc>
        <w:tc>
          <w:tcPr>
            <w:tcW w:w="1418"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4,193</w:t>
            </w:r>
          </w:p>
        </w:tc>
        <w:tc>
          <w:tcPr>
            <w:tcW w:w="1417"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Allwood</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2011</w:t>
            </w:r>
          </w:p>
        </w:tc>
      </w:tr>
      <w:tr w:rsidR="00D503DF" w:rsidRPr="00D503DF" w:rsidTr="00D503DF">
        <w:trPr>
          <w:trHeight w:val="315"/>
          <w:jc w:val="center"/>
        </w:trPr>
        <w:tc>
          <w:tcPr>
            <w:tcW w:w="1512" w:type="dxa"/>
            <w:vMerge/>
            <w:hideMark/>
          </w:tcPr>
          <w:p w:rsidR="00D503DF" w:rsidRPr="00D503DF" w:rsidRDefault="00D503DF" w:rsidP="00D503DF">
            <w:pPr>
              <w:spacing w:line="360" w:lineRule="auto"/>
              <w:jc w:val="both"/>
              <w:rPr>
                <w:rFonts w:ascii="Times New Roman" w:eastAsia="Calibri" w:hAnsi="Times New Roman" w:cs="Times New Roman"/>
                <w:b/>
                <w:bCs/>
              </w:rPr>
            </w:pPr>
          </w:p>
        </w:tc>
        <w:tc>
          <w:tcPr>
            <w:tcW w:w="358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Other*</w:t>
            </w:r>
          </w:p>
        </w:tc>
        <w:tc>
          <w:tcPr>
            <w:tcW w:w="1418"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3,669</w:t>
            </w:r>
          </w:p>
        </w:tc>
        <w:tc>
          <w:tcPr>
            <w:tcW w:w="1417"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Allwood</w:t>
            </w:r>
          </w:p>
        </w:tc>
        <w:tc>
          <w:tcPr>
            <w:tcW w:w="1526" w:type="dxa"/>
            <w:noWrap/>
            <w:hideMark/>
          </w:tcPr>
          <w:p w:rsidR="00D503DF" w:rsidRPr="00D503DF" w:rsidRDefault="00D503DF" w:rsidP="00D503DF">
            <w:pPr>
              <w:spacing w:line="360" w:lineRule="auto"/>
              <w:jc w:val="center"/>
              <w:rPr>
                <w:rFonts w:ascii="Times New Roman" w:eastAsia="Calibri" w:hAnsi="Times New Roman" w:cs="Times New Roman"/>
              </w:rPr>
            </w:pPr>
            <w:r w:rsidRPr="00D503DF">
              <w:rPr>
                <w:rFonts w:ascii="Times New Roman" w:eastAsia="Calibri" w:hAnsi="Times New Roman" w:cs="Times New Roman"/>
              </w:rPr>
              <w:t>2011</w:t>
            </w:r>
          </w:p>
        </w:tc>
      </w:tr>
    </w:tbl>
    <w:p w:rsidR="00030F16" w:rsidRPr="00A1085C" w:rsidRDefault="0006682C" w:rsidP="0006682C">
      <w:pPr>
        <w:spacing w:line="360" w:lineRule="auto"/>
        <w:jc w:val="both"/>
        <w:rPr>
          <w:rFonts w:ascii="Times New Roman" w:eastAsia="Calibri" w:hAnsi="Times New Roman" w:cs="Times New Roman"/>
        </w:rPr>
      </w:pPr>
      <w:r w:rsidRPr="00A1085C">
        <w:rPr>
          <w:rFonts w:ascii="Times New Roman" w:eastAsia="Calibri" w:hAnsi="Times New Roman" w:cs="Times New Roman"/>
        </w:rPr>
        <w:t xml:space="preserve">Note </w:t>
      </w:r>
      <w:r w:rsidR="007E511E" w:rsidRPr="00A1085C">
        <w:rPr>
          <w:rFonts w:ascii="Times New Roman" w:eastAsia="Calibri" w:hAnsi="Times New Roman" w:cs="Times New Roman"/>
        </w:rPr>
        <w:t>*Corr</w:t>
      </w:r>
      <w:r w:rsidRPr="00A1085C">
        <w:rPr>
          <w:rFonts w:ascii="Times New Roman" w:eastAsia="Calibri" w:hAnsi="Times New Roman" w:cs="Times New Roman"/>
        </w:rPr>
        <w:t>esponds to data generated from percentage</w:t>
      </w:r>
      <w:r w:rsidR="007E511E" w:rsidRPr="00A1085C">
        <w:rPr>
          <w:rFonts w:ascii="Times New Roman" w:eastAsia="Calibri" w:hAnsi="Times New Roman" w:cs="Times New Roman"/>
        </w:rPr>
        <w:t xml:space="preserve"> data from non-2013 </w:t>
      </w:r>
      <w:r w:rsidRPr="00A1085C">
        <w:rPr>
          <w:rFonts w:ascii="Times New Roman" w:eastAsia="Calibri" w:hAnsi="Times New Roman" w:cs="Times New Roman"/>
        </w:rPr>
        <w:t>sources applied to 2013 niobium</w:t>
      </w:r>
      <w:r w:rsidR="007E511E" w:rsidRPr="00A1085C">
        <w:rPr>
          <w:rFonts w:ascii="Times New Roman" w:eastAsia="Calibri" w:hAnsi="Times New Roman" w:cs="Times New Roman"/>
        </w:rPr>
        <w:t xml:space="preserve"> ton</w:t>
      </w:r>
      <w:r w:rsidR="00744620" w:rsidRPr="00A1085C">
        <w:rPr>
          <w:rFonts w:ascii="Times New Roman" w:eastAsia="Calibri" w:hAnsi="Times New Roman" w:cs="Times New Roman"/>
        </w:rPr>
        <w:t>nages.</w:t>
      </w:r>
    </w:p>
    <w:p w:rsidR="006452DE" w:rsidRPr="00CE0A61" w:rsidRDefault="007E511E" w:rsidP="006452DE">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t>A number of assumptions were made to identify the primary and secondary sources of niobium metal production. Taking the value of 56,972t as 100% niobium metal production,</w:t>
      </w:r>
      <w:r w:rsidR="00591E81" w:rsidRPr="00CE0A61">
        <w:rPr>
          <w:rFonts w:ascii="Times New Roman" w:eastAsia="Calibri" w:hAnsi="Times New Roman" w:cs="Times New Roman"/>
        </w:rPr>
        <w:t xml:space="preserve"> and </w:t>
      </w:r>
      <w:r w:rsidR="00BF57EB" w:rsidRPr="00CE0A61">
        <w:rPr>
          <w:rFonts w:ascii="Times New Roman" w:eastAsia="Calibri" w:hAnsi="Times New Roman" w:cs="Times New Roman"/>
        </w:rPr>
        <w:t>using percentages</w:t>
      </w:r>
      <w:r w:rsidR="00591E81" w:rsidRPr="00CE0A61">
        <w:rPr>
          <w:rFonts w:ascii="Times New Roman" w:eastAsia="Calibri" w:hAnsi="Times New Roman" w:cs="Times New Roman"/>
        </w:rPr>
        <w:t xml:space="preserve"> from </w:t>
      </w:r>
      <w:r w:rsidR="00591E81" w:rsidRPr="00CE0A61">
        <w:rPr>
          <w:rFonts w:ascii="Times New Roman" w:eastAsia="Calibri" w:hAnsi="Times New Roman" w:cs="Times New Roman"/>
          <w:noProof/>
        </w:rPr>
        <w:t>(BGS 2011)</w:t>
      </w:r>
      <w:r w:rsidRPr="00CE0A61">
        <w:rPr>
          <w:rFonts w:ascii="Times New Roman" w:eastAsia="Calibri" w:hAnsi="Times New Roman" w:cs="Times New Roman"/>
        </w:rPr>
        <w:t xml:space="preserve"> it was assumed that 98% (55,833t) of this was from primary niobium oxides and the remaining 2% (1,139t) from secondary sources such as </w:t>
      </w:r>
      <w:r w:rsidR="00591E81" w:rsidRPr="00CE0A61">
        <w:rPr>
          <w:rFonts w:ascii="Times New Roman" w:eastAsia="Calibri" w:hAnsi="Times New Roman" w:cs="Times New Roman"/>
        </w:rPr>
        <w:t>tin smelter waste and columbite.</w:t>
      </w:r>
    </w:p>
    <w:p w:rsidR="00E71B09" w:rsidRPr="00CE0A61" w:rsidRDefault="007E511E" w:rsidP="00E71B09">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t xml:space="preserve">For recycled niobium, according to </w:t>
      </w:r>
      <w:r w:rsidR="006452DE" w:rsidRPr="00CE0A61">
        <w:rPr>
          <w:rFonts w:ascii="Times New Roman" w:eastAsia="Calibri" w:hAnsi="Times New Roman" w:cs="Times New Roman"/>
          <w:noProof/>
        </w:rPr>
        <w:t>(Mackay &amp; Simandl 2015)</w:t>
      </w:r>
      <w:r w:rsidRPr="00CE0A61">
        <w:rPr>
          <w:rFonts w:ascii="Times New Roman" w:eastAsia="Calibri" w:hAnsi="Times New Roman" w:cs="Times New Roman"/>
        </w:rPr>
        <w:t>, approximately 20% of niobium was sourced from recycled material</w:t>
      </w:r>
      <w:r w:rsidR="006452DE" w:rsidRPr="00CE0A61">
        <w:rPr>
          <w:rFonts w:ascii="Times New Roman" w:eastAsia="Calibri" w:hAnsi="Times New Roman" w:cs="Times New Roman"/>
        </w:rPr>
        <w:t xml:space="preserve"> in 2013</w:t>
      </w:r>
      <w:r w:rsidRPr="00CE0A61">
        <w:rPr>
          <w:rFonts w:ascii="Times New Roman" w:eastAsia="Calibri" w:hAnsi="Times New Roman" w:cs="Times New Roman"/>
        </w:rPr>
        <w:t xml:space="preserve">. Applying this percentage to the original value for primary niobium production, a value of 11,394t was estimated for recycled niobium.  </w:t>
      </w:r>
    </w:p>
    <w:p w:rsidR="00E71B09" w:rsidRPr="00CE0A61" w:rsidRDefault="007E511E" w:rsidP="00E71B09">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t>Combining primary, secondary and recycled quantities, total niobium metal production came to a v</w:t>
      </w:r>
      <w:r w:rsidR="00E71B09" w:rsidRPr="00CE0A61">
        <w:rPr>
          <w:rFonts w:ascii="Times New Roman" w:eastAsia="Calibri" w:hAnsi="Times New Roman" w:cs="Times New Roman"/>
        </w:rPr>
        <w:t>alue of 68,366t. However this was</w:t>
      </w:r>
      <w:r w:rsidRPr="00CE0A61">
        <w:rPr>
          <w:rFonts w:ascii="Times New Roman" w:eastAsia="Calibri" w:hAnsi="Times New Roman" w:cs="Times New Roman"/>
        </w:rPr>
        <w:t xml:space="preserve"> reduced to a value of 60,162t after accounting for processing losses of 12%, according to </w:t>
      </w:r>
      <w:r w:rsidR="00E71B09" w:rsidRPr="00CE0A61">
        <w:rPr>
          <w:rFonts w:ascii="Times New Roman" w:eastAsia="Calibri" w:hAnsi="Times New Roman" w:cs="Times New Roman"/>
          <w:noProof/>
        </w:rPr>
        <w:t>(Allwood 2015)</w:t>
      </w:r>
      <w:r w:rsidRPr="00CE0A61">
        <w:rPr>
          <w:rFonts w:ascii="Times New Roman" w:eastAsia="Calibri" w:hAnsi="Times New Roman" w:cs="Times New Roman"/>
        </w:rPr>
        <w:t>. Multiplying the niobium production value after</w:t>
      </w:r>
      <w:r w:rsidR="00E71B09" w:rsidRPr="00CE0A61">
        <w:rPr>
          <w:rFonts w:ascii="Times New Roman" w:eastAsia="Calibri" w:hAnsi="Times New Roman" w:cs="Times New Roman"/>
        </w:rPr>
        <w:t xml:space="preserve"> inclusion of </w:t>
      </w:r>
      <w:r w:rsidRPr="00CE0A61">
        <w:rPr>
          <w:rFonts w:ascii="Times New Roman" w:eastAsia="Calibri" w:hAnsi="Times New Roman" w:cs="Times New Roman"/>
        </w:rPr>
        <w:t>losses against percentage application breakdown data from</w:t>
      </w:r>
      <w:r w:rsidR="00E71B09" w:rsidRPr="00CE0A61">
        <w:rPr>
          <w:rFonts w:ascii="Times New Roman" w:eastAsia="Calibri" w:hAnsi="Times New Roman" w:cs="Times New Roman"/>
        </w:rPr>
        <w:t xml:space="preserve"> </w:t>
      </w:r>
      <w:r w:rsidR="00E71B09" w:rsidRPr="00CE0A61">
        <w:rPr>
          <w:rFonts w:ascii="Times New Roman" w:eastAsia="Calibri" w:hAnsi="Times New Roman" w:cs="Times New Roman"/>
          <w:noProof/>
        </w:rPr>
        <w:t>(Mackay &amp; Simandl 2015)</w:t>
      </w:r>
      <w:r w:rsidRPr="00CE0A61">
        <w:rPr>
          <w:rFonts w:ascii="Times New Roman" w:eastAsia="Calibri" w:hAnsi="Times New Roman" w:cs="Times New Roman"/>
        </w:rPr>
        <w:t>, the</w:t>
      </w:r>
      <w:r w:rsidR="00E71B09" w:rsidRPr="00CE0A61">
        <w:rPr>
          <w:rFonts w:ascii="Times New Roman" w:eastAsia="Calibri" w:hAnsi="Times New Roman" w:cs="Times New Roman"/>
        </w:rPr>
        <w:t xml:space="preserve"> numerical quantities of</w:t>
      </w:r>
      <w:r w:rsidRPr="00CE0A61">
        <w:rPr>
          <w:rFonts w:ascii="Times New Roman" w:eastAsia="Calibri" w:hAnsi="Times New Roman" w:cs="Times New Roman"/>
        </w:rPr>
        <w:t xml:space="preserve"> breakdown of Fe-Nb to inter</w:t>
      </w:r>
      <w:r w:rsidR="00E71B09" w:rsidRPr="00CE0A61">
        <w:rPr>
          <w:rFonts w:ascii="Times New Roman" w:eastAsia="Calibri" w:hAnsi="Times New Roman" w:cs="Times New Roman"/>
        </w:rPr>
        <w:t>mediate products was calculated</w:t>
      </w:r>
      <w:r w:rsidRPr="00CE0A61">
        <w:rPr>
          <w:rFonts w:ascii="Times New Roman" w:eastAsia="Calibri" w:hAnsi="Times New Roman" w:cs="Times New Roman"/>
        </w:rPr>
        <w:t>.</w:t>
      </w:r>
    </w:p>
    <w:p w:rsidR="006925D5" w:rsidRPr="00CE0A61" w:rsidRDefault="007E511E" w:rsidP="006925D5">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lastRenderedPageBreak/>
        <w:t>Since the majority of Fe-Nb applications are for HSLA steel, utilising pe</w:t>
      </w:r>
      <w:r w:rsidR="00E71B09" w:rsidRPr="00CE0A61">
        <w:rPr>
          <w:rFonts w:ascii="Times New Roman" w:eastAsia="Calibri" w:hAnsi="Times New Roman" w:cs="Times New Roman"/>
        </w:rPr>
        <w:t xml:space="preserve">rcentage data from </w:t>
      </w:r>
      <w:r w:rsidR="00E71B09" w:rsidRPr="00CE0A61">
        <w:rPr>
          <w:rFonts w:ascii="Times New Roman" w:eastAsia="Calibri" w:hAnsi="Times New Roman" w:cs="Times New Roman"/>
          <w:noProof/>
        </w:rPr>
        <w:t>(Allwood 2015)</w:t>
      </w:r>
      <w:r w:rsidRPr="00CE0A61">
        <w:rPr>
          <w:rFonts w:ascii="Times New Roman" w:eastAsia="Calibri" w:hAnsi="Times New Roman" w:cs="Times New Roman"/>
        </w:rPr>
        <w:t xml:space="preserve">, a breakdown of niobium use in HSLA steel by end sector uses was calculated to complete the model. </w:t>
      </w:r>
    </w:p>
    <w:p w:rsidR="007E511E" w:rsidRPr="00CE0A61" w:rsidRDefault="00E71B09" w:rsidP="004E77ED">
      <w:pPr>
        <w:spacing w:after="0" w:line="360" w:lineRule="auto"/>
        <w:ind w:firstLine="720"/>
        <w:jc w:val="both"/>
        <w:rPr>
          <w:rFonts w:ascii="Times New Roman" w:eastAsia="Calibri" w:hAnsi="Times New Roman" w:cs="Times New Roman"/>
        </w:rPr>
      </w:pPr>
      <w:r w:rsidRPr="00CE0A61">
        <w:rPr>
          <w:rFonts w:ascii="Times New Roman" w:eastAsia="Calibri" w:hAnsi="Times New Roman" w:cs="Times New Roman"/>
        </w:rPr>
        <w:t>It was difficult to create the niobium model utilising data from a single</w:t>
      </w:r>
      <w:r w:rsidR="007E511E" w:rsidRPr="00CE0A61">
        <w:rPr>
          <w:rFonts w:ascii="Times New Roman" w:eastAsia="Calibri" w:hAnsi="Times New Roman" w:cs="Times New Roman"/>
        </w:rPr>
        <w:t xml:space="preserve"> year</w:t>
      </w:r>
      <w:r w:rsidRPr="00CE0A61">
        <w:rPr>
          <w:rFonts w:ascii="Times New Roman" w:eastAsia="Calibri" w:hAnsi="Times New Roman" w:cs="Times New Roman"/>
        </w:rPr>
        <w:t xml:space="preserve"> due to data availability issues</w:t>
      </w:r>
      <w:r w:rsidR="007E511E" w:rsidRPr="00CE0A61">
        <w:rPr>
          <w:rFonts w:ascii="Times New Roman" w:eastAsia="Calibri" w:hAnsi="Times New Roman" w:cs="Times New Roman"/>
        </w:rPr>
        <w:t>. Primary data was obtained for</w:t>
      </w:r>
      <w:r w:rsidRPr="00CE0A61">
        <w:rPr>
          <w:rFonts w:ascii="Times New Roman" w:eastAsia="Calibri" w:hAnsi="Times New Roman" w:cs="Times New Roman"/>
        </w:rPr>
        <w:t xml:space="preserve"> the year</w:t>
      </w:r>
      <w:r w:rsidR="007E511E" w:rsidRPr="00CE0A61">
        <w:rPr>
          <w:rFonts w:ascii="Times New Roman" w:eastAsia="Calibri" w:hAnsi="Times New Roman" w:cs="Times New Roman"/>
        </w:rPr>
        <w:t xml:space="preserve"> 2013 and the rest of the quantities generated</w:t>
      </w:r>
      <w:r w:rsidR="006925D5" w:rsidRPr="00CE0A61">
        <w:rPr>
          <w:rFonts w:ascii="Times New Roman" w:eastAsia="Calibri" w:hAnsi="Times New Roman" w:cs="Times New Roman"/>
        </w:rPr>
        <w:t xml:space="preserve"> based on data from this year</w:t>
      </w:r>
      <w:r w:rsidR="007E511E" w:rsidRPr="00CE0A61">
        <w:rPr>
          <w:rFonts w:ascii="Times New Roman" w:eastAsia="Calibri" w:hAnsi="Times New Roman" w:cs="Times New Roman"/>
        </w:rPr>
        <w:t>.</w:t>
      </w:r>
      <w:r w:rsidR="006925D5" w:rsidRPr="00CE0A61">
        <w:rPr>
          <w:rFonts w:ascii="Times New Roman" w:eastAsia="Calibri" w:hAnsi="Times New Roman" w:cs="Times New Roman"/>
        </w:rPr>
        <w:t xml:space="preserve"> </w:t>
      </w:r>
    </w:p>
    <w:p w:rsidR="004E77ED" w:rsidRPr="00CE0A61" w:rsidRDefault="004E77ED" w:rsidP="00CE0A61">
      <w:pPr>
        <w:spacing w:after="0" w:line="360" w:lineRule="auto"/>
        <w:jc w:val="both"/>
        <w:rPr>
          <w:rFonts w:ascii="Times New Roman" w:eastAsia="Calibri" w:hAnsi="Times New Roman" w:cs="Times New Roman"/>
        </w:rPr>
      </w:pPr>
    </w:p>
    <w:p w:rsidR="004E77ED" w:rsidRDefault="004E77ED" w:rsidP="007E511E">
      <w:pPr>
        <w:spacing w:after="0" w:line="360" w:lineRule="auto"/>
        <w:jc w:val="both"/>
        <w:rPr>
          <w:rFonts w:ascii="Times New Roman" w:eastAsia="Calibri" w:hAnsi="Times New Roman" w:cs="Times New Roman"/>
          <w:b/>
        </w:rPr>
        <w:sectPr w:rsidR="004E77ED" w:rsidSect="00C24042">
          <w:pgSz w:w="11906" w:h="16838"/>
          <w:pgMar w:top="1440" w:right="1440" w:bottom="1440" w:left="1440" w:header="708" w:footer="708" w:gutter="0"/>
          <w:cols w:space="708"/>
          <w:docGrid w:linePitch="360"/>
        </w:sectPr>
      </w:pPr>
    </w:p>
    <w:p w:rsidR="007E511E" w:rsidRPr="00A1085C" w:rsidRDefault="007E511E" w:rsidP="007E511E">
      <w:pPr>
        <w:spacing w:after="0" w:line="360" w:lineRule="auto"/>
        <w:jc w:val="both"/>
        <w:rPr>
          <w:rFonts w:ascii="Times New Roman" w:eastAsia="Calibri" w:hAnsi="Times New Roman" w:cs="Times New Roman"/>
          <w:b/>
        </w:rPr>
      </w:pPr>
      <w:r w:rsidRPr="00A1085C">
        <w:rPr>
          <w:rFonts w:ascii="Times New Roman" w:eastAsia="Calibri" w:hAnsi="Times New Roman" w:cs="Times New Roman"/>
          <w:b/>
        </w:rPr>
        <w:lastRenderedPageBreak/>
        <w:t>v) Vanadium</w:t>
      </w:r>
    </w:p>
    <w:p w:rsidR="007E511E" w:rsidRPr="00A1085C" w:rsidRDefault="007E511E" w:rsidP="00BF57EB">
      <w:pPr>
        <w:jc w:val="both"/>
        <w:rPr>
          <w:rFonts w:ascii="Times New Roman" w:eastAsia="Calibri" w:hAnsi="Times New Roman" w:cs="Times New Roman"/>
        </w:rPr>
      </w:pPr>
      <w:bookmarkStart w:id="59" w:name="_Toc474486519"/>
      <w:bookmarkStart w:id="60" w:name="_Toc495852689"/>
      <w:r w:rsidRPr="00BF57EB">
        <w:rPr>
          <w:rFonts w:ascii="Times New Roman" w:hAnsi="Times New Roman" w:cs="Times New Roman"/>
        </w:rPr>
        <w:t xml:space="preserve">Table </w:t>
      </w:r>
      <w:r w:rsidR="009A0ED7" w:rsidRPr="00BF57EB">
        <w:rPr>
          <w:rFonts w:ascii="Times New Roman" w:hAnsi="Times New Roman" w:cs="Times New Roman"/>
        </w:rPr>
        <w:fldChar w:fldCharType="begin"/>
      </w:r>
      <w:r w:rsidRPr="00BF57EB">
        <w:rPr>
          <w:rFonts w:ascii="Times New Roman" w:hAnsi="Times New Roman" w:cs="Times New Roman"/>
        </w:rPr>
        <w:instrText xml:space="preserve"> SEQ Table \* ARABIC </w:instrText>
      </w:r>
      <w:r w:rsidR="009A0ED7" w:rsidRPr="00BF57EB">
        <w:rPr>
          <w:rFonts w:ascii="Times New Roman" w:hAnsi="Times New Roman" w:cs="Times New Roman"/>
        </w:rPr>
        <w:fldChar w:fldCharType="separate"/>
      </w:r>
      <w:r w:rsidR="009F5483">
        <w:rPr>
          <w:rFonts w:ascii="Times New Roman" w:hAnsi="Times New Roman" w:cs="Times New Roman"/>
          <w:noProof/>
        </w:rPr>
        <w:t>11</w:t>
      </w:r>
      <w:r w:rsidR="009A0ED7" w:rsidRPr="00BF57EB">
        <w:rPr>
          <w:rFonts w:ascii="Times New Roman" w:hAnsi="Times New Roman" w:cs="Times New Roman"/>
        </w:rPr>
        <w:fldChar w:fldCharType="end"/>
      </w:r>
      <w:r w:rsidRPr="00BF57EB">
        <w:rPr>
          <w:rFonts w:ascii="Times New Roman" w:hAnsi="Times New Roman" w:cs="Times New Roman"/>
        </w:rPr>
        <w:t xml:space="preserve">. </w:t>
      </w:r>
      <w:r w:rsidR="0006682C" w:rsidRPr="00BF57EB">
        <w:rPr>
          <w:rFonts w:ascii="Times New Roman" w:eastAsia="Calibri" w:hAnsi="Times New Roman" w:cs="Times New Roman"/>
        </w:rPr>
        <w:t>Input data utilised to create global vanadium Sankey diagram</w:t>
      </w:r>
      <w:r w:rsidR="00625D7E" w:rsidRPr="00BF57EB">
        <w:rPr>
          <w:rFonts w:ascii="Times New Roman" w:eastAsia="Calibri" w:hAnsi="Times New Roman" w:cs="Times New Roman"/>
        </w:rPr>
        <w:t xml:space="preserve"> for the year 2014</w:t>
      </w:r>
      <w:r w:rsidR="0006682C" w:rsidRPr="00BF57EB">
        <w:rPr>
          <w:rFonts w:ascii="Times New Roman" w:eastAsia="Calibri" w:hAnsi="Times New Roman" w:cs="Times New Roman"/>
        </w:rPr>
        <w:t>.</w:t>
      </w:r>
      <w:bookmarkEnd w:id="59"/>
      <w:bookmarkEnd w:id="60"/>
    </w:p>
    <w:tbl>
      <w:tblPr>
        <w:tblW w:w="0" w:type="auto"/>
        <w:tblLayout w:type="fixed"/>
        <w:tblLook w:val="04A0" w:firstRow="1" w:lastRow="0" w:firstColumn="1" w:lastColumn="0" w:noHBand="0" w:noVBand="1"/>
      </w:tblPr>
      <w:tblGrid>
        <w:gridCol w:w="1833"/>
        <w:gridCol w:w="3242"/>
        <w:gridCol w:w="1294"/>
        <w:gridCol w:w="1276"/>
        <w:gridCol w:w="1361"/>
      </w:tblGrid>
      <w:tr w:rsidR="00C26CA9" w:rsidRPr="004E6172" w:rsidTr="00A320F0">
        <w:trPr>
          <w:trHeight w:val="315"/>
        </w:trPr>
        <w:tc>
          <w:tcPr>
            <w:tcW w:w="183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C26CA9" w:rsidRPr="004E6172" w:rsidRDefault="00C26CA9" w:rsidP="00A320F0">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Stage</w:t>
            </w:r>
          </w:p>
        </w:tc>
        <w:tc>
          <w:tcPr>
            <w:tcW w:w="3242" w:type="dxa"/>
            <w:tcBorders>
              <w:top w:val="single" w:sz="8" w:space="0" w:color="auto"/>
              <w:left w:val="nil"/>
              <w:bottom w:val="single" w:sz="8" w:space="0" w:color="auto"/>
              <w:right w:val="single" w:sz="8" w:space="0" w:color="auto"/>
            </w:tcBorders>
            <w:shd w:val="clear" w:color="auto" w:fill="auto"/>
            <w:noWrap/>
            <w:vAlign w:val="center"/>
            <w:hideMark/>
          </w:tcPr>
          <w:p w:rsidR="00C26CA9" w:rsidRPr="004E6172" w:rsidRDefault="00C26CA9" w:rsidP="00A320F0">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Source</w:t>
            </w:r>
          </w:p>
        </w:tc>
        <w:tc>
          <w:tcPr>
            <w:tcW w:w="1294" w:type="dxa"/>
            <w:tcBorders>
              <w:top w:val="single" w:sz="8" w:space="0" w:color="auto"/>
              <w:left w:val="nil"/>
              <w:bottom w:val="single" w:sz="8" w:space="0" w:color="auto"/>
              <w:right w:val="single" w:sz="8" w:space="0" w:color="auto"/>
            </w:tcBorders>
            <w:shd w:val="clear" w:color="auto" w:fill="auto"/>
            <w:vAlign w:val="center"/>
            <w:hideMark/>
          </w:tcPr>
          <w:p w:rsidR="00C26CA9" w:rsidRPr="004E6172" w:rsidRDefault="00C26CA9" w:rsidP="00A320F0">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Tonnage (t)</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
          <w:p w:rsidR="00C26CA9" w:rsidRPr="004E6172" w:rsidRDefault="00C26CA9" w:rsidP="00A320F0">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Data Source</w:t>
            </w:r>
          </w:p>
        </w:tc>
        <w:tc>
          <w:tcPr>
            <w:tcW w:w="1361" w:type="dxa"/>
            <w:tcBorders>
              <w:top w:val="single" w:sz="8" w:space="0" w:color="auto"/>
              <w:left w:val="nil"/>
              <w:bottom w:val="single" w:sz="8" w:space="0" w:color="auto"/>
              <w:right w:val="single" w:sz="8" w:space="0" w:color="auto"/>
            </w:tcBorders>
            <w:shd w:val="clear" w:color="auto" w:fill="auto"/>
            <w:noWrap/>
            <w:vAlign w:val="center"/>
            <w:hideMark/>
          </w:tcPr>
          <w:p w:rsidR="00C26CA9" w:rsidRPr="004E6172" w:rsidRDefault="00C26CA9" w:rsidP="00A320F0">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Data Source Year</w:t>
            </w:r>
          </w:p>
        </w:tc>
      </w:tr>
      <w:tr w:rsidR="00361973" w:rsidRPr="004E6172" w:rsidTr="00A320F0">
        <w:trPr>
          <w:trHeight w:val="300"/>
        </w:trPr>
        <w:tc>
          <w:tcPr>
            <w:tcW w:w="1833" w:type="dxa"/>
            <w:tcBorders>
              <w:top w:val="single" w:sz="8" w:space="0" w:color="auto"/>
              <w:left w:val="single" w:sz="8" w:space="0" w:color="auto"/>
              <w:bottom w:val="single" w:sz="8" w:space="0" w:color="000000"/>
              <w:right w:val="single" w:sz="8" w:space="0" w:color="auto"/>
            </w:tcBorders>
            <w:shd w:val="clear" w:color="000000" w:fill="FFFFFF"/>
            <w:noWrap/>
            <w:vAlign w:val="center"/>
          </w:tcPr>
          <w:p w:rsidR="00361973" w:rsidRPr="004E6172" w:rsidRDefault="00361973" w:rsidP="003619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Stage 1 (Extraction)</w:t>
            </w:r>
          </w:p>
        </w:tc>
        <w:tc>
          <w:tcPr>
            <w:tcW w:w="3242" w:type="dxa"/>
            <w:tcBorders>
              <w:top w:val="single" w:sz="8" w:space="0" w:color="auto"/>
              <w:left w:val="nil"/>
              <w:bottom w:val="single" w:sz="4" w:space="0" w:color="auto"/>
              <w:right w:val="single" w:sz="4" w:space="0" w:color="auto"/>
            </w:tcBorders>
            <w:shd w:val="clear" w:color="000000" w:fill="FFFFFF"/>
            <w:noWrap/>
            <w:vAlign w:val="center"/>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Global Vanadium Production</w:t>
            </w:r>
          </w:p>
        </w:tc>
        <w:tc>
          <w:tcPr>
            <w:tcW w:w="1294" w:type="dxa"/>
            <w:tcBorders>
              <w:top w:val="single" w:sz="8" w:space="0" w:color="auto"/>
              <w:left w:val="nil"/>
              <w:bottom w:val="single" w:sz="4" w:space="0" w:color="auto"/>
              <w:right w:val="single" w:sz="4" w:space="0" w:color="auto"/>
            </w:tcBorders>
            <w:shd w:val="clear" w:color="000000" w:fill="FFFFFF"/>
            <w:noWrap/>
            <w:vAlign w:val="center"/>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82,710</w:t>
            </w:r>
          </w:p>
        </w:tc>
        <w:tc>
          <w:tcPr>
            <w:tcW w:w="1276" w:type="dxa"/>
            <w:tcBorders>
              <w:top w:val="single" w:sz="8" w:space="0" w:color="auto"/>
              <w:left w:val="nil"/>
              <w:bottom w:val="single" w:sz="4" w:space="0" w:color="auto"/>
              <w:right w:val="single" w:sz="4" w:space="0" w:color="auto"/>
            </w:tcBorders>
            <w:shd w:val="clear" w:color="000000" w:fill="FFFFFF"/>
            <w:noWrap/>
            <w:vAlign w:val="center"/>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USGS MCS</w:t>
            </w:r>
          </w:p>
        </w:tc>
        <w:tc>
          <w:tcPr>
            <w:tcW w:w="1361" w:type="dxa"/>
            <w:tcBorders>
              <w:top w:val="single" w:sz="8" w:space="0" w:color="auto"/>
              <w:left w:val="nil"/>
              <w:bottom w:val="single" w:sz="4" w:space="0" w:color="auto"/>
              <w:right w:val="single" w:sz="8" w:space="0" w:color="auto"/>
            </w:tcBorders>
            <w:shd w:val="clear" w:color="000000" w:fill="FFFFFF"/>
            <w:noWrap/>
            <w:vAlign w:val="center"/>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2014</w:t>
            </w:r>
          </w:p>
        </w:tc>
      </w:tr>
      <w:tr w:rsidR="00361973" w:rsidRPr="004E6172" w:rsidTr="00A320F0">
        <w:trPr>
          <w:trHeight w:val="300"/>
        </w:trPr>
        <w:tc>
          <w:tcPr>
            <w:tcW w:w="1833" w:type="dxa"/>
            <w:vMerge w:val="restart"/>
            <w:tcBorders>
              <w:top w:val="single" w:sz="8" w:space="0" w:color="auto"/>
              <w:left w:val="single" w:sz="8" w:space="0" w:color="auto"/>
              <w:bottom w:val="single" w:sz="8" w:space="0" w:color="000000"/>
              <w:right w:val="single" w:sz="8" w:space="0" w:color="auto"/>
            </w:tcBorders>
            <w:vAlign w:val="center"/>
            <w:hideMark/>
          </w:tcPr>
          <w:p w:rsidR="00361973" w:rsidRPr="004E6172" w:rsidRDefault="00361973" w:rsidP="003619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Stage 2 (Processing)</w:t>
            </w:r>
          </w:p>
        </w:tc>
        <w:tc>
          <w:tcPr>
            <w:tcW w:w="3242"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Co-product Steelmaking Slag*</w:t>
            </w:r>
          </w:p>
        </w:tc>
        <w:tc>
          <w:tcPr>
            <w:tcW w:w="1294"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15,715</w:t>
            </w:r>
          </w:p>
        </w:tc>
        <w:tc>
          <w:tcPr>
            <w:tcW w:w="1276"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Atlantic</w:t>
            </w:r>
          </w:p>
        </w:tc>
        <w:tc>
          <w:tcPr>
            <w:tcW w:w="1361" w:type="dxa"/>
            <w:tcBorders>
              <w:top w:val="nil"/>
              <w:left w:val="nil"/>
              <w:bottom w:val="single" w:sz="4" w:space="0" w:color="auto"/>
              <w:right w:val="single" w:sz="8"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2012</w:t>
            </w:r>
          </w:p>
        </w:tc>
      </w:tr>
      <w:tr w:rsidR="00361973" w:rsidRPr="004E6172" w:rsidTr="00A320F0">
        <w:trPr>
          <w:trHeight w:val="300"/>
        </w:trPr>
        <w:tc>
          <w:tcPr>
            <w:tcW w:w="1833" w:type="dxa"/>
            <w:vMerge/>
            <w:tcBorders>
              <w:top w:val="single" w:sz="8" w:space="0" w:color="auto"/>
              <w:left w:val="single" w:sz="8" w:space="0" w:color="auto"/>
              <w:bottom w:val="single" w:sz="8" w:space="0" w:color="000000"/>
              <w:right w:val="single" w:sz="8" w:space="0" w:color="auto"/>
            </w:tcBorders>
            <w:vAlign w:val="center"/>
            <w:hideMark/>
          </w:tcPr>
          <w:p w:rsidR="00361973" w:rsidRPr="004E6172" w:rsidRDefault="00361973" w:rsidP="00361973">
            <w:pPr>
              <w:spacing w:after="0" w:line="240" w:lineRule="auto"/>
              <w:jc w:val="center"/>
              <w:rPr>
                <w:rFonts w:ascii="Times New Roman" w:eastAsia="Times New Roman" w:hAnsi="Times New Roman" w:cs="Times New Roman"/>
                <w:b/>
                <w:bCs/>
                <w:color w:val="000000"/>
              </w:rPr>
            </w:pPr>
          </w:p>
        </w:tc>
        <w:tc>
          <w:tcPr>
            <w:tcW w:w="3242"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Primary V Ores*</w:t>
            </w:r>
          </w:p>
        </w:tc>
        <w:tc>
          <w:tcPr>
            <w:tcW w:w="1294"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66,987</w:t>
            </w:r>
          </w:p>
        </w:tc>
        <w:tc>
          <w:tcPr>
            <w:tcW w:w="1276"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Atlantic</w:t>
            </w:r>
          </w:p>
        </w:tc>
        <w:tc>
          <w:tcPr>
            <w:tcW w:w="1361" w:type="dxa"/>
            <w:tcBorders>
              <w:top w:val="nil"/>
              <w:left w:val="nil"/>
              <w:bottom w:val="single" w:sz="4" w:space="0" w:color="auto"/>
              <w:right w:val="single" w:sz="8"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2012</w:t>
            </w:r>
          </w:p>
        </w:tc>
      </w:tr>
      <w:tr w:rsidR="00361973" w:rsidRPr="004E6172" w:rsidTr="00A320F0">
        <w:trPr>
          <w:trHeight w:val="300"/>
        </w:trPr>
        <w:tc>
          <w:tcPr>
            <w:tcW w:w="1833" w:type="dxa"/>
            <w:vMerge/>
            <w:tcBorders>
              <w:top w:val="single" w:sz="8" w:space="0" w:color="auto"/>
              <w:left w:val="single" w:sz="8" w:space="0" w:color="auto"/>
              <w:bottom w:val="single" w:sz="8" w:space="0" w:color="000000"/>
              <w:right w:val="single" w:sz="8" w:space="0" w:color="auto"/>
            </w:tcBorders>
            <w:vAlign w:val="center"/>
            <w:hideMark/>
          </w:tcPr>
          <w:p w:rsidR="00361973" w:rsidRPr="004E6172" w:rsidRDefault="00361973" w:rsidP="00361973">
            <w:pPr>
              <w:spacing w:after="0" w:line="240" w:lineRule="auto"/>
              <w:jc w:val="center"/>
              <w:rPr>
                <w:rFonts w:ascii="Times New Roman" w:eastAsia="Times New Roman" w:hAnsi="Times New Roman" w:cs="Times New Roman"/>
                <w:b/>
                <w:bCs/>
                <w:color w:val="000000"/>
              </w:rPr>
            </w:pPr>
          </w:p>
        </w:tc>
        <w:tc>
          <w:tcPr>
            <w:tcW w:w="3242"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Secondary Production*</w:t>
            </w:r>
          </w:p>
        </w:tc>
        <w:tc>
          <w:tcPr>
            <w:tcW w:w="1294"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5,269</w:t>
            </w:r>
          </w:p>
        </w:tc>
        <w:tc>
          <w:tcPr>
            <w:tcW w:w="1276"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Atlantic</w:t>
            </w:r>
          </w:p>
        </w:tc>
        <w:tc>
          <w:tcPr>
            <w:tcW w:w="1361" w:type="dxa"/>
            <w:tcBorders>
              <w:top w:val="nil"/>
              <w:left w:val="nil"/>
              <w:bottom w:val="single" w:sz="4" w:space="0" w:color="auto"/>
              <w:right w:val="single" w:sz="8"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2012</w:t>
            </w:r>
          </w:p>
        </w:tc>
      </w:tr>
      <w:tr w:rsidR="00361973" w:rsidRPr="004E6172" w:rsidTr="00A320F0">
        <w:trPr>
          <w:trHeight w:val="315"/>
        </w:trPr>
        <w:tc>
          <w:tcPr>
            <w:tcW w:w="1833" w:type="dxa"/>
            <w:vMerge/>
            <w:tcBorders>
              <w:top w:val="single" w:sz="8" w:space="0" w:color="auto"/>
              <w:left w:val="single" w:sz="8" w:space="0" w:color="auto"/>
              <w:bottom w:val="single" w:sz="8" w:space="0" w:color="000000"/>
              <w:right w:val="single" w:sz="8" w:space="0" w:color="auto"/>
            </w:tcBorders>
            <w:vAlign w:val="center"/>
            <w:hideMark/>
          </w:tcPr>
          <w:p w:rsidR="00361973" w:rsidRPr="004E6172" w:rsidRDefault="00361973" w:rsidP="00361973">
            <w:pPr>
              <w:spacing w:after="0" w:line="240" w:lineRule="auto"/>
              <w:jc w:val="center"/>
              <w:rPr>
                <w:rFonts w:ascii="Times New Roman" w:eastAsia="Times New Roman" w:hAnsi="Times New Roman" w:cs="Times New Roman"/>
                <w:b/>
                <w:bCs/>
                <w:color w:val="000000"/>
              </w:rPr>
            </w:pPr>
          </w:p>
        </w:tc>
        <w:tc>
          <w:tcPr>
            <w:tcW w:w="3242" w:type="dxa"/>
            <w:tcBorders>
              <w:top w:val="nil"/>
              <w:left w:val="nil"/>
              <w:bottom w:val="single" w:sz="8"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Waste</w:t>
            </w:r>
          </w:p>
        </w:tc>
        <w:tc>
          <w:tcPr>
            <w:tcW w:w="1294" w:type="dxa"/>
            <w:tcBorders>
              <w:top w:val="nil"/>
              <w:left w:val="nil"/>
              <w:bottom w:val="single" w:sz="8"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7,444</w:t>
            </w:r>
          </w:p>
        </w:tc>
        <w:tc>
          <w:tcPr>
            <w:tcW w:w="1276" w:type="dxa"/>
            <w:tcBorders>
              <w:top w:val="nil"/>
              <w:left w:val="nil"/>
              <w:bottom w:val="single" w:sz="8"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proofErr w:type="spellStart"/>
            <w:r w:rsidRPr="004E6172">
              <w:rPr>
                <w:rFonts w:ascii="Times New Roman" w:eastAsia="Times New Roman" w:hAnsi="Times New Roman" w:cs="Times New Roman"/>
                <w:color w:val="000000"/>
              </w:rPr>
              <w:t>Hillard</w:t>
            </w:r>
            <w:proofErr w:type="spellEnd"/>
          </w:p>
        </w:tc>
        <w:tc>
          <w:tcPr>
            <w:tcW w:w="1361" w:type="dxa"/>
            <w:tcBorders>
              <w:top w:val="nil"/>
              <w:left w:val="nil"/>
              <w:bottom w:val="single" w:sz="8" w:space="0" w:color="auto"/>
              <w:right w:val="single" w:sz="8"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2004</w:t>
            </w:r>
          </w:p>
        </w:tc>
      </w:tr>
      <w:tr w:rsidR="00361973" w:rsidRPr="004E6172" w:rsidTr="00A320F0">
        <w:trPr>
          <w:trHeight w:val="300"/>
        </w:trPr>
        <w:tc>
          <w:tcPr>
            <w:tcW w:w="1833"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Stage 3</w:t>
            </w:r>
          </w:p>
          <w:p w:rsidR="00361973" w:rsidRPr="004E6172" w:rsidRDefault="00361973" w:rsidP="00361973">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(Intermediate Applications)</w:t>
            </w:r>
          </w:p>
        </w:tc>
        <w:tc>
          <w:tcPr>
            <w:tcW w:w="3242"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Steel Alloying*</w:t>
            </w:r>
          </w:p>
        </w:tc>
        <w:tc>
          <w:tcPr>
            <w:tcW w:w="1294"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66,987</w:t>
            </w:r>
          </w:p>
        </w:tc>
        <w:tc>
          <w:tcPr>
            <w:tcW w:w="1276"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Atlantic</w:t>
            </w:r>
          </w:p>
        </w:tc>
        <w:tc>
          <w:tcPr>
            <w:tcW w:w="1361" w:type="dxa"/>
            <w:tcBorders>
              <w:top w:val="nil"/>
              <w:left w:val="nil"/>
              <w:bottom w:val="single" w:sz="4" w:space="0" w:color="auto"/>
              <w:right w:val="single" w:sz="8"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2010</w:t>
            </w:r>
          </w:p>
        </w:tc>
      </w:tr>
      <w:tr w:rsidR="00361973" w:rsidRPr="004E6172" w:rsidTr="00A320F0">
        <w:trPr>
          <w:trHeight w:val="300"/>
        </w:trPr>
        <w:tc>
          <w:tcPr>
            <w:tcW w:w="1833" w:type="dxa"/>
            <w:vMerge/>
            <w:tcBorders>
              <w:top w:val="nil"/>
              <w:left w:val="single" w:sz="8" w:space="0" w:color="auto"/>
              <w:bottom w:val="single" w:sz="8" w:space="0" w:color="000000"/>
              <w:right w:val="single" w:sz="8" w:space="0" w:color="auto"/>
            </w:tcBorders>
            <w:vAlign w:val="center"/>
            <w:hideMark/>
          </w:tcPr>
          <w:p w:rsidR="00361973" w:rsidRPr="004E6172" w:rsidRDefault="00361973" w:rsidP="00361973">
            <w:pPr>
              <w:spacing w:after="0" w:line="240" w:lineRule="auto"/>
              <w:jc w:val="center"/>
              <w:rPr>
                <w:rFonts w:ascii="Times New Roman" w:eastAsia="Times New Roman" w:hAnsi="Times New Roman" w:cs="Times New Roman"/>
                <w:b/>
                <w:bCs/>
                <w:color w:val="000000"/>
              </w:rPr>
            </w:pPr>
          </w:p>
        </w:tc>
        <w:tc>
          <w:tcPr>
            <w:tcW w:w="3242"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High Performance Alloys*</w:t>
            </w:r>
          </w:p>
        </w:tc>
        <w:tc>
          <w:tcPr>
            <w:tcW w:w="1294"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5,269</w:t>
            </w:r>
          </w:p>
        </w:tc>
        <w:tc>
          <w:tcPr>
            <w:tcW w:w="1276"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Atlantic</w:t>
            </w:r>
          </w:p>
        </w:tc>
        <w:tc>
          <w:tcPr>
            <w:tcW w:w="1361" w:type="dxa"/>
            <w:tcBorders>
              <w:top w:val="nil"/>
              <w:left w:val="nil"/>
              <w:bottom w:val="single" w:sz="4" w:space="0" w:color="auto"/>
              <w:right w:val="single" w:sz="8"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2010</w:t>
            </w:r>
          </w:p>
        </w:tc>
      </w:tr>
      <w:tr w:rsidR="00361973" w:rsidRPr="004E6172" w:rsidTr="00A320F0">
        <w:trPr>
          <w:trHeight w:val="315"/>
        </w:trPr>
        <w:tc>
          <w:tcPr>
            <w:tcW w:w="1833" w:type="dxa"/>
            <w:vMerge/>
            <w:tcBorders>
              <w:top w:val="nil"/>
              <w:left w:val="single" w:sz="8" w:space="0" w:color="auto"/>
              <w:bottom w:val="single" w:sz="8" w:space="0" w:color="000000"/>
              <w:right w:val="single" w:sz="8" w:space="0" w:color="auto"/>
            </w:tcBorders>
            <w:vAlign w:val="center"/>
            <w:hideMark/>
          </w:tcPr>
          <w:p w:rsidR="00361973" w:rsidRPr="004E6172" w:rsidRDefault="00361973" w:rsidP="00361973">
            <w:pPr>
              <w:spacing w:after="0" w:line="240" w:lineRule="auto"/>
              <w:jc w:val="center"/>
              <w:rPr>
                <w:rFonts w:ascii="Times New Roman" w:eastAsia="Times New Roman" w:hAnsi="Times New Roman" w:cs="Times New Roman"/>
                <w:b/>
                <w:bCs/>
                <w:color w:val="000000"/>
              </w:rPr>
            </w:pPr>
          </w:p>
        </w:tc>
        <w:tc>
          <w:tcPr>
            <w:tcW w:w="3242" w:type="dxa"/>
            <w:tcBorders>
              <w:top w:val="nil"/>
              <w:left w:val="nil"/>
              <w:bottom w:val="single" w:sz="8"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Vanadium Chemicals*</w:t>
            </w:r>
          </w:p>
        </w:tc>
        <w:tc>
          <w:tcPr>
            <w:tcW w:w="1294" w:type="dxa"/>
            <w:tcBorders>
              <w:top w:val="nil"/>
              <w:left w:val="nil"/>
              <w:bottom w:val="single" w:sz="8"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3,011</w:t>
            </w:r>
          </w:p>
        </w:tc>
        <w:tc>
          <w:tcPr>
            <w:tcW w:w="1276" w:type="dxa"/>
            <w:tcBorders>
              <w:top w:val="nil"/>
              <w:left w:val="nil"/>
              <w:bottom w:val="single" w:sz="8"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Atlantic</w:t>
            </w:r>
          </w:p>
        </w:tc>
        <w:tc>
          <w:tcPr>
            <w:tcW w:w="1361" w:type="dxa"/>
            <w:tcBorders>
              <w:top w:val="nil"/>
              <w:left w:val="nil"/>
              <w:bottom w:val="single" w:sz="8" w:space="0" w:color="auto"/>
              <w:right w:val="single" w:sz="8"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2010</w:t>
            </w:r>
          </w:p>
        </w:tc>
      </w:tr>
      <w:tr w:rsidR="00361973" w:rsidRPr="004E6172" w:rsidTr="00A320F0">
        <w:trPr>
          <w:trHeight w:val="300"/>
        </w:trPr>
        <w:tc>
          <w:tcPr>
            <w:tcW w:w="1833"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Stage 4</w:t>
            </w:r>
          </w:p>
          <w:p w:rsidR="00361973" w:rsidRPr="004E6172" w:rsidRDefault="00361973" w:rsidP="00361973">
            <w:pPr>
              <w:spacing w:after="0" w:line="240" w:lineRule="auto"/>
              <w:jc w:val="center"/>
              <w:rPr>
                <w:rFonts w:ascii="Times New Roman" w:eastAsia="Times New Roman" w:hAnsi="Times New Roman" w:cs="Times New Roman"/>
                <w:b/>
                <w:bCs/>
                <w:color w:val="000000"/>
              </w:rPr>
            </w:pPr>
            <w:r w:rsidRPr="004E6172">
              <w:rPr>
                <w:rFonts w:ascii="Times New Roman" w:eastAsia="Times New Roman" w:hAnsi="Times New Roman" w:cs="Times New Roman"/>
                <w:b/>
                <w:bCs/>
                <w:color w:val="000000"/>
              </w:rPr>
              <w:t>(Demand by Application)</w:t>
            </w:r>
          </w:p>
        </w:tc>
        <w:tc>
          <w:tcPr>
            <w:tcW w:w="3242"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HSLA Steel*</w:t>
            </w:r>
          </w:p>
        </w:tc>
        <w:tc>
          <w:tcPr>
            <w:tcW w:w="1294"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45,160</w:t>
            </w:r>
          </w:p>
        </w:tc>
        <w:tc>
          <w:tcPr>
            <w:tcW w:w="1276"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Atlantic</w:t>
            </w:r>
          </w:p>
        </w:tc>
        <w:tc>
          <w:tcPr>
            <w:tcW w:w="1361" w:type="dxa"/>
            <w:tcBorders>
              <w:top w:val="nil"/>
              <w:left w:val="nil"/>
              <w:bottom w:val="single" w:sz="4" w:space="0" w:color="auto"/>
              <w:right w:val="single" w:sz="8"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2012</w:t>
            </w:r>
          </w:p>
        </w:tc>
      </w:tr>
      <w:tr w:rsidR="00361973" w:rsidRPr="004E6172" w:rsidTr="00A320F0">
        <w:trPr>
          <w:trHeight w:val="300"/>
        </w:trPr>
        <w:tc>
          <w:tcPr>
            <w:tcW w:w="1833" w:type="dxa"/>
            <w:vMerge/>
            <w:tcBorders>
              <w:top w:val="nil"/>
              <w:left w:val="single" w:sz="8" w:space="0" w:color="auto"/>
              <w:bottom w:val="single" w:sz="8" w:space="0" w:color="000000"/>
              <w:right w:val="single" w:sz="8" w:space="0" w:color="auto"/>
            </w:tcBorders>
            <w:vAlign w:val="center"/>
            <w:hideMark/>
          </w:tcPr>
          <w:p w:rsidR="00361973" w:rsidRPr="004E6172" w:rsidRDefault="00361973" w:rsidP="00361973">
            <w:pPr>
              <w:spacing w:after="0" w:line="240" w:lineRule="auto"/>
              <w:jc w:val="center"/>
              <w:rPr>
                <w:rFonts w:ascii="Times New Roman" w:eastAsia="Times New Roman" w:hAnsi="Times New Roman" w:cs="Times New Roman"/>
                <w:b/>
                <w:bCs/>
                <w:color w:val="000000"/>
              </w:rPr>
            </w:pPr>
          </w:p>
        </w:tc>
        <w:tc>
          <w:tcPr>
            <w:tcW w:w="3242"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Special Steel*</w:t>
            </w:r>
          </w:p>
        </w:tc>
        <w:tc>
          <w:tcPr>
            <w:tcW w:w="1294"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22,580</w:t>
            </w:r>
          </w:p>
        </w:tc>
        <w:tc>
          <w:tcPr>
            <w:tcW w:w="1276"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Atlantic</w:t>
            </w:r>
          </w:p>
        </w:tc>
        <w:tc>
          <w:tcPr>
            <w:tcW w:w="1361" w:type="dxa"/>
            <w:tcBorders>
              <w:top w:val="nil"/>
              <w:left w:val="nil"/>
              <w:bottom w:val="single" w:sz="4" w:space="0" w:color="auto"/>
              <w:right w:val="single" w:sz="8"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2012</w:t>
            </w:r>
          </w:p>
        </w:tc>
      </w:tr>
      <w:tr w:rsidR="00361973" w:rsidRPr="004E6172" w:rsidTr="00A320F0">
        <w:trPr>
          <w:trHeight w:val="300"/>
        </w:trPr>
        <w:tc>
          <w:tcPr>
            <w:tcW w:w="1833" w:type="dxa"/>
            <w:vMerge/>
            <w:tcBorders>
              <w:top w:val="nil"/>
              <w:left w:val="single" w:sz="8" w:space="0" w:color="auto"/>
              <w:bottom w:val="single" w:sz="8" w:space="0" w:color="000000"/>
              <w:right w:val="single" w:sz="8" w:space="0" w:color="auto"/>
            </w:tcBorders>
            <w:vAlign w:val="center"/>
            <w:hideMark/>
          </w:tcPr>
          <w:p w:rsidR="00361973" w:rsidRPr="004E6172" w:rsidRDefault="00361973" w:rsidP="00361973">
            <w:pPr>
              <w:spacing w:after="0" w:line="240" w:lineRule="auto"/>
              <w:jc w:val="center"/>
              <w:rPr>
                <w:rFonts w:ascii="Times New Roman" w:eastAsia="Times New Roman" w:hAnsi="Times New Roman" w:cs="Times New Roman"/>
                <w:b/>
                <w:bCs/>
                <w:color w:val="000000"/>
              </w:rPr>
            </w:pPr>
          </w:p>
        </w:tc>
        <w:tc>
          <w:tcPr>
            <w:tcW w:w="3242"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Super Alloys/Titanium Alloys*</w:t>
            </w:r>
          </w:p>
        </w:tc>
        <w:tc>
          <w:tcPr>
            <w:tcW w:w="1294"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2,258</w:t>
            </w:r>
          </w:p>
        </w:tc>
        <w:tc>
          <w:tcPr>
            <w:tcW w:w="1276"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Atlantic</w:t>
            </w:r>
          </w:p>
        </w:tc>
        <w:tc>
          <w:tcPr>
            <w:tcW w:w="1361" w:type="dxa"/>
            <w:tcBorders>
              <w:top w:val="nil"/>
              <w:left w:val="nil"/>
              <w:bottom w:val="single" w:sz="4" w:space="0" w:color="auto"/>
              <w:right w:val="single" w:sz="8"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2012</w:t>
            </w:r>
          </w:p>
        </w:tc>
      </w:tr>
      <w:tr w:rsidR="00361973" w:rsidRPr="004E6172" w:rsidTr="00A320F0">
        <w:trPr>
          <w:trHeight w:val="300"/>
        </w:trPr>
        <w:tc>
          <w:tcPr>
            <w:tcW w:w="1833" w:type="dxa"/>
            <w:vMerge/>
            <w:tcBorders>
              <w:top w:val="nil"/>
              <w:left w:val="single" w:sz="8" w:space="0" w:color="auto"/>
              <w:bottom w:val="single" w:sz="8" w:space="0" w:color="000000"/>
              <w:right w:val="single" w:sz="8" w:space="0" w:color="auto"/>
            </w:tcBorders>
            <w:vAlign w:val="center"/>
            <w:hideMark/>
          </w:tcPr>
          <w:p w:rsidR="00361973" w:rsidRPr="004E6172" w:rsidRDefault="00361973" w:rsidP="00361973">
            <w:pPr>
              <w:spacing w:after="0" w:line="240" w:lineRule="auto"/>
              <w:jc w:val="center"/>
              <w:rPr>
                <w:rFonts w:ascii="Times New Roman" w:eastAsia="Times New Roman" w:hAnsi="Times New Roman" w:cs="Times New Roman"/>
                <w:b/>
                <w:bCs/>
                <w:color w:val="000000"/>
              </w:rPr>
            </w:pPr>
          </w:p>
        </w:tc>
        <w:tc>
          <w:tcPr>
            <w:tcW w:w="3242"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Chemicals*</w:t>
            </w:r>
          </w:p>
        </w:tc>
        <w:tc>
          <w:tcPr>
            <w:tcW w:w="1294"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2,258</w:t>
            </w:r>
          </w:p>
        </w:tc>
        <w:tc>
          <w:tcPr>
            <w:tcW w:w="1276"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Atlantic</w:t>
            </w:r>
          </w:p>
        </w:tc>
        <w:tc>
          <w:tcPr>
            <w:tcW w:w="1361" w:type="dxa"/>
            <w:tcBorders>
              <w:top w:val="nil"/>
              <w:left w:val="nil"/>
              <w:bottom w:val="single" w:sz="4" w:space="0" w:color="auto"/>
              <w:right w:val="single" w:sz="8"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2012</w:t>
            </w:r>
          </w:p>
        </w:tc>
      </w:tr>
      <w:tr w:rsidR="00361973" w:rsidRPr="004E6172" w:rsidTr="00A320F0">
        <w:trPr>
          <w:trHeight w:val="300"/>
        </w:trPr>
        <w:tc>
          <w:tcPr>
            <w:tcW w:w="1833" w:type="dxa"/>
            <w:vMerge/>
            <w:tcBorders>
              <w:top w:val="nil"/>
              <w:left w:val="single" w:sz="8" w:space="0" w:color="auto"/>
              <w:bottom w:val="single" w:sz="8" w:space="0" w:color="000000"/>
              <w:right w:val="single" w:sz="8" w:space="0" w:color="auto"/>
            </w:tcBorders>
            <w:vAlign w:val="center"/>
            <w:hideMark/>
          </w:tcPr>
          <w:p w:rsidR="00361973" w:rsidRPr="004E6172" w:rsidRDefault="00361973" w:rsidP="00361973">
            <w:pPr>
              <w:spacing w:after="0" w:line="240" w:lineRule="auto"/>
              <w:jc w:val="center"/>
              <w:rPr>
                <w:rFonts w:ascii="Times New Roman" w:eastAsia="Times New Roman" w:hAnsi="Times New Roman" w:cs="Times New Roman"/>
                <w:b/>
                <w:bCs/>
                <w:color w:val="000000"/>
              </w:rPr>
            </w:pPr>
          </w:p>
        </w:tc>
        <w:tc>
          <w:tcPr>
            <w:tcW w:w="3242"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Cast Iron*</w:t>
            </w:r>
          </w:p>
        </w:tc>
        <w:tc>
          <w:tcPr>
            <w:tcW w:w="1294"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1,505</w:t>
            </w:r>
          </w:p>
        </w:tc>
        <w:tc>
          <w:tcPr>
            <w:tcW w:w="1276"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Atlantic</w:t>
            </w:r>
          </w:p>
        </w:tc>
        <w:tc>
          <w:tcPr>
            <w:tcW w:w="1361" w:type="dxa"/>
            <w:tcBorders>
              <w:top w:val="nil"/>
              <w:left w:val="nil"/>
              <w:bottom w:val="single" w:sz="4" w:space="0" w:color="auto"/>
              <w:right w:val="single" w:sz="8"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2012</w:t>
            </w:r>
          </w:p>
        </w:tc>
      </w:tr>
      <w:tr w:rsidR="00361973" w:rsidRPr="004E6172" w:rsidTr="00A320F0">
        <w:trPr>
          <w:trHeight w:val="300"/>
        </w:trPr>
        <w:tc>
          <w:tcPr>
            <w:tcW w:w="1833" w:type="dxa"/>
            <w:vMerge/>
            <w:tcBorders>
              <w:top w:val="nil"/>
              <w:left w:val="single" w:sz="8" w:space="0" w:color="auto"/>
              <w:bottom w:val="single" w:sz="8" w:space="0" w:color="000000"/>
              <w:right w:val="single" w:sz="8" w:space="0" w:color="auto"/>
            </w:tcBorders>
            <w:vAlign w:val="center"/>
            <w:hideMark/>
          </w:tcPr>
          <w:p w:rsidR="00361973" w:rsidRPr="004E6172" w:rsidRDefault="00361973" w:rsidP="00361973">
            <w:pPr>
              <w:spacing w:after="0" w:line="240" w:lineRule="auto"/>
              <w:jc w:val="center"/>
              <w:rPr>
                <w:rFonts w:ascii="Times New Roman" w:eastAsia="Times New Roman" w:hAnsi="Times New Roman" w:cs="Times New Roman"/>
                <w:b/>
                <w:bCs/>
                <w:color w:val="000000"/>
              </w:rPr>
            </w:pPr>
          </w:p>
        </w:tc>
        <w:tc>
          <w:tcPr>
            <w:tcW w:w="3242"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Energy Storage*</w:t>
            </w:r>
          </w:p>
        </w:tc>
        <w:tc>
          <w:tcPr>
            <w:tcW w:w="1294"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753</w:t>
            </w:r>
          </w:p>
        </w:tc>
        <w:tc>
          <w:tcPr>
            <w:tcW w:w="1276" w:type="dxa"/>
            <w:tcBorders>
              <w:top w:val="nil"/>
              <w:left w:val="nil"/>
              <w:bottom w:val="single" w:sz="4"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Atlantic</w:t>
            </w:r>
          </w:p>
        </w:tc>
        <w:tc>
          <w:tcPr>
            <w:tcW w:w="1361" w:type="dxa"/>
            <w:tcBorders>
              <w:top w:val="nil"/>
              <w:left w:val="nil"/>
              <w:bottom w:val="single" w:sz="4" w:space="0" w:color="auto"/>
              <w:right w:val="single" w:sz="8"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2012</w:t>
            </w:r>
          </w:p>
        </w:tc>
      </w:tr>
      <w:tr w:rsidR="00361973" w:rsidRPr="004E6172" w:rsidTr="00A320F0">
        <w:trPr>
          <w:trHeight w:val="315"/>
        </w:trPr>
        <w:tc>
          <w:tcPr>
            <w:tcW w:w="1833" w:type="dxa"/>
            <w:vMerge/>
            <w:tcBorders>
              <w:top w:val="nil"/>
              <w:left w:val="single" w:sz="8" w:space="0" w:color="auto"/>
              <w:bottom w:val="single" w:sz="8" w:space="0" w:color="000000"/>
              <w:right w:val="single" w:sz="8" w:space="0" w:color="auto"/>
            </w:tcBorders>
            <w:vAlign w:val="center"/>
            <w:hideMark/>
          </w:tcPr>
          <w:p w:rsidR="00361973" w:rsidRPr="004E6172" w:rsidRDefault="00361973" w:rsidP="00361973">
            <w:pPr>
              <w:spacing w:after="0" w:line="240" w:lineRule="auto"/>
              <w:jc w:val="center"/>
              <w:rPr>
                <w:rFonts w:ascii="Times New Roman" w:eastAsia="Times New Roman" w:hAnsi="Times New Roman" w:cs="Times New Roman"/>
                <w:b/>
                <w:bCs/>
                <w:color w:val="000000"/>
              </w:rPr>
            </w:pPr>
          </w:p>
        </w:tc>
        <w:tc>
          <w:tcPr>
            <w:tcW w:w="3242" w:type="dxa"/>
            <w:tcBorders>
              <w:top w:val="nil"/>
              <w:left w:val="nil"/>
              <w:bottom w:val="single" w:sz="8"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Stainless Steel*</w:t>
            </w:r>
          </w:p>
        </w:tc>
        <w:tc>
          <w:tcPr>
            <w:tcW w:w="1294" w:type="dxa"/>
            <w:tcBorders>
              <w:top w:val="nil"/>
              <w:left w:val="nil"/>
              <w:bottom w:val="single" w:sz="8"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753</w:t>
            </w:r>
          </w:p>
        </w:tc>
        <w:tc>
          <w:tcPr>
            <w:tcW w:w="1276" w:type="dxa"/>
            <w:tcBorders>
              <w:top w:val="nil"/>
              <w:left w:val="nil"/>
              <w:bottom w:val="single" w:sz="8" w:space="0" w:color="auto"/>
              <w:right w:val="single" w:sz="4"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Atlantic</w:t>
            </w:r>
          </w:p>
        </w:tc>
        <w:tc>
          <w:tcPr>
            <w:tcW w:w="1361" w:type="dxa"/>
            <w:tcBorders>
              <w:top w:val="nil"/>
              <w:left w:val="nil"/>
              <w:bottom w:val="single" w:sz="8" w:space="0" w:color="auto"/>
              <w:right w:val="single" w:sz="8" w:space="0" w:color="auto"/>
            </w:tcBorders>
            <w:shd w:val="clear" w:color="000000" w:fill="FFFFFF"/>
            <w:noWrap/>
            <w:vAlign w:val="center"/>
            <w:hideMark/>
          </w:tcPr>
          <w:p w:rsidR="00361973" w:rsidRPr="004E6172" w:rsidRDefault="00361973" w:rsidP="00361973">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2012</w:t>
            </w:r>
          </w:p>
        </w:tc>
      </w:tr>
    </w:tbl>
    <w:p w:rsidR="007E511E" w:rsidRPr="00A1085C" w:rsidRDefault="007E511E" w:rsidP="0006682C">
      <w:pPr>
        <w:spacing w:line="360" w:lineRule="auto"/>
        <w:jc w:val="both"/>
        <w:rPr>
          <w:rFonts w:ascii="Times New Roman" w:eastAsia="Calibri" w:hAnsi="Times New Roman" w:cs="Times New Roman"/>
        </w:rPr>
      </w:pPr>
      <w:r w:rsidRPr="00A1085C">
        <w:rPr>
          <w:rFonts w:ascii="Times New Roman" w:eastAsia="Calibri" w:hAnsi="Times New Roman" w:cs="Times New Roman"/>
        </w:rPr>
        <w:t xml:space="preserve"> </w:t>
      </w:r>
      <w:r w:rsidR="0006682C" w:rsidRPr="00A1085C">
        <w:rPr>
          <w:rFonts w:ascii="Times New Roman" w:eastAsia="Calibri" w:hAnsi="Times New Roman" w:cs="Times New Roman"/>
        </w:rPr>
        <w:t xml:space="preserve">Note </w:t>
      </w:r>
      <w:r w:rsidRPr="00A1085C">
        <w:rPr>
          <w:rFonts w:ascii="Times New Roman" w:eastAsia="Calibri" w:hAnsi="Times New Roman" w:cs="Times New Roman"/>
        </w:rPr>
        <w:t>*Corr</w:t>
      </w:r>
      <w:r w:rsidR="008C01B1" w:rsidRPr="00A1085C">
        <w:rPr>
          <w:rFonts w:ascii="Times New Roman" w:eastAsia="Calibri" w:hAnsi="Times New Roman" w:cs="Times New Roman"/>
        </w:rPr>
        <w:t>esponds to data generated from percentage</w:t>
      </w:r>
      <w:r w:rsidRPr="00A1085C">
        <w:rPr>
          <w:rFonts w:ascii="Times New Roman" w:eastAsia="Calibri" w:hAnsi="Times New Roman" w:cs="Times New Roman"/>
        </w:rPr>
        <w:t xml:space="preserve"> data from non-2014 sou</w:t>
      </w:r>
      <w:r w:rsidR="008C01B1" w:rsidRPr="00A1085C">
        <w:rPr>
          <w:rFonts w:ascii="Times New Roman" w:eastAsia="Calibri" w:hAnsi="Times New Roman" w:cs="Times New Roman"/>
        </w:rPr>
        <w:t xml:space="preserve">rces applied to 2014 vanadium </w:t>
      </w:r>
      <w:r w:rsidR="00744620" w:rsidRPr="00A1085C">
        <w:rPr>
          <w:rFonts w:ascii="Times New Roman" w:eastAsia="Calibri" w:hAnsi="Times New Roman" w:cs="Times New Roman"/>
        </w:rPr>
        <w:t>tonnages</w:t>
      </w:r>
      <w:r w:rsidR="008C01B1" w:rsidRPr="00A1085C">
        <w:rPr>
          <w:rFonts w:ascii="Times New Roman" w:eastAsia="Calibri" w:hAnsi="Times New Roman" w:cs="Times New Roman"/>
        </w:rPr>
        <w:t>.</w:t>
      </w:r>
    </w:p>
    <w:p w:rsidR="008C01B1" w:rsidRPr="00BF57EB" w:rsidRDefault="007E511E" w:rsidP="0006682C">
      <w:pPr>
        <w:spacing w:after="0" w:line="360" w:lineRule="auto"/>
        <w:ind w:firstLine="720"/>
        <w:contextualSpacing/>
        <w:jc w:val="both"/>
        <w:rPr>
          <w:rFonts w:ascii="Times New Roman" w:eastAsia="Calibri" w:hAnsi="Times New Roman" w:cs="Times New Roman"/>
        </w:rPr>
      </w:pPr>
      <w:r w:rsidRPr="00BF57EB">
        <w:rPr>
          <w:rFonts w:ascii="Times New Roman" w:eastAsia="Calibri" w:hAnsi="Times New Roman" w:cs="Times New Roman"/>
        </w:rPr>
        <w:t xml:space="preserve">In order to calculate vanadium extraction, 3 primary production routes namely co-product steel making slag, primary vanadium ores and secondary production were </w:t>
      </w:r>
      <w:r w:rsidR="008C01B1" w:rsidRPr="00BF57EB">
        <w:rPr>
          <w:rFonts w:ascii="Times New Roman" w:eastAsia="Calibri" w:hAnsi="Times New Roman" w:cs="Times New Roman"/>
        </w:rPr>
        <w:t>identified</w:t>
      </w:r>
      <w:r w:rsidRPr="00BF57EB">
        <w:rPr>
          <w:rFonts w:ascii="Times New Roman" w:eastAsia="Calibri" w:hAnsi="Times New Roman" w:cs="Times New Roman"/>
        </w:rPr>
        <w:t>.</w:t>
      </w:r>
      <w:r w:rsidR="008C01B1" w:rsidRPr="00BF57EB">
        <w:rPr>
          <w:rFonts w:ascii="Times New Roman" w:eastAsia="Calibri" w:hAnsi="Times New Roman" w:cs="Times New Roman"/>
        </w:rPr>
        <w:t xml:space="preserve"> For each route, the tonnage of vanadium was calculated by multiplication of global vanadium production data against percentage data for each route provided by </w:t>
      </w:r>
      <w:r w:rsidR="008C01B1" w:rsidRPr="00BF57EB">
        <w:rPr>
          <w:rFonts w:ascii="Times New Roman" w:eastAsia="Calibri" w:hAnsi="Times New Roman" w:cs="Times New Roman"/>
          <w:noProof/>
        </w:rPr>
        <w:t>(Atlantic 2013)</w:t>
      </w:r>
      <w:r w:rsidR="008C01B1" w:rsidRPr="00BF57EB">
        <w:rPr>
          <w:rFonts w:ascii="Times New Roman" w:eastAsia="Calibri" w:hAnsi="Times New Roman" w:cs="Times New Roman"/>
        </w:rPr>
        <w:t>.</w:t>
      </w:r>
    </w:p>
    <w:p w:rsidR="00B96FBC" w:rsidRPr="00BF57EB" w:rsidRDefault="007E511E" w:rsidP="0006682C">
      <w:pPr>
        <w:spacing w:after="0" w:line="360" w:lineRule="auto"/>
        <w:ind w:firstLine="720"/>
        <w:contextualSpacing/>
        <w:jc w:val="both"/>
        <w:rPr>
          <w:rFonts w:ascii="Times New Roman" w:eastAsia="Calibri" w:hAnsi="Times New Roman" w:cs="Times New Roman"/>
        </w:rPr>
      </w:pPr>
      <w:r w:rsidRPr="00BF57EB">
        <w:rPr>
          <w:rFonts w:ascii="Times New Roman" w:eastAsia="Calibri" w:hAnsi="Times New Roman" w:cs="Times New Roman"/>
        </w:rPr>
        <w:t xml:space="preserve"> </w:t>
      </w:r>
      <w:r w:rsidR="009C0B5D" w:rsidRPr="00BF57EB">
        <w:rPr>
          <w:rFonts w:ascii="Times New Roman" w:eastAsia="Calibri" w:hAnsi="Times New Roman" w:cs="Times New Roman"/>
        </w:rPr>
        <w:t xml:space="preserve">Since none of the previously mentioned </w:t>
      </w:r>
      <w:r w:rsidR="008C01B1" w:rsidRPr="00BF57EB">
        <w:rPr>
          <w:rFonts w:ascii="Times New Roman" w:eastAsia="Calibri" w:hAnsi="Times New Roman" w:cs="Times New Roman"/>
        </w:rPr>
        <w:t>process</w:t>
      </w:r>
      <w:r w:rsidR="00E1615B">
        <w:rPr>
          <w:rFonts w:ascii="Times New Roman" w:eastAsia="Calibri" w:hAnsi="Times New Roman" w:cs="Times New Roman"/>
        </w:rPr>
        <w:t>es</w:t>
      </w:r>
      <w:r w:rsidR="008C01B1" w:rsidRPr="00BF57EB">
        <w:rPr>
          <w:rFonts w:ascii="Times New Roman" w:eastAsia="Calibri" w:hAnsi="Times New Roman" w:cs="Times New Roman"/>
        </w:rPr>
        <w:t xml:space="preserve"> are 100% efficient</w:t>
      </w:r>
      <w:r w:rsidR="009C0B5D" w:rsidRPr="00BF57EB">
        <w:rPr>
          <w:rFonts w:ascii="Times New Roman" w:eastAsia="Calibri" w:hAnsi="Times New Roman" w:cs="Times New Roman"/>
        </w:rPr>
        <w:t xml:space="preserve">, an efficiency of 91% from </w:t>
      </w:r>
      <w:r w:rsidR="009C0B5D" w:rsidRPr="00BF57EB">
        <w:rPr>
          <w:rFonts w:ascii="Times New Roman" w:eastAsia="Calibri" w:hAnsi="Times New Roman" w:cs="Times New Roman"/>
          <w:noProof/>
        </w:rPr>
        <w:t>(Hilliard 1994)</w:t>
      </w:r>
      <w:r w:rsidR="009C0B5D" w:rsidRPr="00BF57EB">
        <w:rPr>
          <w:rFonts w:ascii="Times New Roman" w:eastAsia="Calibri" w:hAnsi="Times New Roman" w:cs="Times New Roman"/>
        </w:rPr>
        <w:t xml:space="preserve"> for vanadium producing plants producing vanadium pentoxide was assumed and included in the calculations. Summarising, from vanadium extraction 75,266t of vanadium pentoxide was calculated.</w:t>
      </w:r>
    </w:p>
    <w:p w:rsidR="007E511E" w:rsidRPr="00BF57EB" w:rsidRDefault="007E511E" w:rsidP="0006682C">
      <w:pPr>
        <w:spacing w:after="0" w:line="360" w:lineRule="auto"/>
        <w:ind w:firstLine="720"/>
        <w:contextualSpacing/>
        <w:jc w:val="both"/>
        <w:rPr>
          <w:rFonts w:ascii="Times New Roman" w:eastAsia="Calibri" w:hAnsi="Times New Roman" w:cs="Times New Roman"/>
        </w:rPr>
      </w:pPr>
      <w:r w:rsidRPr="00BF57EB">
        <w:rPr>
          <w:rFonts w:ascii="Times New Roman" w:eastAsia="Calibri" w:hAnsi="Times New Roman" w:cs="Times New Roman"/>
        </w:rPr>
        <w:t xml:space="preserve">Assuming the vanadium pentoxide value of 75,266t as 100%, the relevant intermediate applications namely, steel alloying, high performance alloys and vanadium chemicals were calculated using percentage breakdown data from </w:t>
      </w:r>
      <w:r w:rsidR="00C917F6" w:rsidRPr="00BF57EB">
        <w:rPr>
          <w:rFonts w:ascii="Times New Roman" w:eastAsia="Calibri" w:hAnsi="Times New Roman" w:cs="Times New Roman"/>
          <w:noProof/>
        </w:rPr>
        <w:t>(Atlantic 2013)</w:t>
      </w:r>
      <w:r w:rsidRPr="00BF57EB">
        <w:rPr>
          <w:rFonts w:ascii="Times New Roman" w:eastAsia="Calibri" w:hAnsi="Times New Roman" w:cs="Times New Roman"/>
        </w:rPr>
        <w:t>.</w:t>
      </w:r>
      <w:r w:rsidR="00B96FBC" w:rsidRPr="00BF57EB">
        <w:rPr>
          <w:rFonts w:ascii="Times New Roman" w:eastAsia="Calibri" w:hAnsi="Times New Roman" w:cs="Times New Roman"/>
        </w:rPr>
        <w:t xml:space="preserve"> </w:t>
      </w:r>
      <w:r w:rsidRPr="00BF57EB">
        <w:rPr>
          <w:rFonts w:ascii="Times New Roman" w:eastAsia="Calibri" w:hAnsi="Times New Roman" w:cs="Times New Roman"/>
        </w:rPr>
        <w:t>Since the majority of intermediate application, approximately 90%, is steel alloying, this was broken down into demand by applicati</w:t>
      </w:r>
      <w:r w:rsidR="00C917F6" w:rsidRPr="00BF57EB">
        <w:rPr>
          <w:rFonts w:ascii="Times New Roman" w:eastAsia="Calibri" w:hAnsi="Times New Roman" w:cs="Times New Roman"/>
        </w:rPr>
        <w:t xml:space="preserve">on, using percentage data </w:t>
      </w:r>
      <w:r w:rsidRPr="00BF57EB">
        <w:rPr>
          <w:rFonts w:ascii="Times New Roman" w:eastAsia="Calibri" w:hAnsi="Times New Roman" w:cs="Times New Roman"/>
        </w:rPr>
        <w:t>available from</w:t>
      </w:r>
      <w:r w:rsidR="00C917F6" w:rsidRPr="00BF57EB">
        <w:rPr>
          <w:rFonts w:ascii="Times New Roman" w:eastAsia="Calibri" w:hAnsi="Times New Roman" w:cs="Times New Roman"/>
        </w:rPr>
        <w:t xml:space="preserve"> </w:t>
      </w:r>
      <w:r w:rsidR="00C917F6" w:rsidRPr="00BF57EB">
        <w:rPr>
          <w:rFonts w:ascii="Times New Roman" w:eastAsia="Calibri" w:hAnsi="Times New Roman" w:cs="Times New Roman"/>
          <w:noProof/>
        </w:rPr>
        <w:t>(Atlantic 2013)</w:t>
      </w:r>
      <w:r w:rsidRPr="00BF57EB">
        <w:rPr>
          <w:rFonts w:ascii="Times New Roman" w:eastAsia="Calibri" w:hAnsi="Times New Roman" w:cs="Times New Roman"/>
        </w:rPr>
        <w:t>.</w:t>
      </w:r>
    </w:p>
    <w:p w:rsidR="00BF57EB" w:rsidRDefault="007E511E" w:rsidP="0006682C">
      <w:pPr>
        <w:spacing w:after="0" w:line="360" w:lineRule="auto"/>
        <w:ind w:firstLine="720"/>
        <w:jc w:val="both"/>
        <w:rPr>
          <w:rFonts w:ascii="Times New Roman" w:eastAsia="Calibri" w:hAnsi="Times New Roman" w:cs="Times New Roman"/>
        </w:rPr>
      </w:pPr>
      <w:r w:rsidRPr="00BF57EB">
        <w:rPr>
          <w:rFonts w:ascii="Times New Roman" w:eastAsia="Calibri" w:hAnsi="Times New Roman" w:cs="Times New Roman"/>
        </w:rPr>
        <w:t>Recycling of vanadium is possible, but at this present time, due to a lack of appropriate data, no recycling flows were incorporated into the model.</w:t>
      </w:r>
    </w:p>
    <w:p w:rsidR="007E511E" w:rsidRPr="00BF57EB" w:rsidRDefault="007E511E" w:rsidP="00BF57EB">
      <w:pPr>
        <w:spacing w:after="0" w:line="360" w:lineRule="auto"/>
        <w:jc w:val="both"/>
        <w:rPr>
          <w:rFonts w:ascii="Times New Roman" w:eastAsia="Calibri" w:hAnsi="Times New Roman" w:cs="Times New Roman"/>
        </w:rPr>
      </w:pPr>
      <w:r w:rsidRPr="00BF57EB">
        <w:rPr>
          <w:rFonts w:ascii="Times New Roman" w:eastAsia="Calibri" w:hAnsi="Times New Roman" w:cs="Times New Roman"/>
        </w:rPr>
        <w:t xml:space="preserve"> </w:t>
      </w:r>
    </w:p>
    <w:p w:rsidR="004E77ED" w:rsidRPr="00BF57EB" w:rsidRDefault="004E77ED" w:rsidP="00662415">
      <w:pPr>
        <w:spacing w:after="0" w:line="360" w:lineRule="auto"/>
        <w:jc w:val="both"/>
        <w:rPr>
          <w:rFonts w:ascii="Times New Roman" w:eastAsia="Calibri" w:hAnsi="Times New Roman" w:cs="Times New Roman"/>
          <w:b/>
        </w:rPr>
        <w:sectPr w:rsidR="004E77ED" w:rsidRPr="00BF57EB" w:rsidSect="00C24042">
          <w:pgSz w:w="11906" w:h="16838"/>
          <w:pgMar w:top="1440" w:right="1440" w:bottom="1440" w:left="1440" w:header="708" w:footer="708" w:gutter="0"/>
          <w:cols w:space="708"/>
          <w:docGrid w:linePitch="360"/>
        </w:sectPr>
      </w:pPr>
    </w:p>
    <w:p w:rsidR="006A62D1" w:rsidRPr="00A1085C" w:rsidRDefault="00CC009D" w:rsidP="002E60E6">
      <w:pPr>
        <w:pStyle w:val="Heading2"/>
      </w:pPr>
      <w:r>
        <w:lastRenderedPageBreak/>
        <w:t>4</w:t>
      </w:r>
      <w:r w:rsidR="006A62D1" w:rsidRPr="00A1085C">
        <w:t>.2 Production of global electricity m</w:t>
      </w:r>
      <w:r w:rsidR="00C2046A" w:rsidRPr="00A1085C">
        <w:t xml:space="preserve">odels using </w:t>
      </w:r>
      <w:r w:rsidR="004D2D91">
        <w:t>GaBi</w:t>
      </w:r>
      <w:r w:rsidR="00BF57EB">
        <w:t xml:space="preserve"> software </w:t>
      </w:r>
    </w:p>
    <w:p w:rsidR="008368BF" w:rsidRPr="00BF57EB" w:rsidRDefault="001F1E1D" w:rsidP="0054760E">
      <w:pPr>
        <w:spacing w:after="0" w:line="360" w:lineRule="auto"/>
        <w:ind w:firstLine="720"/>
        <w:jc w:val="both"/>
        <w:rPr>
          <w:rFonts w:ascii="Times New Roman" w:eastAsia="Calibri" w:hAnsi="Times New Roman" w:cs="Times New Roman"/>
        </w:rPr>
      </w:pPr>
      <w:r w:rsidRPr="00BF57EB">
        <w:rPr>
          <w:rFonts w:ascii="Times New Roman" w:eastAsia="Calibri" w:hAnsi="Times New Roman" w:cs="Times New Roman"/>
        </w:rPr>
        <w:t>G</w:t>
      </w:r>
      <w:r w:rsidR="006A62D1" w:rsidRPr="00BF57EB">
        <w:rPr>
          <w:rFonts w:ascii="Times New Roman" w:eastAsia="Calibri" w:hAnsi="Times New Roman" w:cs="Times New Roman"/>
        </w:rPr>
        <w:t>lobal electricity models were created by following</w:t>
      </w:r>
      <w:r w:rsidR="008368BF" w:rsidRPr="00BF57EB">
        <w:rPr>
          <w:rFonts w:ascii="Times New Roman" w:eastAsia="Calibri" w:hAnsi="Times New Roman" w:cs="Times New Roman"/>
        </w:rPr>
        <w:t xml:space="preserve"> LCA ISO 14040/14044 guidelines and utilising LCA software</w:t>
      </w:r>
      <w:r w:rsidR="003214E8" w:rsidRPr="00BF57EB">
        <w:rPr>
          <w:rFonts w:ascii="Times New Roman" w:eastAsia="Calibri" w:hAnsi="Times New Roman" w:cs="Times New Roman"/>
        </w:rPr>
        <w:t xml:space="preserve"> package, called</w:t>
      </w:r>
      <w:r w:rsidR="008368BF" w:rsidRPr="00BF57EB">
        <w:rPr>
          <w:rFonts w:ascii="Times New Roman" w:eastAsia="Calibri" w:hAnsi="Times New Roman" w:cs="Times New Roman"/>
        </w:rPr>
        <w:t xml:space="preserve"> </w:t>
      </w:r>
      <w:r w:rsidR="004D2D91" w:rsidRPr="00BF57EB">
        <w:rPr>
          <w:rFonts w:ascii="Times New Roman" w:eastAsia="Calibri" w:hAnsi="Times New Roman" w:cs="Times New Roman"/>
        </w:rPr>
        <w:t>GaBi</w:t>
      </w:r>
      <w:r w:rsidR="008368BF" w:rsidRPr="00BF57EB">
        <w:rPr>
          <w:rFonts w:ascii="Times New Roman" w:eastAsia="Calibri" w:hAnsi="Times New Roman" w:cs="Times New Roman"/>
        </w:rPr>
        <w:t xml:space="preserve"> version 6.110 </w:t>
      </w:r>
      <w:r w:rsidR="003214E8" w:rsidRPr="00BF57EB">
        <w:rPr>
          <w:rFonts w:ascii="Times New Roman" w:eastAsia="Calibri" w:hAnsi="Times New Roman" w:cs="Times New Roman"/>
        </w:rPr>
        <w:t>from thinkStep.</w:t>
      </w:r>
      <w:r w:rsidR="0054760E" w:rsidRPr="00BF57EB">
        <w:rPr>
          <w:rFonts w:ascii="Times New Roman" w:eastAsia="Calibri" w:hAnsi="Times New Roman" w:cs="Times New Roman"/>
        </w:rPr>
        <w:t xml:space="preserve"> </w:t>
      </w:r>
      <w:r w:rsidR="006A62D1" w:rsidRPr="00BF57EB">
        <w:rPr>
          <w:rFonts w:ascii="Times New Roman" w:eastAsia="Calibri" w:hAnsi="Times New Roman" w:cs="Times New Roman"/>
        </w:rPr>
        <w:t xml:space="preserve">Utilisation of ISO standards allowed a standard method to be </w:t>
      </w:r>
      <w:r w:rsidR="008368BF" w:rsidRPr="00BF57EB">
        <w:rPr>
          <w:rFonts w:ascii="Times New Roman" w:eastAsia="Calibri" w:hAnsi="Times New Roman" w:cs="Times New Roman"/>
        </w:rPr>
        <w:t>followed consisting of 4 distinct steps: defining the goal and scope of the study, gathering data, utilising the data to create models and interpreting the results. In this section, these first two steps are explained in detail with the remaining steps found in the results and discussion section.</w:t>
      </w:r>
    </w:p>
    <w:p w:rsidR="0024780A" w:rsidRPr="00BF57EB" w:rsidRDefault="006A62D1" w:rsidP="00C11DBF">
      <w:pPr>
        <w:spacing w:after="0" w:line="360" w:lineRule="auto"/>
        <w:ind w:firstLine="720"/>
        <w:jc w:val="both"/>
        <w:rPr>
          <w:rFonts w:ascii="Times New Roman" w:eastAsia="Calibri" w:hAnsi="Times New Roman" w:cs="Times New Roman"/>
        </w:rPr>
      </w:pPr>
      <w:r w:rsidRPr="00BF57EB">
        <w:rPr>
          <w:rFonts w:ascii="Times New Roman" w:eastAsia="Calibri" w:hAnsi="Times New Roman" w:cs="Times New Roman"/>
        </w:rPr>
        <w:t xml:space="preserve"> </w:t>
      </w:r>
      <w:r w:rsidR="0085521D" w:rsidRPr="00BF57EB">
        <w:rPr>
          <w:rFonts w:ascii="Times New Roman" w:eastAsia="Calibri" w:hAnsi="Times New Roman" w:cs="Times New Roman"/>
        </w:rPr>
        <w:t>To begin with t</w:t>
      </w:r>
      <w:r w:rsidRPr="00BF57EB">
        <w:rPr>
          <w:rFonts w:ascii="Times New Roman" w:eastAsia="Calibri" w:hAnsi="Times New Roman" w:cs="Times New Roman"/>
        </w:rPr>
        <w:t>he goal of crea</w:t>
      </w:r>
      <w:r w:rsidR="0085521D" w:rsidRPr="00BF57EB">
        <w:rPr>
          <w:rFonts w:ascii="Times New Roman" w:eastAsia="Calibri" w:hAnsi="Times New Roman" w:cs="Times New Roman"/>
        </w:rPr>
        <w:t>ting global</w:t>
      </w:r>
      <w:r w:rsidR="0054760E" w:rsidRPr="00BF57EB">
        <w:rPr>
          <w:rFonts w:ascii="Times New Roman" w:eastAsia="Calibri" w:hAnsi="Times New Roman" w:cs="Times New Roman"/>
        </w:rPr>
        <w:t xml:space="preserve"> electricity models was</w:t>
      </w:r>
      <w:r w:rsidRPr="00BF57EB">
        <w:rPr>
          <w:rFonts w:ascii="Times New Roman" w:eastAsia="Calibri" w:hAnsi="Times New Roman" w:cs="Times New Roman"/>
        </w:rPr>
        <w:t xml:space="preserve"> firstly, to develop a novel method </w:t>
      </w:r>
      <w:r w:rsidR="0054760E" w:rsidRPr="00BF57EB">
        <w:rPr>
          <w:rFonts w:ascii="Times New Roman" w:eastAsia="Calibri" w:hAnsi="Times New Roman" w:cs="Times New Roman"/>
        </w:rPr>
        <w:t>from which the electricity grid from any country could be created</w:t>
      </w:r>
      <w:r w:rsidRPr="00BF57EB">
        <w:rPr>
          <w:rFonts w:ascii="Times New Roman" w:eastAsia="Calibri" w:hAnsi="Times New Roman" w:cs="Times New Roman"/>
        </w:rPr>
        <w:t>. Secondly to add to literature by having an electricity model based on actual global</w:t>
      </w:r>
      <w:r w:rsidR="0054760E" w:rsidRPr="00BF57EB">
        <w:rPr>
          <w:rFonts w:ascii="Times New Roman" w:eastAsia="Calibri" w:hAnsi="Times New Roman" w:cs="Times New Roman"/>
        </w:rPr>
        <w:t xml:space="preserve"> ferro-alloy</w:t>
      </w:r>
      <w:r w:rsidRPr="00BF57EB">
        <w:rPr>
          <w:rFonts w:ascii="Times New Roman" w:eastAsia="Calibri" w:hAnsi="Times New Roman" w:cs="Times New Roman"/>
        </w:rPr>
        <w:t xml:space="preserve"> production rather than</w:t>
      </w:r>
      <w:r w:rsidR="0054760E" w:rsidRPr="00BF57EB">
        <w:rPr>
          <w:rFonts w:ascii="Times New Roman" w:eastAsia="Calibri" w:hAnsi="Times New Roman" w:cs="Times New Roman"/>
        </w:rPr>
        <w:t xml:space="preserve"> being</w:t>
      </w:r>
      <w:r w:rsidRPr="00BF57EB">
        <w:rPr>
          <w:rFonts w:ascii="Times New Roman" w:eastAsia="Calibri" w:hAnsi="Times New Roman" w:cs="Times New Roman"/>
        </w:rPr>
        <w:t xml:space="preserve"> country </w:t>
      </w:r>
      <w:r w:rsidR="0054760E" w:rsidRPr="00BF57EB">
        <w:rPr>
          <w:rFonts w:ascii="Times New Roman" w:eastAsia="Calibri" w:hAnsi="Times New Roman" w:cs="Times New Roman"/>
        </w:rPr>
        <w:t xml:space="preserve">specific. Thirdly </w:t>
      </w:r>
      <w:r w:rsidR="0024780A" w:rsidRPr="00BF57EB">
        <w:rPr>
          <w:rFonts w:ascii="Times New Roman" w:eastAsia="Calibri" w:hAnsi="Times New Roman" w:cs="Times New Roman"/>
        </w:rPr>
        <w:t>to assess the electricity models</w:t>
      </w:r>
      <w:r w:rsidRPr="00BF57EB">
        <w:rPr>
          <w:rFonts w:ascii="Times New Roman" w:eastAsia="Calibri" w:hAnsi="Times New Roman" w:cs="Times New Roman"/>
        </w:rPr>
        <w:t xml:space="preserve"> against Global Warm</w:t>
      </w:r>
      <w:r w:rsidR="0024780A" w:rsidRPr="00BF57EB">
        <w:rPr>
          <w:rFonts w:ascii="Times New Roman" w:eastAsia="Calibri" w:hAnsi="Times New Roman" w:cs="Times New Roman"/>
        </w:rPr>
        <w:t>ing Potential</w:t>
      </w:r>
      <w:r w:rsidRPr="00BF57EB">
        <w:rPr>
          <w:rFonts w:ascii="Times New Roman" w:eastAsia="Calibri" w:hAnsi="Times New Roman" w:cs="Times New Roman"/>
        </w:rPr>
        <w:t>.</w:t>
      </w:r>
    </w:p>
    <w:p w:rsidR="00483953" w:rsidRPr="00BF57EB" w:rsidRDefault="00C11DBF" w:rsidP="00C11DBF">
      <w:pPr>
        <w:spacing w:after="0" w:line="360" w:lineRule="auto"/>
        <w:ind w:firstLine="720"/>
        <w:jc w:val="both"/>
        <w:rPr>
          <w:rFonts w:ascii="Times New Roman" w:eastAsia="Calibri" w:hAnsi="Times New Roman" w:cs="Times New Roman"/>
        </w:rPr>
      </w:pPr>
      <w:r w:rsidRPr="00BF57EB">
        <w:rPr>
          <w:rFonts w:ascii="Times New Roman" w:eastAsia="Calibri" w:hAnsi="Times New Roman" w:cs="Times New Roman"/>
        </w:rPr>
        <w:t xml:space="preserve"> To conclude, these goals would aid in making an original contribution in the area of LCA as well as sticking to system boundaries and not deviating. </w:t>
      </w:r>
    </w:p>
    <w:p w:rsidR="0054760E" w:rsidRPr="00BF57EB" w:rsidRDefault="00C11DBF" w:rsidP="00C11DBF">
      <w:pPr>
        <w:spacing w:after="0" w:line="360" w:lineRule="auto"/>
        <w:ind w:firstLine="720"/>
        <w:jc w:val="both"/>
        <w:rPr>
          <w:rFonts w:ascii="Times New Roman" w:eastAsia="Calibri" w:hAnsi="Times New Roman" w:cs="Times New Roman"/>
        </w:rPr>
      </w:pPr>
      <w:r w:rsidRPr="00BF57EB">
        <w:rPr>
          <w:rFonts w:ascii="Times New Roman" w:eastAsia="Calibri" w:hAnsi="Times New Roman" w:cs="Times New Roman"/>
        </w:rPr>
        <w:t xml:space="preserve">To aid in this, the scope of the study was setup as </w:t>
      </w:r>
      <w:r w:rsidR="0054760E" w:rsidRPr="00BF57EB">
        <w:rPr>
          <w:rFonts w:ascii="Times New Roman" w:eastAsia="Calibri" w:hAnsi="Times New Roman" w:cs="Times New Roman"/>
          <w:color w:val="000000"/>
          <w:shd w:val="clear" w:color="auto" w:fill="FFFFFF"/>
        </w:rPr>
        <w:t>cradle to grave with the following functional units:</w:t>
      </w:r>
    </w:p>
    <w:p w:rsidR="00C11DBF" w:rsidRPr="00BF57EB" w:rsidRDefault="00FC767A" w:rsidP="00EE7761">
      <w:pPr>
        <w:pStyle w:val="ListParagraph"/>
        <w:numPr>
          <w:ilvl w:val="0"/>
          <w:numId w:val="19"/>
        </w:numPr>
        <w:spacing w:after="0" w:line="360" w:lineRule="auto"/>
        <w:jc w:val="both"/>
        <w:rPr>
          <w:rFonts w:ascii="Times New Roman" w:eastAsia="Arial" w:hAnsi="Times New Roman" w:cs="Times New Roman"/>
          <w:color w:val="000000"/>
          <w:shd w:val="clear" w:color="auto" w:fill="FFFFFF"/>
        </w:rPr>
      </w:pPr>
      <w:r>
        <w:rPr>
          <w:rFonts w:ascii="Times New Roman" w:eastAsia="Calibri" w:hAnsi="Times New Roman" w:cs="Times New Roman"/>
        </w:rPr>
        <w:t xml:space="preserve"> </w:t>
      </w:r>
      <w:r w:rsidR="00483953" w:rsidRPr="00BF57EB">
        <w:rPr>
          <w:rFonts w:ascii="Times New Roman" w:eastAsia="Calibri" w:hAnsi="Times New Roman" w:cs="Times New Roman"/>
        </w:rPr>
        <w:t xml:space="preserve">Functional unit for electricity equal to </w:t>
      </w:r>
      <w:r w:rsidR="0054760E" w:rsidRPr="00BF57EB">
        <w:rPr>
          <w:rFonts w:ascii="Times New Roman" w:eastAsia="Calibri" w:hAnsi="Times New Roman" w:cs="Times New Roman"/>
        </w:rPr>
        <w:t>1MJ of electricity output for the electricity grid mixes</w:t>
      </w:r>
      <w:r w:rsidR="001F1E1D" w:rsidRPr="00BF57EB">
        <w:rPr>
          <w:rFonts w:ascii="Times New Roman" w:eastAsia="Calibri" w:hAnsi="Times New Roman" w:cs="Times New Roman"/>
        </w:rPr>
        <w:t>.</w:t>
      </w:r>
    </w:p>
    <w:p w:rsidR="0054760E" w:rsidRPr="00BF57EB" w:rsidRDefault="00483953" w:rsidP="00EE7761">
      <w:pPr>
        <w:pStyle w:val="ListParagraph"/>
        <w:numPr>
          <w:ilvl w:val="0"/>
          <w:numId w:val="19"/>
        </w:numPr>
        <w:spacing w:after="0" w:line="360" w:lineRule="auto"/>
        <w:jc w:val="both"/>
        <w:rPr>
          <w:rFonts w:ascii="Times New Roman" w:eastAsia="Arial" w:hAnsi="Times New Roman" w:cs="Times New Roman"/>
          <w:color w:val="000000"/>
          <w:shd w:val="clear" w:color="auto" w:fill="FFFFFF"/>
        </w:rPr>
      </w:pPr>
      <w:r w:rsidRPr="00BF57EB">
        <w:rPr>
          <w:rFonts w:ascii="Times New Roman" w:eastAsia="Calibri" w:hAnsi="Times New Roman" w:cs="Times New Roman"/>
        </w:rPr>
        <w:t xml:space="preserve">Functional unit for ferro-alloys equal </w:t>
      </w:r>
      <w:r w:rsidR="0054760E" w:rsidRPr="00BF57EB">
        <w:rPr>
          <w:rFonts w:ascii="Times New Roman" w:eastAsia="Calibri" w:hAnsi="Times New Roman" w:cs="Times New Roman"/>
        </w:rPr>
        <w:t>1 kg of ferro-alloy for environmental impact analysis.</w:t>
      </w:r>
    </w:p>
    <w:p w:rsidR="007C7DC6" w:rsidRPr="000906E1" w:rsidRDefault="00483953" w:rsidP="0012672E">
      <w:pPr>
        <w:spacing w:after="0" w:line="360" w:lineRule="auto"/>
        <w:ind w:firstLine="720"/>
        <w:jc w:val="both"/>
        <w:rPr>
          <w:rFonts w:ascii="Times New Roman" w:eastAsia="Calibri" w:hAnsi="Times New Roman" w:cs="Times New Roman"/>
          <w:shd w:val="clear" w:color="auto" w:fill="FFFFFF"/>
        </w:rPr>
      </w:pPr>
      <w:r w:rsidRPr="00BF57EB">
        <w:rPr>
          <w:rFonts w:ascii="Times New Roman" w:eastAsia="Calibri" w:hAnsi="Times New Roman" w:cs="Times New Roman"/>
          <w:color w:val="000000"/>
          <w:shd w:val="clear" w:color="auto" w:fill="FFFFFF"/>
        </w:rPr>
        <w:t>As</w:t>
      </w:r>
      <w:r w:rsidR="0054760E" w:rsidRPr="00BF57EB">
        <w:rPr>
          <w:rFonts w:ascii="Times New Roman" w:eastAsia="Calibri" w:hAnsi="Times New Roman" w:cs="Times New Roman"/>
          <w:color w:val="000000"/>
          <w:shd w:val="clear" w:color="auto" w:fill="FFFFFF"/>
        </w:rPr>
        <w:t xml:space="preserve"> the functional uni</w:t>
      </w:r>
      <w:r w:rsidRPr="00BF57EB">
        <w:rPr>
          <w:rFonts w:ascii="Times New Roman" w:eastAsia="Calibri" w:hAnsi="Times New Roman" w:cs="Times New Roman"/>
          <w:color w:val="000000"/>
          <w:shd w:val="clear" w:color="auto" w:fill="FFFFFF"/>
        </w:rPr>
        <w:t>t for average electricity is</w:t>
      </w:r>
      <w:r w:rsidR="0054760E" w:rsidRPr="00BF57EB">
        <w:rPr>
          <w:rFonts w:ascii="Times New Roman" w:eastAsia="Calibri" w:hAnsi="Times New Roman" w:cs="Times New Roman"/>
          <w:color w:val="000000"/>
          <w:shd w:val="clear" w:color="auto" w:fill="FFFFFF"/>
        </w:rPr>
        <w:t xml:space="preserve"> related to generation rather than supply of electricity, its distribution and consumption were considered outside the system boundary and thus not included</w:t>
      </w:r>
      <w:r w:rsidR="0054760E" w:rsidRPr="000906E1">
        <w:rPr>
          <w:rFonts w:ascii="Times New Roman" w:eastAsia="Calibri" w:hAnsi="Times New Roman" w:cs="Times New Roman"/>
          <w:shd w:val="clear" w:color="auto" w:fill="FFFFFF"/>
        </w:rPr>
        <w:t xml:space="preserve">. </w:t>
      </w:r>
      <w:r w:rsidR="001A3DD2" w:rsidRPr="000906E1">
        <w:rPr>
          <w:rFonts w:ascii="Times New Roman" w:eastAsia="Calibri" w:hAnsi="Times New Roman" w:cs="Times New Roman"/>
          <w:shd w:val="clear" w:color="auto" w:fill="FFFFFF"/>
        </w:rPr>
        <w:t xml:space="preserve"> </w:t>
      </w:r>
      <w:r w:rsidR="0012672E" w:rsidRPr="000906E1">
        <w:rPr>
          <w:rFonts w:ascii="Times New Roman" w:eastAsia="Calibri" w:hAnsi="Times New Roman" w:cs="Times New Roman"/>
          <w:shd w:val="clear" w:color="auto" w:fill="FFFFFF"/>
        </w:rPr>
        <w:t xml:space="preserve">However, if electricity consumption was considered its effect particularly from the point of view of security of supply on geographic clustering of ore processing would be quite considerable. For example, China due to its economic growth is facing shortages in essential minerals from its own local mineral resources. Thus in the last decade China has invested heavily in obtaining mineral resources elsewhere, particularly targeting mineral rich Africa. This government led strategy has allowed China to secure sustainable supplies for the long term. Examples of such projects include; the </w:t>
      </w:r>
      <w:proofErr w:type="spellStart"/>
      <w:r w:rsidR="0012672E" w:rsidRPr="000906E1">
        <w:rPr>
          <w:rFonts w:ascii="Times New Roman" w:eastAsia="Calibri" w:hAnsi="Times New Roman" w:cs="Times New Roman"/>
          <w:shd w:val="clear" w:color="auto" w:fill="FFFFFF"/>
        </w:rPr>
        <w:t>Husab</w:t>
      </w:r>
      <w:proofErr w:type="spellEnd"/>
      <w:r w:rsidR="0012672E" w:rsidRPr="000906E1">
        <w:rPr>
          <w:rFonts w:ascii="Times New Roman" w:eastAsia="Calibri" w:hAnsi="Times New Roman" w:cs="Times New Roman"/>
          <w:shd w:val="clear" w:color="auto" w:fill="FFFFFF"/>
        </w:rPr>
        <w:t xml:space="preserve"> project in Namibia to mine huge deposits of uranium and </w:t>
      </w:r>
      <w:proofErr w:type="spellStart"/>
      <w:r w:rsidR="0012672E" w:rsidRPr="000906E1">
        <w:rPr>
          <w:rFonts w:ascii="Times New Roman" w:eastAsia="Calibri" w:hAnsi="Times New Roman" w:cs="Times New Roman"/>
          <w:shd w:val="clear" w:color="auto" w:fill="FFFFFF"/>
        </w:rPr>
        <w:t>Zijin</w:t>
      </w:r>
      <w:proofErr w:type="spellEnd"/>
      <w:r w:rsidR="0012672E" w:rsidRPr="000906E1">
        <w:rPr>
          <w:rFonts w:ascii="Times New Roman" w:eastAsia="Calibri" w:hAnsi="Times New Roman" w:cs="Times New Roman"/>
          <w:shd w:val="clear" w:color="auto" w:fill="FFFFFF"/>
        </w:rPr>
        <w:t xml:space="preserve"> Mining Group completing the acquisition to mine the world’s biggest undeveloped high-grade copper deposit in DCR. However, even with acquisitions of key ores and minerals, the refinement and production to high end products is primarily conducted in China. This is because electricity supply is more secure in China than it is in Africa, even though Chinese state owned companies in Africa are addressing this issue by building and increasing Africa’s net power output particularly via hydro-power.  However there are also two main reasons why electricity generation is preferred to electricity consumption. Firstly electricity generation data is more readily available in comparison to supply which is difficult to obtain. Secondly the focus from the majority of LCA studies appears to be more on renewable vs non-renewables and not supply of electricity. However, it is a topic worth investigating as electricity consumption, in energy intensive </w:t>
      </w:r>
      <w:r w:rsidR="0012672E" w:rsidRPr="000906E1">
        <w:rPr>
          <w:rFonts w:ascii="Times New Roman" w:eastAsia="Calibri" w:hAnsi="Times New Roman" w:cs="Times New Roman"/>
          <w:shd w:val="clear" w:color="auto" w:fill="FFFFFF"/>
        </w:rPr>
        <w:lastRenderedPageBreak/>
        <w:t>industries such as steel, where some of these exotic minerals are used, can potentially make a big difference.</w:t>
      </w:r>
    </w:p>
    <w:p w:rsidR="00C2046A" w:rsidRPr="000906E1" w:rsidRDefault="0054760E" w:rsidP="00C2046A">
      <w:pPr>
        <w:spacing w:after="0" w:line="360" w:lineRule="auto"/>
        <w:ind w:firstLine="720"/>
        <w:jc w:val="both"/>
        <w:rPr>
          <w:rFonts w:ascii="Times New Roman" w:eastAsia="Calibri" w:hAnsi="Times New Roman" w:cs="Times New Roman"/>
          <w:shd w:val="clear" w:color="auto" w:fill="FFFFFF"/>
        </w:rPr>
      </w:pPr>
      <w:r w:rsidRPr="000906E1">
        <w:rPr>
          <w:rFonts w:ascii="Times New Roman" w:eastAsia="Calibri" w:hAnsi="Times New Roman" w:cs="Times New Roman"/>
          <w:shd w:val="clear" w:color="auto" w:fill="FFFFFF"/>
        </w:rPr>
        <w:t>For the ferro-alloys, the system boundary only included global ferro-alloy product</w:t>
      </w:r>
      <w:r w:rsidR="00483953" w:rsidRPr="000906E1">
        <w:rPr>
          <w:rFonts w:ascii="Times New Roman" w:eastAsia="Calibri" w:hAnsi="Times New Roman" w:cs="Times New Roman"/>
          <w:shd w:val="clear" w:color="auto" w:fill="FFFFFF"/>
        </w:rPr>
        <w:t>ion. All other variables for example, by</w:t>
      </w:r>
      <w:r w:rsidRPr="000906E1">
        <w:rPr>
          <w:rFonts w:ascii="Times New Roman" w:eastAsia="Calibri" w:hAnsi="Times New Roman" w:cs="Times New Roman"/>
          <w:shd w:val="clear" w:color="auto" w:fill="FFFFFF"/>
        </w:rPr>
        <w:t xml:space="preserve"> products, cons</w:t>
      </w:r>
      <w:r w:rsidR="00202A5B" w:rsidRPr="000906E1">
        <w:rPr>
          <w:rFonts w:ascii="Times New Roman" w:eastAsia="Calibri" w:hAnsi="Times New Roman" w:cs="Times New Roman"/>
          <w:shd w:val="clear" w:color="auto" w:fill="FFFFFF"/>
        </w:rPr>
        <w:t>umption, export</w:t>
      </w:r>
      <w:r w:rsidR="00483953" w:rsidRPr="000906E1">
        <w:rPr>
          <w:rFonts w:ascii="Times New Roman" w:eastAsia="Calibri" w:hAnsi="Times New Roman" w:cs="Times New Roman"/>
          <w:shd w:val="clear" w:color="auto" w:fill="FFFFFF"/>
        </w:rPr>
        <w:t>, etc.,</w:t>
      </w:r>
      <w:r w:rsidR="00202A5B" w:rsidRPr="000906E1">
        <w:rPr>
          <w:rFonts w:ascii="Times New Roman" w:eastAsia="Calibri" w:hAnsi="Times New Roman" w:cs="Times New Roman"/>
          <w:shd w:val="clear" w:color="auto" w:fill="FFFFFF"/>
        </w:rPr>
        <w:t xml:space="preserve"> were</w:t>
      </w:r>
      <w:r w:rsidRPr="000906E1">
        <w:rPr>
          <w:rFonts w:ascii="Times New Roman" w:eastAsia="Calibri" w:hAnsi="Times New Roman" w:cs="Times New Roman"/>
          <w:shd w:val="clear" w:color="auto" w:fill="FFFFFF"/>
        </w:rPr>
        <w:t xml:space="preserve"> not included.</w:t>
      </w:r>
      <w:r w:rsidR="00483953" w:rsidRPr="000906E1">
        <w:rPr>
          <w:rFonts w:ascii="Times New Roman" w:eastAsia="Calibri" w:hAnsi="Times New Roman" w:cs="Times New Roman"/>
          <w:shd w:val="clear" w:color="auto" w:fill="FFFFFF"/>
        </w:rPr>
        <w:t xml:space="preserve"> It follows that with the establishment of the goal and scope of the study, a selection </w:t>
      </w:r>
      <w:r w:rsidR="00055D78" w:rsidRPr="000906E1">
        <w:rPr>
          <w:rFonts w:ascii="Times New Roman" w:eastAsia="Calibri" w:hAnsi="Times New Roman" w:cs="Times New Roman"/>
          <w:shd w:val="clear" w:color="auto" w:fill="FFFFFF"/>
        </w:rPr>
        <w:t>had to be made of which countries electricity grid mix would be modelled.</w:t>
      </w:r>
      <w:r w:rsidR="00C2046A" w:rsidRPr="000906E1">
        <w:rPr>
          <w:rFonts w:ascii="Times New Roman" w:eastAsia="Calibri" w:hAnsi="Times New Roman" w:cs="Times New Roman"/>
          <w:shd w:val="clear" w:color="auto" w:fill="FFFFFF"/>
        </w:rPr>
        <w:t xml:space="preserve"> </w:t>
      </w:r>
      <w:r w:rsidR="00EC332F" w:rsidRPr="000906E1">
        <w:rPr>
          <w:rFonts w:ascii="Times New Roman" w:eastAsia="Calibri" w:hAnsi="Times New Roman" w:cs="Times New Roman"/>
        </w:rPr>
        <w:t xml:space="preserve">In order to </w:t>
      </w:r>
      <w:r w:rsidR="00EC332F" w:rsidRPr="000906E1">
        <w:rPr>
          <w:rFonts w:ascii="Times New Roman" w:eastAsia="Calibri" w:hAnsi="Times New Roman" w:cs="Times New Roman"/>
          <w:shd w:val="clear" w:color="auto" w:fill="FFFFFF"/>
        </w:rPr>
        <w:t>create the global electricity models, data from literature was used in 3 specific stages.</w:t>
      </w:r>
    </w:p>
    <w:p w:rsidR="00C2046A" w:rsidRPr="000906E1" w:rsidRDefault="00EC332F" w:rsidP="007C7DC6">
      <w:pPr>
        <w:spacing w:after="0" w:line="360" w:lineRule="auto"/>
        <w:ind w:firstLine="720"/>
        <w:jc w:val="both"/>
        <w:rPr>
          <w:rFonts w:ascii="Times New Roman" w:eastAsia="Calibri" w:hAnsi="Times New Roman" w:cs="Times New Roman"/>
        </w:rPr>
      </w:pPr>
      <w:r w:rsidRPr="000906E1">
        <w:rPr>
          <w:rFonts w:ascii="Times New Roman" w:eastAsia="Calibri" w:hAnsi="Times New Roman" w:cs="Times New Roman"/>
          <w:shd w:val="clear" w:color="auto" w:fill="FFFFFF"/>
        </w:rPr>
        <w:t>In stage 1, electricity grid mixes</w:t>
      </w:r>
      <w:r w:rsidR="00C2046A" w:rsidRPr="000906E1">
        <w:rPr>
          <w:rFonts w:ascii="Times New Roman" w:eastAsia="Calibri" w:hAnsi="Times New Roman" w:cs="Times New Roman"/>
          <w:shd w:val="clear" w:color="auto" w:fill="FFFFFF"/>
        </w:rPr>
        <w:t xml:space="preserve"> to be modelled were highlighted</w:t>
      </w:r>
      <w:r w:rsidRPr="000906E1">
        <w:rPr>
          <w:rFonts w:ascii="Times New Roman" w:eastAsia="Calibri" w:hAnsi="Times New Roman" w:cs="Times New Roman"/>
          <w:shd w:val="clear" w:color="auto" w:fill="FFFFFF"/>
        </w:rPr>
        <w:t xml:space="preserve"> </w:t>
      </w:r>
      <w:r w:rsidRPr="000906E1">
        <w:rPr>
          <w:rFonts w:ascii="Times New Roman" w:eastAsia="Calibri" w:hAnsi="Times New Roman" w:cs="Times New Roman"/>
        </w:rPr>
        <w:t xml:space="preserve">based on global production values for 5 ferro-alloys: </w:t>
      </w:r>
      <w:r w:rsidRPr="000906E1">
        <w:rPr>
          <w:rFonts w:ascii="Times New Roman" w:eastAsia="Calibri" w:hAnsi="Times New Roman" w:cs="Times New Roman"/>
          <w:shd w:val="clear" w:color="auto" w:fill="FFFFFF"/>
        </w:rPr>
        <w:t>Fe-Cr, Fe-Mn, Fe-Ni, Fe-Si and Si-Mn.</w:t>
      </w:r>
      <w:r w:rsidR="00C2046A" w:rsidRPr="000906E1">
        <w:rPr>
          <w:rFonts w:ascii="Times New Roman" w:eastAsia="Calibri" w:hAnsi="Times New Roman" w:cs="Times New Roman"/>
          <w:shd w:val="clear" w:color="auto" w:fill="FFFFFF"/>
        </w:rPr>
        <w:t xml:space="preserve"> For each ferro-alloy the top 3 global producing nations were i</w:t>
      </w:r>
      <w:r w:rsidR="0094475A" w:rsidRPr="000906E1">
        <w:rPr>
          <w:rFonts w:ascii="Times New Roman" w:eastAsia="Calibri" w:hAnsi="Times New Roman" w:cs="Times New Roman"/>
          <w:shd w:val="clear" w:color="auto" w:fill="FFFFFF"/>
        </w:rPr>
        <w:t>dentified leading to a list of 8</w:t>
      </w:r>
      <w:r w:rsidR="00C2046A" w:rsidRPr="000906E1">
        <w:rPr>
          <w:rFonts w:ascii="Times New Roman" w:eastAsia="Calibri" w:hAnsi="Times New Roman" w:cs="Times New Roman"/>
          <w:shd w:val="clear" w:color="auto" w:fill="FFFFFF"/>
        </w:rPr>
        <w:t xml:space="preserve"> </w:t>
      </w:r>
      <w:r w:rsidRPr="000906E1">
        <w:rPr>
          <w:rFonts w:ascii="Times New Roman" w:eastAsia="Calibri" w:hAnsi="Times New Roman" w:cs="Times New Roman"/>
          <w:shd w:val="clear" w:color="auto" w:fill="FFFFFF"/>
        </w:rPr>
        <w:t xml:space="preserve">countries, as follows: </w:t>
      </w:r>
      <w:r w:rsidRPr="000906E1">
        <w:rPr>
          <w:rFonts w:ascii="Times New Roman" w:eastAsia="Calibri" w:hAnsi="Times New Roman" w:cs="Times New Roman"/>
        </w:rPr>
        <w:t>Ch</w:t>
      </w:r>
      <w:r w:rsidR="007C7DC6" w:rsidRPr="000906E1">
        <w:rPr>
          <w:rFonts w:ascii="Times New Roman" w:eastAsia="Calibri" w:hAnsi="Times New Roman" w:cs="Times New Roman"/>
        </w:rPr>
        <w:t xml:space="preserve">ina, India, Japan, Kazakhstan, </w:t>
      </w:r>
      <w:r w:rsidRPr="000906E1">
        <w:rPr>
          <w:rFonts w:ascii="Times New Roman" w:eastAsia="Calibri" w:hAnsi="Times New Roman" w:cs="Times New Roman"/>
        </w:rPr>
        <w:t>Norway, Russian Federation, South Africa and Ukra</w:t>
      </w:r>
      <w:r w:rsidR="0094475A" w:rsidRPr="000906E1">
        <w:rPr>
          <w:rFonts w:ascii="Times New Roman" w:eastAsia="Calibri" w:hAnsi="Times New Roman" w:cs="Times New Roman"/>
        </w:rPr>
        <w:t>ine and 1 territory, New Caledonia.</w:t>
      </w:r>
    </w:p>
    <w:p w:rsidR="00C2046A" w:rsidRPr="000906E1" w:rsidRDefault="00C2046A" w:rsidP="00C2046A">
      <w:pPr>
        <w:spacing w:after="0" w:line="360" w:lineRule="auto"/>
        <w:ind w:firstLine="720"/>
        <w:jc w:val="both"/>
        <w:rPr>
          <w:rFonts w:ascii="Times New Roman" w:eastAsia="Calibri" w:hAnsi="Times New Roman" w:cs="Times New Roman"/>
          <w:shd w:val="clear" w:color="auto" w:fill="FFFFFF"/>
        </w:rPr>
      </w:pPr>
      <w:r w:rsidRPr="000906E1">
        <w:rPr>
          <w:rFonts w:ascii="Times New Roman" w:eastAsia="Calibri" w:hAnsi="Times New Roman" w:cs="Times New Roman"/>
          <w:shd w:val="clear" w:color="auto" w:fill="FFFFFF"/>
        </w:rPr>
        <w:t xml:space="preserve">Following on from stage 1, in stage 2 </w:t>
      </w:r>
      <w:r w:rsidR="00EC332F" w:rsidRPr="000906E1">
        <w:rPr>
          <w:rFonts w:ascii="Times New Roman" w:eastAsia="Calibri" w:hAnsi="Times New Roman" w:cs="Times New Roman"/>
          <w:shd w:val="clear" w:color="auto" w:fill="FFFFFF"/>
        </w:rPr>
        <w:t>elec</w:t>
      </w:r>
      <w:r w:rsidR="006A62D1" w:rsidRPr="000906E1">
        <w:rPr>
          <w:rFonts w:ascii="Times New Roman" w:eastAsia="Calibri" w:hAnsi="Times New Roman" w:cs="Times New Roman"/>
          <w:shd w:val="clear" w:color="auto" w:fill="FFFFFF"/>
        </w:rPr>
        <w:t>tricity breakdown by energy source was obtained for th</w:t>
      </w:r>
      <w:r w:rsidRPr="000906E1">
        <w:rPr>
          <w:rFonts w:ascii="Times New Roman" w:eastAsia="Calibri" w:hAnsi="Times New Roman" w:cs="Times New Roman"/>
          <w:shd w:val="clear" w:color="auto" w:fill="FFFFFF"/>
        </w:rPr>
        <w:t>e 9 countries</w:t>
      </w:r>
      <w:r w:rsidR="006A62D1" w:rsidRPr="000906E1">
        <w:rPr>
          <w:rFonts w:ascii="Times New Roman" w:eastAsia="Calibri" w:hAnsi="Times New Roman" w:cs="Times New Roman"/>
          <w:shd w:val="clear" w:color="auto" w:fill="FFFFFF"/>
        </w:rPr>
        <w:t xml:space="preserve"> of interest. </w:t>
      </w:r>
      <w:r w:rsidRPr="000906E1">
        <w:rPr>
          <w:rFonts w:ascii="Times New Roman" w:eastAsia="Calibri" w:hAnsi="Times New Roman" w:cs="Times New Roman"/>
          <w:shd w:val="clear" w:color="auto" w:fill="FFFFFF"/>
        </w:rPr>
        <w:t>This would allow construction of electricity grid mixes for each individual country.</w:t>
      </w:r>
    </w:p>
    <w:p w:rsidR="00DC61C4" w:rsidRPr="000906E1" w:rsidRDefault="00C2046A" w:rsidP="00C2046A">
      <w:pPr>
        <w:spacing w:after="0" w:line="360" w:lineRule="auto"/>
        <w:ind w:firstLine="720"/>
        <w:jc w:val="both"/>
        <w:rPr>
          <w:rFonts w:ascii="Times New Roman" w:eastAsia="Calibri" w:hAnsi="Times New Roman" w:cs="Times New Roman"/>
          <w:shd w:val="clear" w:color="auto" w:fill="FFFFFF"/>
        </w:rPr>
      </w:pPr>
      <w:r w:rsidRPr="000906E1">
        <w:rPr>
          <w:rFonts w:ascii="Times New Roman" w:eastAsia="Calibri" w:hAnsi="Times New Roman" w:cs="Times New Roman"/>
          <w:shd w:val="clear" w:color="auto" w:fill="FFFFFF"/>
        </w:rPr>
        <w:t xml:space="preserve">Finally in stage 3 </w:t>
      </w:r>
      <w:r w:rsidR="00202A5B" w:rsidRPr="000906E1">
        <w:rPr>
          <w:rFonts w:ascii="Times New Roman" w:eastAsia="Calibri" w:hAnsi="Times New Roman" w:cs="Times New Roman"/>
          <w:shd w:val="clear" w:color="auto" w:fill="FFFFFF"/>
        </w:rPr>
        <w:t>losses were applied to make the models accurate and reliable. An in-depth explanation of each of the stages is prov</w:t>
      </w:r>
      <w:r w:rsidRPr="000906E1">
        <w:rPr>
          <w:rFonts w:ascii="Times New Roman" w:eastAsia="Calibri" w:hAnsi="Times New Roman" w:cs="Times New Roman"/>
          <w:shd w:val="clear" w:color="auto" w:fill="FFFFFF"/>
        </w:rPr>
        <w:t>ided in the subsequent section</w:t>
      </w:r>
      <w:r w:rsidR="002E079B" w:rsidRPr="000906E1">
        <w:rPr>
          <w:rFonts w:ascii="Times New Roman" w:eastAsia="Calibri" w:hAnsi="Times New Roman" w:cs="Times New Roman"/>
          <w:shd w:val="clear" w:color="auto" w:fill="FFFFFF"/>
        </w:rPr>
        <w:t>s</w:t>
      </w:r>
      <w:r w:rsidRPr="000906E1">
        <w:rPr>
          <w:rFonts w:ascii="Times New Roman" w:eastAsia="Calibri" w:hAnsi="Times New Roman" w:cs="Times New Roman"/>
          <w:shd w:val="clear" w:color="auto" w:fill="FFFFFF"/>
        </w:rPr>
        <w:t>.</w:t>
      </w:r>
    </w:p>
    <w:p w:rsidR="00847B1B" w:rsidRPr="000906E1" w:rsidRDefault="00847B1B" w:rsidP="00C2046A">
      <w:pPr>
        <w:spacing w:after="0" w:line="360" w:lineRule="auto"/>
        <w:ind w:firstLine="720"/>
        <w:jc w:val="both"/>
        <w:rPr>
          <w:rFonts w:ascii="Times New Roman" w:eastAsia="Calibri" w:hAnsi="Times New Roman" w:cs="Times New Roman"/>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847B1B" w:rsidRPr="00A1085C" w:rsidRDefault="00847B1B" w:rsidP="00C2046A">
      <w:pPr>
        <w:spacing w:after="0" w:line="360" w:lineRule="auto"/>
        <w:ind w:firstLine="720"/>
        <w:jc w:val="both"/>
        <w:rPr>
          <w:rFonts w:ascii="Times New Roman" w:eastAsia="Calibri" w:hAnsi="Times New Roman" w:cs="Times New Roman"/>
          <w:color w:val="000000"/>
          <w:shd w:val="clear" w:color="auto" w:fill="FFFFFF"/>
        </w:rPr>
      </w:pPr>
    </w:p>
    <w:p w:rsidR="00DC61C4" w:rsidRPr="003B2D14" w:rsidRDefault="00DC61C4" w:rsidP="00DC61C4">
      <w:pPr>
        <w:pStyle w:val="Heading3"/>
        <w:rPr>
          <w:rFonts w:ascii="Times New Roman" w:eastAsia="Calibri Light" w:hAnsi="Times New Roman" w:cs="Times New Roman"/>
        </w:rPr>
      </w:pPr>
      <w:r w:rsidRPr="003B2D14">
        <w:rPr>
          <w:rFonts w:ascii="Times New Roman" w:eastAsia="Calibri Light" w:hAnsi="Times New Roman" w:cs="Times New Roman"/>
        </w:rPr>
        <w:lastRenderedPageBreak/>
        <w:t>S</w:t>
      </w:r>
      <w:r w:rsidR="004D2D91" w:rsidRPr="003B2D14">
        <w:rPr>
          <w:rFonts w:ascii="Times New Roman" w:eastAsia="Calibri Light" w:hAnsi="Times New Roman" w:cs="Times New Roman"/>
        </w:rPr>
        <w:t>tage 1 - Global Production Data</w:t>
      </w:r>
    </w:p>
    <w:p w:rsidR="00847B1B" w:rsidRPr="00BF57EB" w:rsidRDefault="00250E24" w:rsidP="00847B1B">
      <w:pPr>
        <w:spacing w:after="0" w:line="360" w:lineRule="auto"/>
        <w:ind w:firstLine="720"/>
        <w:jc w:val="both"/>
        <w:rPr>
          <w:rFonts w:ascii="Times New Roman" w:eastAsia="Calibri" w:hAnsi="Times New Roman" w:cs="Times New Roman"/>
        </w:rPr>
      </w:pPr>
      <w:r w:rsidRPr="00BF57EB">
        <w:rPr>
          <w:rFonts w:ascii="Times New Roman" w:eastAsia="Calibri" w:hAnsi="Times New Roman" w:cs="Times New Roman"/>
        </w:rPr>
        <w:t>In stage 1, g</w:t>
      </w:r>
      <w:r w:rsidR="00DC61C4" w:rsidRPr="00BF57EB">
        <w:rPr>
          <w:rFonts w:ascii="Times New Roman" w:eastAsia="Calibri" w:hAnsi="Times New Roman" w:cs="Times New Roman"/>
        </w:rPr>
        <w:t>lobal product</w:t>
      </w:r>
      <w:r w:rsidR="00FD4360" w:rsidRPr="00BF57EB">
        <w:rPr>
          <w:rFonts w:ascii="Times New Roman" w:eastAsia="Calibri" w:hAnsi="Times New Roman" w:cs="Times New Roman"/>
        </w:rPr>
        <w:t>ion data</w:t>
      </w:r>
      <w:r w:rsidRPr="00BF57EB">
        <w:rPr>
          <w:rFonts w:ascii="Times New Roman" w:eastAsia="Calibri" w:hAnsi="Times New Roman" w:cs="Times New Roman"/>
        </w:rPr>
        <w:t xml:space="preserve"> for the 5 ferro-alloys</w:t>
      </w:r>
      <w:r w:rsidR="00FD4360" w:rsidRPr="00BF57EB">
        <w:rPr>
          <w:rFonts w:ascii="Times New Roman" w:eastAsia="Calibri" w:hAnsi="Times New Roman" w:cs="Times New Roman"/>
        </w:rPr>
        <w:t xml:space="preserve"> was obtained from 3</w:t>
      </w:r>
      <w:r w:rsidR="00DC61C4" w:rsidRPr="00BF57EB">
        <w:rPr>
          <w:rFonts w:ascii="Times New Roman" w:eastAsia="Calibri" w:hAnsi="Times New Roman" w:cs="Times New Roman"/>
        </w:rPr>
        <w:t xml:space="preserve"> main sources. For Fe-Mn, Fe-Ni and Fe-Si this was from</w:t>
      </w:r>
      <w:r w:rsidRPr="00BF57EB">
        <w:rPr>
          <w:rFonts w:ascii="Times New Roman" w:eastAsia="Calibri" w:hAnsi="Times New Roman" w:cs="Times New Roman"/>
        </w:rPr>
        <w:t xml:space="preserve"> the USGS</w:t>
      </w:r>
      <w:r w:rsidR="00DC61C4" w:rsidRPr="00BF57EB">
        <w:rPr>
          <w:rFonts w:ascii="Times New Roman" w:eastAsia="Calibri" w:hAnsi="Times New Roman" w:cs="Times New Roman"/>
        </w:rPr>
        <w:t xml:space="preserve"> </w:t>
      </w:r>
      <w:r w:rsidR="00FD4360" w:rsidRPr="00BF57EB">
        <w:rPr>
          <w:rFonts w:ascii="Times New Roman" w:eastAsia="Calibri" w:hAnsi="Times New Roman" w:cs="Times New Roman"/>
          <w:noProof/>
        </w:rPr>
        <w:t>(Bedinger et al. 2015)</w:t>
      </w:r>
      <w:r w:rsidR="00DC61C4" w:rsidRPr="00BF57EB">
        <w:rPr>
          <w:rFonts w:ascii="Times New Roman" w:eastAsia="Calibri" w:hAnsi="Times New Roman" w:cs="Times New Roman"/>
        </w:rPr>
        <w:t xml:space="preserve">, for Fe-Cr it was from </w:t>
      </w:r>
      <w:r w:rsidR="00FD4360" w:rsidRPr="00BF57EB">
        <w:rPr>
          <w:rFonts w:ascii="Times New Roman" w:eastAsia="Calibri" w:hAnsi="Times New Roman" w:cs="Times New Roman"/>
          <w:noProof/>
        </w:rPr>
        <w:t>(ICDA 2015)</w:t>
      </w:r>
      <w:r w:rsidR="00DC61C4" w:rsidRPr="00BF57EB">
        <w:rPr>
          <w:rFonts w:ascii="Times New Roman" w:eastAsia="Calibri" w:hAnsi="Times New Roman" w:cs="Times New Roman"/>
        </w:rPr>
        <w:t xml:space="preserve"> and for Si-Mn it was from </w:t>
      </w:r>
      <w:r w:rsidR="007D5F77" w:rsidRPr="00BF57EB">
        <w:rPr>
          <w:rFonts w:ascii="Times New Roman" w:eastAsia="Calibri" w:hAnsi="Times New Roman" w:cs="Times New Roman"/>
          <w:noProof/>
        </w:rPr>
        <w:t>(IMnI 2011)</w:t>
      </w:r>
      <w:r w:rsidR="00DC61C4" w:rsidRPr="00BF57EB">
        <w:rPr>
          <w:rFonts w:ascii="Times New Roman" w:eastAsia="Calibri" w:hAnsi="Times New Roman" w:cs="Times New Roman"/>
        </w:rPr>
        <w:t>. The majority of ferro-alloy production data</w:t>
      </w:r>
      <w:r w:rsidR="00FD4360" w:rsidRPr="00BF57EB">
        <w:rPr>
          <w:rFonts w:ascii="Times New Roman" w:eastAsia="Calibri" w:hAnsi="Times New Roman" w:cs="Times New Roman"/>
        </w:rPr>
        <w:t>, for 4 out of the 5 ferro-alloys,</w:t>
      </w:r>
      <w:r w:rsidR="00DC61C4" w:rsidRPr="00BF57EB">
        <w:rPr>
          <w:rFonts w:ascii="Times New Roman" w:eastAsia="Calibri" w:hAnsi="Times New Roman" w:cs="Times New Roman"/>
        </w:rPr>
        <w:t xml:space="preserve"> was f</w:t>
      </w:r>
      <w:r w:rsidR="00FD4360" w:rsidRPr="00BF57EB">
        <w:rPr>
          <w:rFonts w:ascii="Times New Roman" w:eastAsia="Calibri" w:hAnsi="Times New Roman" w:cs="Times New Roman"/>
        </w:rPr>
        <w:t>or the year 2011.</w:t>
      </w:r>
      <w:r w:rsidR="00DC61C4" w:rsidRPr="00BF57EB">
        <w:rPr>
          <w:rFonts w:ascii="Times New Roman" w:eastAsia="Calibri" w:hAnsi="Times New Roman" w:cs="Times New Roman"/>
        </w:rPr>
        <w:t xml:space="preserve"> </w:t>
      </w:r>
      <w:r w:rsidR="00FD4360" w:rsidRPr="00BF57EB">
        <w:rPr>
          <w:rFonts w:ascii="Times New Roman" w:eastAsia="Calibri" w:hAnsi="Times New Roman" w:cs="Times New Roman"/>
        </w:rPr>
        <w:t>The notable exception being Fe-Cr, where</w:t>
      </w:r>
      <w:r w:rsidRPr="00BF57EB">
        <w:rPr>
          <w:rFonts w:ascii="Times New Roman" w:eastAsia="Calibri" w:hAnsi="Times New Roman" w:cs="Times New Roman"/>
        </w:rPr>
        <w:t xml:space="preserve"> global production</w:t>
      </w:r>
      <w:r w:rsidR="00FD4360" w:rsidRPr="00BF57EB">
        <w:rPr>
          <w:rFonts w:ascii="Times New Roman" w:eastAsia="Calibri" w:hAnsi="Times New Roman" w:cs="Times New Roman"/>
        </w:rPr>
        <w:t xml:space="preserve"> data</w:t>
      </w:r>
      <w:r w:rsidRPr="00BF57EB">
        <w:rPr>
          <w:rFonts w:ascii="Times New Roman" w:eastAsia="Calibri" w:hAnsi="Times New Roman" w:cs="Times New Roman"/>
        </w:rPr>
        <w:t xml:space="preserve"> was for</w:t>
      </w:r>
      <w:r w:rsidR="00FD4360" w:rsidRPr="00BF57EB">
        <w:rPr>
          <w:rFonts w:ascii="Times New Roman" w:eastAsia="Calibri" w:hAnsi="Times New Roman" w:cs="Times New Roman"/>
        </w:rPr>
        <w:t xml:space="preserve"> th</w:t>
      </w:r>
      <w:r w:rsidRPr="00BF57EB">
        <w:rPr>
          <w:rFonts w:ascii="Times New Roman" w:eastAsia="Calibri" w:hAnsi="Times New Roman" w:cs="Times New Roman"/>
        </w:rPr>
        <w:t>e year 2012.</w:t>
      </w:r>
      <w:r w:rsidR="00FD4360" w:rsidRPr="00BF57EB">
        <w:rPr>
          <w:rFonts w:ascii="Times New Roman" w:eastAsia="Calibri" w:hAnsi="Times New Roman" w:cs="Times New Roman"/>
        </w:rPr>
        <w:t xml:space="preserve"> </w:t>
      </w:r>
      <w:r w:rsidR="008F543D">
        <w:rPr>
          <w:rFonts w:ascii="Times New Roman" w:eastAsia="Calibri" w:hAnsi="Times New Roman" w:cs="Times New Roman"/>
        </w:rPr>
        <w:t>The following</w:t>
      </w:r>
      <w:r w:rsidR="00DC61C4" w:rsidRPr="00BF57EB">
        <w:rPr>
          <w:rFonts w:ascii="Times New Roman" w:eastAsia="Calibri" w:hAnsi="Times New Roman" w:cs="Times New Roman"/>
        </w:rPr>
        <w:t xml:space="preserve"> paragraphs explain</w:t>
      </w:r>
      <w:r w:rsidR="00FD4360" w:rsidRPr="00BF57EB">
        <w:rPr>
          <w:rFonts w:ascii="Times New Roman" w:eastAsia="Calibri" w:hAnsi="Times New Roman" w:cs="Times New Roman"/>
        </w:rPr>
        <w:t xml:space="preserve"> in detail</w:t>
      </w:r>
      <w:r w:rsidR="00DC61C4" w:rsidRPr="00BF57EB">
        <w:rPr>
          <w:rFonts w:ascii="Times New Roman" w:eastAsia="Calibri" w:hAnsi="Times New Roman" w:cs="Times New Roman"/>
        </w:rPr>
        <w:t xml:space="preserve"> the select</w:t>
      </w:r>
      <w:r w:rsidR="00FD4360" w:rsidRPr="00BF57EB">
        <w:rPr>
          <w:rFonts w:ascii="Times New Roman" w:eastAsia="Calibri" w:hAnsi="Times New Roman" w:cs="Times New Roman"/>
        </w:rPr>
        <w:t>ion of each type of ferro-alloy beginning with Fe-Cr.</w:t>
      </w:r>
    </w:p>
    <w:p w:rsidR="00345619" w:rsidRPr="00BF57EB" w:rsidRDefault="00345619" w:rsidP="00E92606">
      <w:pPr>
        <w:spacing w:after="0" w:line="360" w:lineRule="auto"/>
        <w:jc w:val="both"/>
        <w:rPr>
          <w:rFonts w:ascii="Times New Roman" w:eastAsia="Calibri" w:hAnsi="Times New Roman" w:cs="Times New Roman"/>
          <w:b/>
        </w:rPr>
      </w:pPr>
      <w:proofErr w:type="spellStart"/>
      <w:r w:rsidRPr="00BF57EB">
        <w:rPr>
          <w:rFonts w:ascii="Times New Roman" w:eastAsia="Calibri" w:hAnsi="Times New Roman" w:cs="Times New Roman"/>
          <w:b/>
        </w:rPr>
        <w:t>i</w:t>
      </w:r>
      <w:proofErr w:type="spellEnd"/>
      <w:r w:rsidRPr="00BF57EB">
        <w:rPr>
          <w:rFonts w:ascii="Times New Roman" w:eastAsia="Calibri" w:hAnsi="Times New Roman" w:cs="Times New Roman"/>
          <w:b/>
        </w:rPr>
        <w:t>) Ferro-Chromium</w:t>
      </w:r>
    </w:p>
    <w:p w:rsidR="00847B1B" w:rsidRPr="00BF57EB" w:rsidRDefault="00DC61C4" w:rsidP="00847B1B">
      <w:pPr>
        <w:spacing w:after="0" w:line="360" w:lineRule="auto"/>
        <w:ind w:firstLine="720"/>
        <w:jc w:val="both"/>
        <w:rPr>
          <w:rFonts w:ascii="Times New Roman" w:eastAsia="Calibri" w:hAnsi="Times New Roman" w:cs="Times New Roman"/>
        </w:rPr>
      </w:pPr>
      <w:r w:rsidRPr="00BF57EB">
        <w:rPr>
          <w:rFonts w:ascii="Times New Roman" w:eastAsia="Calibri" w:hAnsi="Times New Roman" w:cs="Times New Roman"/>
        </w:rPr>
        <w:t xml:space="preserve">For Fe-Cr, </w:t>
      </w:r>
      <w:r w:rsidR="00E94C35" w:rsidRPr="00BF57EB">
        <w:rPr>
          <w:rFonts w:ascii="Times New Roman" w:eastAsia="Calibri" w:hAnsi="Times New Roman" w:cs="Times New Roman"/>
        </w:rPr>
        <w:t>earlier</w:t>
      </w:r>
      <w:r w:rsidRPr="00BF57EB">
        <w:rPr>
          <w:rFonts w:ascii="Times New Roman" w:eastAsia="Calibri" w:hAnsi="Times New Roman" w:cs="Times New Roman"/>
        </w:rPr>
        <w:t xml:space="preserve"> years before 2012, indicated South Africa as the leading global Fe-Cr producer. However</w:t>
      </w:r>
      <w:r w:rsidR="00250E24" w:rsidRPr="00BF57EB">
        <w:rPr>
          <w:rFonts w:ascii="Times New Roman" w:eastAsia="Calibri" w:hAnsi="Times New Roman" w:cs="Times New Roman"/>
        </w:rPr>
        <w:t xml:space="preserve">, issues such as </w:t>
      </w:r>
      <w:r w:rsidRPr="00BF57EB">
        <w:rPr>
          <w:rFonts w:ascii="Times New Roman" w:eastAsia="Calibri" w:hAnsi="Times New Roman" w:cs="Times New Roman"/>
        </w:rPr>
        <w:t>power short</w:t>
      </w:r>
      <w:r w:rsidR="00E94C35" w:rsidRPr="00BF57EB">
        <w:rPr>
          <w:rFonts w:ascii="Times New Roman" w:eastAsia="Calibri" w:hAnsi="Times New Roman" w:cs="Times New Roman"/>
        </w:rPr>
        <w:t>ages and energy constraints</w:t>
      </w:r>
      <w:r w:rsidR="00250E24" w:rsidRPr="00BF57EB">
        <w:rPr>
          <w:rFonts w:ascii="Times New Roman" w:eastAsia="Calibri" w:hAnsi="Times New Roman" w:cs="Times New Roman"/>
        </w:rPr>
        <w:t xml:space="preserve"> hindered </w:t>
      </w:r>
      <w:r w:rsidR="00E94C35" w:rsidRPr="00BF57EB">
        <w:rPr>
          <w:rFonts w:ascii="Times New Roman" w:eastAsia="Calibri" w:hAnsi="Times New Roman" w:cs="Times New Roman"/>
        </w:rPr>
        <w:t>South Af</w:t>
      </w:r>
      <w:r w:rsidR="00250E24" w:rsidRPr="00BF57EB">
        <w:rPr>
          <w:rFonts w:ascii="Times New Roman" w:eastAsia="Calibri" w:hAnsi="Times New Roman" w:cs="Times New Roman"/>
        </w:rPr>
        <w:t>rica, and eventually led to China overtaking</w:t>
      </w:r>
      <w:r w:rsidR="00E94C35" w:rsidRPr="00BF57EB">
        <w:rPr>
          <w:rFonts w:ascii="Times New Roman" w:eastAsia="Calibri" w:hAnsi="Times New Roman" w:cs="Times New Roman"/>
        </w:rPr>
        <w:t xml:space="preserve"> South Africa in 2012 to become the primary global Fe-Cr producer.</w:t>
      </w:r>
      <w:r w:rsidR="0015168E" w:rsidRPr="00BF57EB">
        <w:rPr>
          <w:rFonts w:ascii="Times New Roman" w:eastAsia="Calibri" w:hAnsi="Times New Roman" w:cs="Times New Roman"/>
        </w:rPr>
        <w:t xml:space="preserve"> </w:t>
      </w:r>
      <w:r w:rsidR="00250E24" w:rsidRPr="00BF57EB">
        <w:rPr>
          <w:rFonts w:ascii="Times New Roman" w:eastAsia="Calibri" w:hAnsi="Times New Roman" w:cs="Times New Roman"/>
        </w:rPr>
        <w:t xml:space="preserve"> </w:t>
      </w:r>
      <w:r w:rsidRPr="00BF57EB">
        <w:rPr>
          <w:rFonts w:ascii="Times New Roman" w:eastAsia="Calibri" w:hAnsi="Times New Roman" w:cs="Times New Roman"/>
        </w:rPr>
        <w:t>Howe</w:t>
      </w:r>
      <w:r w:rsidR="00250E24" w:rsidRPr="00BF57EB">
        <w:rPr>
          <w:rFonts w:ascii="Times New Roman" w:eastAsia="Calibri" w:hAnsi="Times New Roman" w:cs="Times New Roman"/>
        </w:rPr>
        <w:t>ver there was</w:t>
      </w:r>
      <w:r w:rsidRPr="00BF57EB">
        <w:rPr>
          <w:rFonts w:ascii="Times New Roman" w:eastAsia="Calibri" w:hAnsi="Times New Roman" w:cs="Times New Roman"/>
        </w:rPr>
        <w:t xml:space="preserve"> disparity amongst different literature</w:t>
      </w:r>
      <w:r w:rsidR="00E92606" w:rsidRPr="00BF57EB">
        <w:rPr>
          <w:rFonts w:ascii="Times New Roman" w:eastAsia="Calibri" w:hAnsi="Times New Roman" w:cs="Times New Roman"/>
        </w:rPr>
        <w:t xml:space="preserve"> sources regarding this</w:t>
      </w:r>
      <w:r w:rsidRPr="00BF57EB">
        <w:rPr>
          <w:rFonts w:ascii="Times New Roman" w:eastAsia="Calibri" w:hAnsi="Times New Roman" w:cs="Times New Roman"/>
        </w:rPr>
        <w:t xml:space="preserve"> as illustrated by </w:t>
      </w:r>
      <w:r w:rsidR="00A6415F" w:rsidRPr="00BF57EB">
        <w:fldChar w:fldCharType="begin"/>
      </w:r>
      <w:r w:rsidR="00A6415F" w:rsidRPr="00BF57EB">
        <w:instrText xml:space="preserve"> REF _Ref473303765 \h  \* MERGEFORMAT </w:instrText>
      </w:r>
      <w:r w:rsidR="00A6415F" w:rsidRPr="00BF57EB">
        <w:fldChar w:fldCharType="separate"/>
      </w:r>
      <w:r w:rsidR="009F5483" w:rsidRPr="00BF57EB">
        <w:rPr>
          <w:rFonts w:ascii="Times New Roman" w:hAnsi="Times New Roman" w:cs="Times New Roman"/>
        </w:rPr>
        <w:t xml:space="preserve">Table </w:t>
      </w:r>
      <w:r w:rsidR="009F5483">
        <w:rPr>
          <w:rFonts w:ascii="Times New Roman" w:hAnsi="Times New Roman" w:cs="Times New Roman"/>
          <w:noProof/>
        </w:rPr>
        <w:t>12</w:t>
      </w:r>
      <w:r w:rsidR="00A6415F" w:rsidRPr="00BF57EB">
        <w:fldChar w:fldCharType="end"/>
      </w:r>
      <w:r w:rsidRPr="00BF57EB">
        <w:rPr>
          <w:rFonts w:ascii="Times New Roman" w:eastAsia="Calibri" w:hAnsi="Times New Roman" w:cs="Times New Roman"/>
        </w:rPr>
        <w:t>:</w:t>
      </w:r>
    </w:p>
    <w:p w:rsidR="00DC61C4" w:rsidRPr="00BF57EB" w:rsidRDefault="00DC61C4" w:rsidP="00E92606">
      <w:pPr>
        <w:spacing w:line="360" w:lineRule="auto"/>
        <w:jc w:val="both"/>
        <w:rPr>
          <w:rFonts w:ascii="Times New Roman" w:eastAsia="Calibri" w:hAnsi="Times New Roman" w:cs="Times New Roman"/>
        </w:rPr>
      </w:pPr>
      <w:bookmarkStart w:id="61" w:name="_Ref473303765"/>
      <w:bookmarkStart w:id="62" w:name="_Toc474486520"/>
      <w:bookmarkStart w:id="63" w:name="_Toc495852690"/>
      <w:r w:rsidRPr="00BF57EB">
        <w:rPr>
          <w:rFonts w:ascii="Times New Roman" w:hAnsi="Times New Roman" w:cs="Times New Roman"/>
        </w:rPr>
        <w:t xml:space="preserve">Table </w:t>
      </w:r>
      <w:r w:rsidR="009A0ED7" w:rsidRPr="00BF57EB">
        <w:rPr>
          <w:rFonts w:ascii="Times New Roman" w:hAnsi="Times New Roman" w:cs="Times New Roman"/>
        </w:rPr>
        <w:fldChar w:fldCharType="begin"/>
      </w:r>
      <w:r w:rsidRPr="00BF57EB">
        <w:rPr>
          <w:rFonts w:ascii="Times New Roman" w:hAnsi="Times New Roman" w:cs="Times New Roman"/>
        </w:rPr>
        <w:instrText xml:space="preserve"> SEQ Table \* ARABIC </w:instrText>
      </w:r>
      <w:r w:rsidR="009A0ED7" w:rsidRPr="00BF57EB">
        <w:rPr>
          <w:rFonts w:ascii="Times New Roman" w:hAnsi="Times New Roman" w:cs="Times New Roman"/>
        </w:rPr>
        <w:fldChar w:fldCharType="separate"/>
      </w:r>
      <w:r w:rsidR="009F5483">
        <w:rPr>
          <w:rFonts w:ascii="Times New Roman" w:hAnsi="Times New Roman" w:cs="Times New Roman"/>
          <w:noProof/>
        </w:rPr>
        <w:t>12</w:t>
      </w:r>
      <w:r w:rsidR="009A0ED7" w:rsidRPr="00BF57EB">
        <w:rPr>
          <w:rFonts w:ascii="Times New Roman" w:hAnsi="Times New Roman" w:cs="Times New Roman"/>
        </w:rPr>
        <w:fldChar w:fldCharType="end"/>
      </w:r>
      <w:bookmarkEnd w:id="61"/>
      <w:r w:rsidRPr="00BF57EB">
        <w:rPr>
          <w:rFonts w:ascii="Times New Roman" w:hAnsi="Times New Roman" w:cs="Times New Roman"/>
        </w:rPr>
        <w:t xml:space="preserve">. </w:t>
      </w:r>
      <w:r w:rsidRPr="00BF57EB">
        <w:rPr>
          <w:rFonts w:ascii="Times New Roman" w:eastAsia="Calibri" w:hAnsi="Times New Roman" w:cs="Times New Roman"/>
        </w:rPr>
        <w:t>Literature values on g</w:t>
      </w:r>
      <w:r w:rsidR="00612172" w:rsidRPr="00BF57EB">
        <w:rPr>
          <w:rFonts w:ascii="Times New Roman" w:eastAsia="Calibri" w:hAnsi="Times New Roman" w:cs="Times New Roman"/>
        </w:rPr>
        <w:t>lobal Fe-Cr production in 2012. (</w:t>
      </w:r>
      <w:r w:rsidR="00E73880" w:rsidRPr="00BF57EB">
        <w:rPr>
          <w:rFonts w:ascii="Times New Roman" w:eastAsia="Calibri" w:hAnsi="Times New Roman" w:cs="Times New Roman"/>
        </w:rPr>
        <w:t>N/A</w:t>
      </w:r>
      <w:r w:rsidR="00075A7F" w:rsidRPr="00BF57EB">
        <w:rPr>
          <w:rFonts w:ascii="Times New Roman" w:eastAsia="Calibri" w:hAnsi="Times New Roman" w:cs="Times New Roman"/>
        </w:rPr>
        <w:t xml:space="preserve"> = not available).</w:t>
      </w:r>
      <w:bookmarkEnd w:id="62"/>
      <w:bookmarkEnd w:id="63"/>
      <w:r w:rsidR="00075A7F" w:rsidRPr="00BF57EB">
        <w:rPr>
          <w:rFonts w:ascii="Times New Roman" w:eastAsia="Calibri" w:hAnsi="Times New Roman" w:cs="Times New Roman"/>
        </w:rPr>
        <w:t xml:space="preserve"> </w:t>
      </w:r>
    </w:p>
    <w:tbl>
      <w:tblPr>
        <w:tblW w:w="0" w:type="auto"/>
        <w:tblInd w:w="108" w:type="dxa"/>
        <w:tblCellMar>
          <w:left w:w="10" w:type="dxa"/>
          <w:right w:w="10" w:type="dxa"/>
        </w:tblCellMar>
        <w:tblLook w:val="04A0" w:firstRow="1" w:lastRow="0" w:firstColumn="1" w:lastColumn="0" w:noHBand="0" w:noVBand="1"/>
      </w:tblPr>
      <w:tblGrid>
        <w:gridCol w:w="1475"/>
        <w:gridCol w:w="1577"/>
        <w:gridCol w:w="1513"/>
        <w:gridCol w:w="1328"/>
        <w:gridCol w:w="1495"/>
        <w:gridCol w:w="1520"/>
      </w:tblGrid>
      <w:tr w:rsidR="00F90E50" w:rsidRPr="00BF57EB" w:rsidTr="002175A3">
        <w:trPr>
          <w:gridBefore w:val="1"/>
          <w:wBefore w:w="1475" w:type="dxa"/>
        </w:trPr>
        <w:tc>
          <w:tcPr>
            <w:tcW w:w="7433" w:type="dxa"/>
            <w:gridSpan w:val="5"/>
            <w:tcBorders>
              <w:top w:val="single" w:sz="4" w:space="0" w:color="000000"/>
              <w:left w:val="single" w:sz="4" w:space="0" w:color="000000"/>
              <w:bottom w:val="single" w:sz="4" w:space="0" w:color="000000"/>
              <w:right w:val="single" w:sz="4" w:space="0" w:color="000000"/>
            </w:tcBorders>
            <w:shd w:val="clear" w:color="000000" w:fill="FFFFFF"/>
          </w:tcPr>
          <w:p w:rsidR="00F90E50" w:rsidRPr="00BF57EB" w:rsidRDefault="00F90E50" w:rsidP="00E92606">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Literature Source</w:t>
            </w:r>
          </w:p>
        </w:tc>
      </w:tr>
      <w:tr w:rsidR="00F90E50" w:rsidRPr="00BF57EB" w:rsidTr="00250E24">
        <w:trPr>
          <w:gridBefore w:val="1"/>
          <w:wBefore w:w="1475" w:type="dxa"/>
        </w:trPr>
        <w:tc>
          <w:tcPr>
            <w:tcW w:w="15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USGS (</w:t>
            </w:r>
            <w:proofErr w:type="spellStart"/>
            <w:r w:rsidRPr="00BF57EB">
              <w:rPr>
                <w:rFonts w:ascii="Times New Roman" w:eastAsia="Calibri" w:hAnsi="Times New Roman" w:cs="Times New Roman"/>
              </w:rPr>
              <w:t>Bedinger</w:t>
            </w:r>
            <w:proofErr w:type="spellEnd"/>
            <w:r w:rsidRPr="00BF57EB">
              <w:rPr>
                <w:rFonts w:ascii="Times New Roman" w:eastAsia="Calibri" w:hAnsi="Times New Roman" w:cs="Times New Roman"/>
              </w:rPr>
              <w:t>)</w:t>
            </w:r>
          </w:p>
        </w:tc>
        <w:tc>
          <w:tcPr>
            <w:tcW w:w="1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KPMG  (</w:t>
            </w:r>
            <w:proofErr w:type="spellStart"/>
            <w:r w:rsidRPr="00BF57EB">
              <w:rPr>
                <w:rFonts w:ascii="Times New Roman" w:eastAsia="Calibri" w:hAnsi="Times New Roman" w:cs="Times New Roman"/>
              </w:rPr>
              <w:t>Fossay</w:t>
            </w:r>
            <w:proofErr w:type="spellEnd"/>
            <w:r w:rsidRPr="00BF57EB">
              <w:rPr>
                <w:rFonts w:ascii="Times New Roman" w:eastAsia="Calibri" w:hAnsi="Times New Roman" w:cs="Times New Roman"/>
              </w:rPr>
              <w:t>)</w:t>
            </w:r>
          </w:p>
        </w:tc>
        <w:tc>
          <w:tcPr>
            <w:tcW w:w="1328" w:type="dxa"/>
            <w:tcBorders>
              <w:top w:val="single" w:sz="4" w:space="0" w:color="000000"/>
              <w:left w:val="single" w:sz="4" w:space="0" w:color="000000"/>
              <w:bottom w:val="single" w:sz="4" w:space="0" w:color="000000"/>
              <w:right w:val="single" w:sz="4" w:space="0" w:color="000000"/>
            </w:tcBorders>
            <w:shd w:val="clear" w:color="000000" w:fill="FFFFFF"/>
            <w:vAlign w:val="bottom"/>
          </w:tcPr>
          <w:p w:rsidR="00F90E50" w:rsidRPr="00BF57EB" w:rsidRDefault="00F90E50" w:rsidP="00250E24">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ICDA</w:t>
            </w:r>
          </w:p>
          <w:p w:rsidR="00F90E50" w:rsidRPr="00BF57EB" w:rsidRDefault="00F90E50" w:rsidP="00250E24">
            <w:pPr>
              <w:spacing w:after="0" w:line="360" w:lineRule="auto"/>
              <w:jc w:val="center"/>
              <w:rPr>
                <w:rFonts w:ascii="Times New Roman" w:eastAsia="Calibri" w:hAnsi="Times New Roman" w:cs="Times New Roman"/>
              </w:rPr>
            </w:pPr>
          </w:p>
        </w:tc>
        <w:tc>
          <w:tcPr>
            <w:tcW w:w="14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 xml:space="preserve">Heinz </w:t>
            </w:r>
          </w:p>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(Pariser)</w:t>
            </w:r>
          </w:p>
        </w:tc>
        <w:tc>
          <w:tcPr>
            <w:tcW w:w="1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90E50" w:rsidRPr="00BF57EB" w:rsidRDefault="00F90E50" w:rsidP="00F90E50">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Roskill</w:t>
            </w:r>
          </w:p>
          <w:p w:rsidR="00F90E50" w:rsidRPr="00BF57EB" w:rsidRDefault="00F90E50" w:rsidP="00F90E50">
            <w:pPr>
              <w:spacing w:after="0" w:line="360" w:lineRule="auto"/>
              <w:jc w:val="center"/>
              <w:rPr>
                <w:rFonts w:ascii="Times New Roman" w:eastAsia="Calibri" w:hAnsi="Times New Roman" w:cs="Times New Roman"/>
              </w:rPr>
            </w:pPr>
          </w:p>
        </w:tc>
      </w:tr>
      <w:tr w:rsidR="00F90E50" w:rsidRPr="00BF57EB" w:rsidTr="00F90E50">
        <w:tc>
          <w:tcPr>
            <w:tcW w:w="14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Country</w:t>
            </w:r>
          </w:p>
        </w:tc>
        <w:tc>
          <w:tcPr>
            <w:tcW w:w="15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Quantity (Mt)</w:t>
            </w:r>
          </w:p>
        </w:tc>
        <w:tc>
          <w:tcPr>
            <w:tcW w:w="1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Quantity (Mt)</w:t>
            </w:r>
          </w:p>
        </w:tc>
        <w:tc>
          <w:tcPr>
            <w:tcW w:w="1328" w:type="dxa"/>
            <w:tcBorders>
              <w:top w:val="single" w:sz="4" w:space="0" w:color="000000"/>
              <w:left w:val="single" w:sz="4" w:space="0" w:color="000000"/>
              <w:bottom w:val="single" w:sz="4" w:space="0" w:color="000000"/>
              <w:right w:val="single" w:sz="4" w:space="0" w:color="000000"/>
            </w:tcBorders>
            <w:shd w:val="clear" w:color="000000" w:fill="FFFFFF"/>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Quantity (Mt)</w:t>
            </w:r>
          </w:p>
        </w:tc>
        <w:tc>
          <w:tcPr>
            <w:tcW w:w="14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Quantity (Mt)</w:t>
            </w:r>
          </w:p>
        </w:tc>
        <w:tc>
          <w:tcPr>
            <w:tcW w:w="1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Quantity (Mt)</w:t>
            </w:r>
          </w:p>
        </w:tc>
      </w:tr>
      <w:tr w:rsidR="00F90E50" w:rsidRPr="00BF57EB" w:rsidTr="00F90E50">
        <w:tc>
          <w:tcPr>
            <w:tcW w:w="14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South Africa</w:t>
            </w:r>
          </w:p>
        </w:tc>
        <w:tc>
          <w:tcPr>
            <w:tcW w:w="15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3.00</w:t>
            </w:r>
          </w:p>
        </w:tc>
        <w:tc>
          <w:tcPr>
            <w:tcW w:w="1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3.97</w:t>
            </w:r>
          </w:p>
        </w:tc>
        <w:tc>
          <w:tcPr>
            <w:tcW w:w="1328" w:type="dxa"/>
            <w:tcBorders>
              <w:top w:val="single" w:sz="4" w:space="0" w:color="000000"/>
              <w:left w:val="single" w:sz="4" w:space="0" w:color="000000"/>
              <w:bottom w:val="single" w:sz="4" w:space="0" w:color="000000"/>
              <w:right w:val="single" w:sz="4" w:space="0" w:color="000000"/>
            </w:tcBorders>
            <w:shd w:val="clear" w:color="000000" w:fill="FFFFFF"/>
          </w:tcPr>
          <w:p w:rsidR="00F90E50" w:rsidRPr="00BF57EB" w:rsidRDefault="00345619"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4.00</w:t>
            </w:r>
          </w:p>
        </w:tc>
        <w:tc>
          <w:tcPr>
            <w:tcW w:w="14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3.01</w:t>
            </w:r>
          </w:p>
        </w:tc>
        <w:tc>
          <w:tcPr>
            <w:tcW w:w="1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N/A</w:t>
            </w:r>
          </w:p>
        </w:tc>
      </w:tr>
      <w:tr w:rsidR="00F90E50" w:rsidRPr="00BF57EB" w:rsidTr="00F90E50">
        <w:tc>
          <w:tcPr>
            <w:tcW w:w="14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China</w:t>
            </w:r>
          </w:p>
        </w:tc>
        <w:tc>
          <w:tcPr>
            <w:tcW w:w="15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2.80</w:t>
            </w:r>
          </w:p>
        </w:tc>
        <w:tc>
          <w:tcPr>
            <w:tcW w:w="1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2.70</w:t>
            </w:r>
          </w:p>
        </w:tc>
        <w:tc>
          <w:tcPr>
            <w:tcW w:w="1328" w:type="dxa"/>
            <w:tcBorders>
              <w:top w:val="single" w:sz="4" w:space="0" w:color="000000"/>
              <w:left w:val="single" w:sz="4" w:space="0" w:color="000000"/>
              <w:bottom w:val="single" w:sz="4" w:space="0" w:color="000000"/>
              <w:right w:val="single" w:sz="4" w:space="0" w:color="000000"/>
            </w:tcBorders>
            <w:shd w:val="clear" w:color="000000" w:fill="FFFFFF"/>
          </w:tcPr>
          <w:p w:rsidR="00F90E50" w:rsidRPr="00BF57EB" w:rsidRDefault="00345619"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4.20</w:t>
            </w:r>
          </w:p>
        </w:tc>
        <w:tc>
          <w:tcPr>
            <w:tcW w:w="14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3..32</w:t>
            </w:r>
          </w:p>
        </w:tc>
        <w:tc>
          <w:tcPr>
            <w:tcW w:w="1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3.12</w:t>
            </w:r>
          </w:p>
        </w:tc>
      </w:tr>
      <w:tr w:rsidR="00F90E50" w:rsidRPr="00BF57EB" w:rsidTr="00F90E50">
        <w:tc>
          <w:tcPr>
            <w:tcW w:w="14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Kazakhstan</w:t>
            </w:r>
          </w:p>
        </w:tc>
        <w:tc>
          <w:tcPr>
            <w:tcW w:w="15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1.31</w:t>
            </w:r>
          </w:p>
        </w:tc>
        <w:tc>
          <w:tcPr>
            <w:tcW w:w="1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1.25</w:t>
            </w:r>
          </w:p>
        </w:tc>
        <w:tc>
          <w:tcPr>
            <w:tcW w:w="1328" w:type="dxa"/>
            <w:tcBorders>
              <w:top w:val="single" w:sz="4" w:space="0" w:color="000000"/>
              <w:left w:val="single" w:sz="4" w:space="0" w:color="000000"/>
              <w:bottom w:val="single" w:sz="4" w:space="0" w:color="000000"/>
              <w:right w:val="single" w:sz="4" w:space="0" w:color="000000"/>
            </w:tcBorders>
            <w:shd w:val="clear" w:color="000000" w:fill="FFFFFF"/>
          </w:tcPr>
          <w:p w:rsidR="00F90E50" w:rsidRPr="00BF57EB" w:rsidRDefault="00345619"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1.20</w:t>
            </w:r>
          </w:p>
        </w:tc>
        <w:tc>
          <w:tcPr>
            <w:tcW w:w="14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n/a</w:t>
            </w:r>
          </w:p>
        </w:tc>
        <w:tc>
          <w:tcPr>
            <w:tcW w:w="1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N/A</w:t>
            </w:r>
          </w:p>
        </w:tc>
      </w:tr>
      <w:tr w:rsidR="00F90E50" w:rsidRPr="00BF57EB" w:rsidTr="00F90E50">
        <w:tc>
          <w:tcPr>
            <w:tcW w:w="14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Other</w:t>
            </w:r>
          </w:p>
        </w:tc>
        <w:tc>
          <w:tcPr>
            <w:tcW w:w="15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1.87</w:t>
            </w:r>
          </w:p>
        </w:tc>
        <w:tc>
          <w:tcPr>
            <w:tcW w:w="1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2.62</w:t>
            </w:r>
          </w:p>
        </w:tc>
        <w:tc>
          <w:tcPr>
            <w:tcW w:w="1328" w:type="dxa"/>
            <w:tcBorders>
              <w:top w:val="single" w:sz="4" w:space="0" w:color="000000"/>
              <w:left w:val="single" w:sz="4" w:space="0" w:color="000000"/>
              <w:bottom w:val="single" w:sz="4" w:space="0" w:color="000000"/>
              <w:right w:val="single" w:sz="4" w:space="0" w:color="000000"/>
            </w:tcBorders>
            <w:shd w:val="clear" w:color="000000" w:fill="FFFFFF"/>
          </w:tcPr>
          <w:p w:rsidR="00F90E50" w:rsidRPr="00BF57EB" w:rsidRDefault="00345619"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2.35</w:t>
            </w:r>
          </w:p>
        </w:tc>
        <w:tc>
          <w:tcPr>
            <w:tcW w:w="14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n/a</w:t>
            </w:r>
          </w:p>
        </w:tc>
        <w:tc>
          <w:tcPr>
            <w:tcW w:w="1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N/A</w:t>
            </w:r>
          </w:p>
        </w:tc>
      </w:tr>
      <w:tr w:rsidR="00F90E50" w:rsidRPr="00BF57EB" w:rsidTr="00F90E50">
        <w:tc>
          <w:tcPr>
            <w:tcW w:w="14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Global Total</w:t>
            </w:r>
          </w:p>
        </w:tc>
        <w:tc>
          <w:tcPr>
            <w:tcW w:w="15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8.98</w:t>
            </w:r>
          </w:p>
        </w:tc>
        <w:tc>
          <w:tcPr>
            <w:tcW w:w="15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10.54</w:t>
            </w:r>
          </w:p>
        </w:tc>
        <w:tc>
          <w:tcPr>
            <w:tcW w:w="1328" w:type="dxa"/>
            <w:tcBorders>
              <w:top w:val="single" w:sz="4" w:space="0" w:color="000000"/>
              <w:left w:val="single" w:sz="4" w:space="0" w:color="000000"/>
              <w:bottom w:val="single" w:sz="4" w:space="0" w:color="000000"/>
              <w:right w:val="single" w:sz="4" w:space="0" w:color="000000"/>
            </w:tcBorders>
            <w:shd w:val="clear" w:color="000000" w:fill="FFFFFF"/>
          </w:tcPr>
          <w:p w:rsidR="00F90E50" w:rsidRPr="00BF57EB" w:rsidRDefault="00345619"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11.75</w:t>
            </w:r>
          </w:p>
        </w:tc>
        <w:tc>
          <w:tcPr>
            <w:tcW w:w="14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9.30</w:t>
            </w:r>
          </w:p>
        </w:tc>
        <w:tc>
          <w:tcPr>
            <w:tcW w:w="15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90E50" w:rsidRPr="00BF57EB" w:rsidRDefault="00F90E50" w:rsidP="008368BF">
            <w:pPr>
              <w:spacing w:after="0" w:line="360" w:lineRule="auto"/>
              <w:jc w:val="center"/>
              <w:rPr>
                <w:rFonts w:ascii="Times New Roman" w:eastAsia="Calibri" w:hAnsi="Times New Roman" w:cs="Times New Roman"/>
              </w:rPr>
            </w:pPr>
            <w:r w:rsidRPr="00BF57EB">
              <w:rPr>
                <w:rFonts w:ascii="Times New Roman" w:eastAsia="Calibri" w:hAnsi="Times New Roman" w:cs="Times New Roman"/>
              </w:rPr>
              <w:t>9.45</w:t>
            </w:r>
          </w:p>
        </w:tc>
      </w:tr>
    </w:tbl>
    <w:p w:rsidR="0015168E" w:rsidRPr="00BF57EB" w:rsidRDefault="0015168E" w:rsidP="0015168E">
      <w:pPr>
        <w:spacing w:after="0" w:line="360" w:lineRule="auto"/>
        <w:jc w:val="both"/>
        <w:rPr>
          <w:rFonts w:ascii="Times New Roman" w:eastAsia="Calibri" w:hAnsi="Times New Roman" w:cs="Times New Roman"/>
        </w:rPr>
      </w:pPr>
    </w:p>
    <w:p w:rsidR="00847B1B" w:rsidRDefault="00DC61C4" w:rsidP="00847B1B">
      <w:pPr>
        <w:spacing w:after="0" w:line="360" w:lineRule="auto"/>
        <w:ind w:firstLine="720"/>
        <w:jc w:val="both"/>
        <w:rPr>
          <w:rFonts w:ascii="Times New Roman" w:eastAsia="Calibri" w:hAnsi="Times New Roman" w:cs="Times New Roman"/>
        </w:rPr>
      </w:pPr>
      <w:r w:rsidRPr="00BF57EB">
        <w:rPr>
          <w:rFonts w:ascii="Times New Roman" w:eastAsia="Calibri" w:hAnsi="Times New Roman" w:cs="Times New Roman"/>
        </w:rPr>
        <w:t xml:space="preserve">In 2012, </w:t>
      </w:r>
      <w:r w:rsidR="00F90E50" w:rsidRPr="00BF57EB">
        <w:rPr>
          <w:rFonts w:ascii="Times New Roman" w:eastAsia="Calibri" w:hAnsi="Times New Roman" w:cs="Times New Roman"/>
          <w:noProof/>
        </w:rPr>
        <w:t>(Bedinger et al. 2015)</w:t>
      </w:r>
      <w:r w:rsidRPr="00BF57EB">
        <w:rPr>
          <w:rFonts w:ascii="Times New Roman" w:eastAsia="Calibri" w:hAnsi="Times New Roman" w:cs="Times New Roman"/>
        </w:rPr>
        <w:t xml:space="preserve"> and </w:t>
      </w:r>
      <w:r w:rsidR="00F90E50" w:rsidRPr="00BF57EB">
        <w:rPr>
          <w:rFonts w:ascii="Times New Roman" w:eastAsia="Calibri" w:hAnsi="Times New Roman" w:cs="Times New Roman"/>
          <w:noProof/>
        </w:rPr>
        <w:t>(Fossay 2012)</w:t>
      </w:r>
      <w:r w:rsidR="00F90E50" w:rsidRPr="00BF57EB">
        <w:rPr>
          <w:rFonts w:ascii="Times New Roman" w:eastAsia="Calibri" w:hAnsi="Times New Roman" w:cs="Times New Roman"/>
        </w:rPr>
        <w:t xml:space="preserve"> cited South Africa</w:t>
      </w:r>
      <w:r w:rsidR="005672E5" w:rsidRPr="00BF57EB">
        <w:rPr>
          <w:rFonts w:ascii="Times New Roman" w:eastAsia="Calibri" w:hAnsi="Times New Roman" w:cs="Times New Roman"/>
        </w:rPr>
        <w:t xml:space="preserve"> still</w:t>
      </w:r>
      <w:r w:rsidR="00F90E50" w:rsidRPr="00BF57EB">
        <w:rPr>
          <w:rFonts w:ascii="Times New Roman" w:eastAsia="Calibri" w:hAnsi="Times New Roman" w:cs="Times New Roman"/>
        </w:rPr>
        <w:t xml:space="preserve"> as the primary global</w:t>
      </w:r>
      <w:r w:rsidRPr="00BF57EB">
        <w:rPr>
          <w:rFonts w:ascii="Times New Roman" w:eastAsia="Calibri" w:hAnsi="Times New Roman" w:cs="Times New Roman"/>
        </w:rPr>
        <w:t xml:space="preserve"> Fe-Cr producer. On the other hand, </w:t>
      </w:r>
      <w:r w:rsidR="00F90E50" w:rsidRPr="00BF57EB">
        <w:rPr>
          <w:rFonts w:ascii="Times New Roman" w:eastAsia="Calibri" w:hAnsi="Times New Roman" w:cs="Times New Roman"/>
          <w:noProof/>
        </w:rPr>
        <w:t>(Pariser 2013)</w:t>
      </w:r>
      <w:r w:rsidRPr="00BF57EB">
        <w:rPr>
          <w:rFonts w:ascii="Times New Roman" w:eastAsia="Calibri" w:hAnsi="Times New Roman" w:cs="Times New Roman"/>
        </w:rPr>
        <w:t xml:space="preserve"> and</w:t>
      </w:r>
      <w:r w:rsidR="00F90E50" w:rsidRPr="00BF57EB">
        <w:rPr>
          <w:rFonts w:ascii="Times New Roman" w:eastAsia="Calibri" w:hAnsi="Times New Roman" w:cs="Times New Roman"/>
        </w:rPr>
        <w:t xml:space="preserve"> </w:t>
      </w:r>
      <w:r w:rsidR="00F90E50" w:rsidRPr="00BF57EB">
        <w:rPr>
          <w:rFonts w:ascii="Times New Roman" w:eastAsia="Calibri" w:hAnsi="Times New Roman" w:cs="Times New Roman"/>
          <w:noProof/>
        </w:rPr>
        <w:t>(Roskill 2012)</w:t>
      </w:r>
      <w:r w:rsidR="00F90E50" w:rsidRPr="00BF57EB">
        <w:rPr>
          <w:rFonts w:ascii="Times New Roman" w:eastAsia="Calibri" w:hAnsi="Times New Roman" w:cs="Times New Roman"/>
        </w:rPr>
        <w:t xml:space="preserve"> stated</w:t>
      </w:r>
      <w:r w:rsidRPr="00BF57EB">
        <w:rPr>
          <w:rFonts w:ascii="Times New Roman" w:eastAsia="Calibri" w:hAnsi="Times New Roman" w:cs="Times New Roman"/>
        </w:rPr>
        <w:t xml:space="preserve"> China</w:t>
      </w:r>
      <w:r w:rsidR="00F90E50" w:rsidRPr="00BF57EB">
        <w:rPr>
          <w:rFonts w:ascii="Times New Roman" w:eastAsia="Calibri" w:hAnsi="Times New Roman" w:cs="Times New Roman"/>
        </w:rPr>
        <w:t xml:space="preserve"> has the lead</w:t>
      </w:r>
      <w:r w:rsidR="005672E5" w:rsidRPr="00BF57EB">
        <w:rPr>
          <w:rFonts w:ascii="Times New Roman" w:eastAsia="Calibri" w:hAnsi="Times New Roman" w:cs="Times New Roman"/>
        </w:rPr>
        <w:t>ing</w:t>
      </w:r>
      <w:r w:rsidR="00F90E50" w:rsidRPr="00BF57EB">
        <w:rPr>
          <w:rFonts w:ascii="Times New Roman" w:eastAsia="Calibri" w:hAnsi="Times New Roman" w:cs="Times New Roman"/>
        </w:rPr>
        <w:t xml:space="preserve"> global Fe-Cr producer</w:t>
      </w:r>
      <w:r w:rsidRPr="00BF57EB">
        <w:rPr>
          <w:rFonts w:ascii="Times New Roman" w:eastAsia="Calibri" w:hAnsi="Times New Roman" w:cs="Times New Roman"/>
        </w:rPr>
        <w:t xml:space="preserve">. For Roskill, no quantitative figure was given </w:t>
      </w:r>
      <w:r w:rsidR="0015168E" w:rsidRPr="00BF57EB">
        <w:rPr>
          <w:rFonts w:ascii="Times New Roman" w:eastAsia="Calibri" w:hAnsi="Times New Roman" w:cs="Times New Roman"/>
        </w:rPr>
        <w:t>for South Africa, but the literature source</w:t>
      </w:r>
      <w:r w:rsidRPr="00BF57EB">
        <w:rPr>
          <w:rFonts w:ascii="Times New Roman" w:eastAsia="Calibri" w:hAnsi="Times New Roman" w:cs="Times New Roman"/>
        </w:rPr>
        <w:t xml:space="preserve"> stated China had overtaken South Africa. It was decided to use </w:t>
      </w:r>
      <w:r w:rsidR="00F90E50" w:rsidRPr="00BF57EB">
        <w:rPr>
          <w:rFonts w:ascii="Times New Roman" w:eastAsia="Calibri" w:hAnsi="Times New Roman" w:cs="Times New Roman"/>
          <w:noProof/>
        </w:rPr>
        <w:t>(ICDA 2015)</w:t>
      </w:r>
      <w:r w:rsidRPr="00BF57EB">
        <w:rPr>
          <w:rFonts w:ascii="Times New Roman" w:eastAsia="Calibri" w:hAnsi="Times New Roman" w:cs="Times New Roman"/>
        </w:rPr>
        <w:t>, since the data was more recent</w:t>
      </w:r>
      <w:r w:rsidR="007546EB" w:rsidRPr="00BF57EB">
        <w:rPr>
          <w:rFonts w:ascii="Times New Roman" w:eastAsia="Calibri" w:hAnsi="Times New Roman" w:cs="Times New Roman"/>
        </w:rPr>
        <w:t xml:space="preserve"> (2012/2013)</w:t>
      </w:r>
      <w:r w:rsidRPr="00BF57EB">
        <w:rPr>
          <w:rFonts w:ascii="Times New Roman" w:eastAsia="Calibri" w:hAnsi="Times New Roman" w:cs="Times New Roman"/>
        </w:rPr>
        <w:t>, from an international organisation</w:t>
      </w:r>
      <w:r w:rsidR="00F90E50" w:rsidRPr="00BF57EB">
        <w:rPr>
          <w:rFonts w:ascii="Times New Roman" w:eastAsia="Calibri" w:hAnsi="Times New Roman" w:cs="Times New Roman"/>
        </w:rPr>
        <w:t>al body</w:t>
      </w:r>
      <w:r w:rsidRPr="00BF57EB">
        <w:rPr>
          <w:rFonts w:ascii="Times New Roman" w:eastAsia="Calibri" w:hAnsi="Times New Roman" w:cs="Times New Roman"/>
        </w:rPr>
        <w:t>, and followed the more than likely forecast that China would end up as the leading global producer.</w:t>
      </w:r>
    </w:p>
    <w:p w:rsidR="00847B1B" w:rsidRDefault="00847B1B" w:rsidP="00847B1B">
      <w:pPr>
        <w:spacing w:after="0" w:line="360" w:lineRule="auto"/>
        <w:ind w:firstLine="720"/>
        <w:jc w:val="both"/>
        <w:rPr>
          <w:rFonts w:ascii="Times New Roman" w:eastAsia="Calibri" w:hAnsi="Times New Roman" w:cs="Times New Roman"/>
        </w:rPr>
      </w:pPr>
    </w:p>
    <w:p w:rsidR="00847B1B" w:rsidRDefault="00847B1B" w:rsidP="00847B1B">
      <w:pPr>
        <w:spacing w:after="0" w:line="360" w:lineRule="auto"/>
        <w:ind w:firstLine="720"/>
        <w:jc w:val="both"/>
        <w:rPr>
          <w:rFonts w:ascii="Times New Roman" w:eastAsia="Calibri" w:hAnsi="Times New Roman" w:cs="Times New Roman"/>
        </w:rPr>
      </w:pPr>
    </w:p>
    <w:p w:rsidR="00847B1B" w:rsidRDefault="00847B1B" w:rsidP="00847B1B">
      <w:pPr>
        <w:spacing w:after="0" w:line="360" w:lineRule="auto"/>
        <w:ind w:firstLine="720"/>
        <w:jc w:val="both"/>
        <w:rPr>
          <w:rFonts w:ascii="Times New Roman" w:eastAsia="Calibri" w:hAnsi="Times New Roman" w:cs="Times New Roman"/>
        </w:rPr>
      </w:pPr>
    </w:p>
    <w:p w:rsidR="00847B1B" w:rsidRDefault="00847B1B" w:rsidP="00847B1B">
      <w:pPr>
        <w:spacing w:after="0" w:line="360" w:lineRule="auto"/>
        <w:jc w:val="both"/>
        <w:rPr>
          <w:rFonts w:ascii="Times New Roman" w:eastAsia="Calibri" w:hAnsi="Times New Roman" w:cs="Times New Roman"/>
        </w:rPr>
      </w:pPr>
    </w:p>
    <w:p w:rsidR="00847B1B" w:rsidRDefault="00847B1B" w:rsidP="00847B1B">
      <w:pPr>
        <w:spacing w:after="0" w:line="360" w:lineRule="auto"/>
        <w:ind w:firstLine="720"/>
        <w:jc w:val="both"/>
        <w:rPr>
          <w:rFonts w:ascii="Times New Roman" w:eastAsia="Calibri" w:hAnsi="Times New Roman" w:cs="Times New Roman"/>
        </w:rPr>
      </w:pPr>
    </w:p>
    <w:p w:rsidR="00847B1B" w:rsidRPr="00847B1B" w:rsidRDefault="00847B1B" w:rsidP="00847B1B">
      <w:pPr>
        <w:spacing w:after="0" w:line="360" w:lineRule="auto"/>
        <w:ind w:firstLine="720"/>
        <w:jc w:val="both"/>
        <w:rPr>
          <w:rFonts w:ascii="Times New Roman" w:eastAsia="Calibri" w:hAnsi="Times New Roman" w:cs="Times New Roman"/>
        </w:rPr>
      </w:pPr>
    </w:p>
    <w:p w:rsidR="00DC61C4" w:rsidRPr="00BF57EB" w:rsidRDefault="002175A3" w:rsidP="00847B1B">
      <w:pPr>
        <w:spacing w:line="360" w:lineRule="auto"/>
        <w:contextualSpacing/>
        <w:jc w:val="both"/>
        <w:rPr>
          <w:rFonts w:ascii="Times New Roman" w:eastAsia="Calibri" w:hAnsi="Times New Roman" w:cs="Times New Roman"/>
          <w:b/>
        </w:rPr>
      </w:pPr>
      <w:r w:rsidRPr="00BF57EB">
        <w:rPr>
          <w:rFonts w:ascii="Times New Roman" w:eastAsia="Calibri" w:hAnsi="Times New Roman" w:cs="Times New Roman"/>
          <w:b/>
        </w:rPr>
        <w:lastRenderedPageBreak/>
        <w:t>ii) Ferro-Manganese</w:t>
      </w:r>
    </w:p>
    <w:p w:rsidR="00CB080A" w:rsidRPr="00BF57EB" w:rsidRDefault="007546EB" w:rsidP="00847B1B">
      <w:pPr>
        <w:spacing w:after="0" w:line="360" w:lineRule="auto"/>
        <w:ind w:firstLine="720"/>
        <w:contextualSpacing/>
        <w:jc w:val="both"/>
        <w:rPr>
          <w:rFonts w:ascii="Times New Roman" w:eastAsia="Calibri" w:hAnsi="Times New Roman" w:cs="Times New Roman"/>
        </w:rPr>
      </w:pPr>
      <w:r w:rsidRPr="00BF57EB">
        <w:rPr>
          <w:rFonts w:ascii="Times New Roman" w:eastAsia="Calibri" w:hAnsi="Times New Roman" w:cs="Times New Roman"/>
        </w:rPr>
        <w:t>For Fe-Mn</w:t>
      </w:r>
      <w:r w:rsidR="00DC61C4" w:rsidRPr="00BF57EB">
        <w:rPr>
          <w:rFonts w:ascii="Times New Roman" w:eastAsia="Calibri" w:hAnsi="Times New Roman" w:cs="Times New Roman"/>
        </w:rPr>
        <w:t xml:space="preserve"> </w:t>
      </w:r>
      <w:r w:rsidR="002175A3" w:rsidRPr="00BF57EB">
        <w:rPr>
          <w:rFonts w:ascii="Times New Roman" w:eastAsia="Calibri" w:hAnsi="Times New Roman" w:cs="Times New Roman"/>
        </w:rPr>
        <w:t>two main</w:t>
      </w:r>
      <w:r w:rsidRPr="00BF57EB">
        <w:rPr>
          <w:rFonts w:ascii="Times New Roman" w:eastAsia="Calibri" w:hAnsi="Times New Roman" w:cs="Times New Roman"/>
        </w:rPr>
        <w:t xml:space="preserve"> literature</w:t>
      </w:r>
      <w:r w:rsidR="002175A3" w:rsidRPr="00BF57EB">
        <w:rPr>
          <w:rFonts w:ascii="Times New Roman" w:eastAsia="Calibri" w:hAnsi="Times New Roman" w:cs="Times New Roman"/>
        </w:rPr>
        <w:t xml:space="preserve"> sources</w:t>
      </w:r>
      <w:r w:rsidRPr="00BF57EB">
        <w:rPr>
          <w:rFonts w:ascii="Times New Roman" w:eastAsia="Calibri" w:hAnsi="Times New Roman" w:cs="Times New Roman"/>
        </w:rPr>
        <w:t xml:space="preserve"> were used to ascertain the primary global producer</w:t>
      </w:r>
      <w:r w:rsidR="005672E5" w:rsidRPr="00BF57EB">
        <w:rPr>
          <w:rFonts w:ascii="Times New Roman" w:eastAsia="Calibri" w:hAnsi="Times New Roman" w:cs="Times New Roman"/>
        </w:rPr>
        <w:t>s</w:t>
      </w:r>
      <w:r w:rsidRPr="00BF57EB">
        <w:rPr>
          <w:rFonts w:ascii="Times New Roman" w:eastAsia="Calibri" w:hAnsi="Times New Roman" w:cs="Times New Roman"/>
        </w:rPr>
        <w:t xml:space="preserve"> of Fe-Mn as shown by </w:t>
      </w:r>
      <w:r w:rsidR="00A6415F" w:rsidRPr="00BF57EB">
        <w:fldChar w:fldCharType="begin"/>
      </w:r>
      <w:r w:rsidR="00A6415F" w:rsidRPr="00BF57EB">
        <w:instrText xml:space="preserve"> REF _Ref473306018 \h  \* MERGEFORMAT </w:instrText>
      </w:r>
      <w:r w:rsidR="00A6415F" w:rsidRPr="00BF57EB">
        <w:fldChar w:fldCharType="separate"/>
      </w:r>
      <w:r w:rsidR="009F5483" w:rsidRPr="00BF57EB">
        <w:rPr>
          <w:rFonts w:ascii="Times New Roman" w:hAnsi="Times New Roman" w:cs="Times New Roman"/>
        </w:rPr>
        <w:t xml:space="preserve">Table </w:t>
      </w:r>
      <w:r w:rsidR="009F5483">
        <w:rPr>
          <w:rFonts w:ascii="Times New Roman" w:hAnsi="Times New Roman" w:cs="Times New Roman"/>
          <w:noProof/>
        </w:rPr>
        <w:t>13</w:t>
      </w:r>
      <w:r w:rsidR="00A6415F" w:rsidRPr="00BF57EB">
        <w:fldChar w:fldCharType="end"/>
      </w:r>
      <w:r w:rsidRPr="00BF57EB">
        <w:rPr>
          <w:rFonts w:ascii="Times New Roman" w:eastAsia="Calibri" w:hAnsi="Times New Roman" w:cs="Times New Roman"/>
        </w:rPr>
        <w:t xml:space="preserve"> and </w:t>
      </w:r>
      <w:r w:rsidR="00A6415F" w:rsidRPr="00BF57EB">
        <w:fldChar w:fldCharType="begin"/>
      </w:r>
      <w:r w:rsidR="00A6415F" w:rsidRPr="00BF57EB">
        <w:instrText xml:space="preserve"> REF _Ref473306949 \h  \* MERGEFORMAT </w:instrText>
      </w:r>
      <w:r w:rsidR="00A6415F" w:rsidRPr="00BF57EB">
        <w:fldChar w:fldCharType="separate"/>
      </w:r>
      <w:r w:rsidR="009F5483" w:rsidRPr="00BF57EB">
        <w:rPr>
          <w:rFonts w:ascii="Times New Roman" w:hAnsi="Times New Roman" w:cs="Times New Roman"/>
          <w:noProof/>
        </w:rPr>
        <w:t>Table</w:t>
      </w:r>
      <w:r w:rsidR="009F5483" w:rsidRPr="00BF57EB">
        <w:rPr>
          <w:rFonts w:ascii="Times New Roman" w:hAnsi="Times New Roman" w:cs="Times New Roman"/>
        </w:rPr>
        <w:t xml:space="preserve"> </w:t>
      </w:r>
      <w:r w:rsidR="009F5483">
        <w:rPr>
          <w:rFonts w:ascii="Times New Roman" w:hAnsi="Times New Roman" w:cs="Times New Roman"/>
          <w:noProof/>
        </w:rPr>
        <w:t>14</w:t>
      </w:r>
      <w:r w:rsidR="00A6415F" w:rsidRPr="00BF57EB">
        <w:fldChar w:fldCharType="end"/>
      </w:r>
      <w:r w:rsidRPr="00BF57EB">
        <w:rPr>
          <w:rFonts w:ascii="Times New Roman" w:eastAsia="Calibri" w:hAnsi="Times New Roman" w:cs="Times New Roman"/>
        </w:rPr>
        <w:t>.</w:t>
      </w:r>
      <w:r w:rsidR="0033567C" w:rsidRPr="00BF57EB">
        <w:rPr>
          <w:rFonts w:ascii="Times New Roman" w:eastAsia="Calibri" w:hAnsi="Times New Roman" w:cs="Times New Roman"/>
        </w:rPr>
        <w:t xml:space="preserve"> The first of these data sources</w:t>
      </w:r>
      <w:r w:rsidRPr="00BF57EB">
        <w:rPr>
          <w:rFonts w:ascii="Times New Roman" w:eastAsia="Calibri" w:hAnsi="Times New Roman" w:cs="Times New Roman"/>
        </w:rPr>
        <w:t xml:space="preserve"> </w:t>
      </w:r>
      <w:r w:rsidR="0033567C" w:rsidRPr="00BF57EB">
        <w:rPr>
          <w:rFonts w:ascii="Times New Roman" w:eastAsia="Calibri" w:hAnsi="Times New Roman" w:cs="Times New Roman"/>
        </w:rPr>
        <w:t>utilised</w:t>
      </w:r>
      <w:r w:rsidRPr="00BF57EB">
        <w:rPr>
          <w:rFonts w:ascii="Times New Roman" w:eastAsia="Calibri" w:hAnsi="Times New Roman" w:cs="Times New Roman"/>
        </w:rPr>
        <w:t xml:space="preserve"> data from USGS</w:t>
      </w:r>
      <w:r w:rsidR="0033567C" w:rsidRPr="00BF57EB">
        <w:rPr>
          <w:rFonts w:ascii="Times New Roman" w:eastAsia="Calibri" w:hAnsi="Times New Roman" w:cs="Times New Roman"/>
        </w:rPr>
        <w:t xml:space="preserve"> </w:t>
      </w:r>
      <w:r w:rsidR="0033567C" w:rsidRPr="00BF57EB">
        <w:rPr>
          <w:rFonts w:ascii="Times New Roman" w:eastAsia="Calibri" w:hAnsi="Times New Roman" w:cs="Times New Roman"/>
          <w:noProof/>
        </w:rPr>
        <w:t>(Bedinger et al. 2015)</w:t>
      </w:r>
      <w:r w:rsidRPr="00BF57EB">
        <w:rPr>
          <w:rFonts w:ascii="Times New Roman" w:eastAsia="Calibri" w:hAnsi="Times New Roman" w:cs="Times New Roman"/>
        </w:rPr>
        <w:t xml:space="preserve"> </w:t>
      </w:r>
      <w:r w:rsidR="0033567C" w:rsidRPr="00BF57EB">
        <w:rPr>
          <w:rFonts w:ascii="Times New Roman" w:eastAsia="Calibri" w:hAnsi="Times New Roman" w:cs="Times New Roman"/>
        </w:rPr>
        <w:t>which included</w:t>
      </w:r>
      <w:r w:rsidRPr="00BF57EB">
        <w:rPr>
          <w:rFonts w:ascii="Times New Roman" w:eastAsia="Calibri" w:hAnsi="Times New Roman" w:cs="Times New Roman"/>
        </w:rPr>
        <w:t xml:space="preserve"> breakdown contributions from both blast furnace and electric furnace</w:t>
      </w:r>
      <w:r w:rsidR="0033567C" w:rsidRPr="00BF57EB">
        <w:rPr>
          <w:rFonts w:ascii="Times New Roman" w:eastAsia="Calibri" w:hAnsi="Times New Roman" w:cs="Times New Roman"/>
        </w:rPr>
        <w:t xml:space="preserve"> processes for Fe-Mn production.</w:t>
      </w:r>
    </w:p>
    <w:p w:rsidR="00DC61C4" w:rsidRPr="00BF57EB" w:rsidRDefault="00DC61C4" w:rsidP="004D2D91">
      <w:pPr>
        <w:jc w:val="both"/>
        <w:rPr>
          <w:rFonts w:ascii="Times New Roman" w:eastAsia="Calibri" w:hAnsi="Times New Roman" w:cs="Times New Roman"/>
        </w:rPr>
      </w:pPr>
      <w:bookmarkStart w:id="64" w:name="_Ref473306018"/>
      <w:bookmarkStart w:id="65" w:name="_Toc474486521"/>
      <w:bookmarkStart w:id="66" w:name="_Toc495852691"/>
      <w:r w:rsidRPr="00BF57EB">
        <w:rPr>
          <w:rFonts w:ascii="Times New Roman" w:hAnsi="Times New Roman" w:cs="Times New Roman"/>
        </w:rPr>
        <w:t xml:space="preserve">Table </w:t>
      </w:r>
      <w:r w:rsidR="009A0ED7" w:rsidRPr="00BF57EB">
        <w:rPr>
          <w:rFonts w:ascii="Times New Roman" w:hAnsi="Times New Roman" w:cs="Times New Roman"/>
        </w:rPr>
        <w:fldChar w:fldCharType="begin"/>
      </w:r>
      <w:r w:rsidRPr="00BF57EB">
        <w:rPr>
          <w:rFonts w:ascii="Times New Roman" w:hAnsi="Times New Roman" w:cs="Times New Roman"/>
        </w:rPr>
        <w:instrText xml:space="preserve"> SEQ Table \* ARABIC </w:instrText>
      </w:r>
      <w:r w:rsidR="009A0ED7" w:rsidRPr="00BF57EB">
        <w:rPr>
          <w:rFonts w:ascii="Times New Roman" w:hAnsi="Times New Roman" w:cs="Times New Roman"/>
        </w:rPr>
        <w:fldChar w:fldCharType="separate"/>
      </w:r>
      <w:r w:rsidR="009F5483">
        <w:rPr>
          <w:rFonts w:ascii="Times New Roman" w:hAnsi="Times New Roman" w:cs="Times New Roman"/>
          <w:noProof/>
        </w:rPr>
        <w:t>13</w:t>
      </w:r>
      <w:r w:rsidR="009A0ED7" w:rsidRPr="00BF57EB">
        <w:rPr>
          <w:rFonts w:ascii="Times New Roman" w:hAnsi="Times New Roman" w:cs="Times New Roman"/>
        </w:rPr>
        <w:fldChar w:fldCharType="end"/>
      </w:r>
      <w:bookmarkEnd w:id="64"/>
      <w:r w:rsidRPr="00BF57EB">
        <w:rPr>
          <w:rFonts w:ascii="Times New Roman" w:hAnsi="Times New Roman" w:cs="Times New Roman"/>
        </w:rPr>
        <w:t xml:space="preserve">. </w:t>
      </w:r>
      <w:r w:rsidRPr="00BF57EB">
        <w:rPr>
          <w:rFonts w:ascii="Times New Roman" w:eastAsia="Calibri" w:hAnsi="Times New Roman" w:cs="Times New Roman"/>
        </w:rPr>
        <w:t>Top thre</w:t>
      </w:r>
      <w:r w:rsidR="007546EB" w:rsidRPr="00BF57EB">
        <w:rPr>
          <w:rFonts w:ascii="Times New Roman" w:eastAsia="Calibri" w:hAnsi="Times New Roman" w:cs="Times New Roman"/>
        </w:rPr>
        <w:t>e global Fe-Mn producers in 2011</w:t>
      </w:r>
      <w:r w:rsidRPr="00BF57EB">
        <w:rPr>
          <w:rFonts w:ascii="Times New Roman" w:eastAsia="Calibri" w:hAnsi="Times New Roman" w:cs="Times New Roman"/>
        </w:rPr>
        <w:t xml:space="preserve"> according to</w:t>
      </w:r>
      <w:r w:rsidR="00CB080A" w:rsidRPr="00BF57EB">
        <w:rPr>
          <w:rFonts w:ascii="Times New Roman" w:eastAsia="Calibri" w:hAnsi="Times New Roman" w:cs="Times New Roman"/>
        </w:rPr>
        <w:t xml:space="preserve"> </w:t>
      </w:r>
      <w:r w:rsidR="00CB080A" w:rsidRPr="00BF57EB">
        <w:rPr>
          <w:rFonts w:ascii="Times New Roman" w:eastAsia="Calibri" w:hAnsi="Times New Roman" w:cs="Times New Roman"/>
          <w:noProof/>
        </w:rPr>
        <w:t>(Bedinger et al. 2015)</w:t>
      </w:r>
      <w:r w:rsidR="00075A7F" w:rsidRPr="00BF57EB">
        <w:rPr>
          <w:rFonts w:ascii="Times New Roman" w:eastAsia="Calibri" w:hAnsi="Times New Roman" w:cs="Times New Roman"/>
        </w:rPr>
        <w:t>.</w:t>
      </w:r>
      <w:bookmarkEnd w:id="65"/>
      <w:bookmarkEnd w:id="66"/>
      <w:r w:rsidR="00075A7F" w:rsidRPr="00BF57EB">
        <w:rPr>
          <w:rFonts w:ascii="Times New Roman" w:eastAsia="Calibri" w:hAnsi="Times New Roman" w:cs="Times New Roman"/>
        </w:rPr>
        <w:t xml:space="preserve"> </w:t>
      </w:r>
    </w:p>
    <w:tbl>
      <w:tblPr>
        <w:tblW w:w="5003" w:type="pct"/>
        <w:tblInd w:w="-5" w:type="dxa"/>
        <w:tblLook w:val="04A0" w:firstRow="1" w:lastRow="0" w:firstColumn="1" w:lastColumn="0" w:noHBand="0" w:noVBand="1"/>
      </w:tblPr>
      <w:tblGrid>
        <w:gridCol w:w="1745"/>
        <w:gridCol w:w="1905"/>
        <w:gridCol w:w="2235"/>
        <w:gridCol w:w="1005"/>
        <w:gridCol w:w="2131"/>
      </w:tblGrid>
      <w:tr w:rsidR="0033567C" w:rsidRPr="00BF57EB" w:rsidTr="0033567C">
        <w:trPr>
          <w:gridBefore w:val="1"/>
          <w:wBefore w:w="967" w:type="pct"/>
          <w:trHeight w:val="300"/>
        </w:trPr>
        <w:tc>
          <w:tcPr>
            <w:tcW w:w="4033" w:type="pct"/>
            <w:gridSpan w:val="4"/>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Calibri" w:eastAsia="Times New Roman" w:hAnsi="Calibri" w:cs="Times New Roman"/>
                <w:bCs/>
              </w:rPr>
            </w:pPr>
            <w:r w:rsidRPr="00BF57EB">
              <w:rPr>
                <w:rFonts w:ascii="Times New Roman" w:eastAsia="Times New Roman" w:hAnsi="Times New Roman" w:cs="Times New Roman"/>
                <w:bCs/>
              </w:rPr>
              <w:t>USGS Ferro-Alloys Quantity (Mt</w:t>
            </w:r>
            <w:r w:rsidRPr="00BF57EB">
              <w:rPr>
                <w:rFonts w:ascii="Calibri" w:eastAsia="Times New Roman" w:hAnsi="Calibri" w:cs="Times New Roman"/>
                <w:bCs/>
              </w:rPr>
              <w:t>)</w:t>
            </w:r>
          </w:p>
        </w:tc>
      </w:tr>
      <w:tr w:rsidR="0033567C" w:rsidRPr="00BF57EB" w:rsidTr="0033567C">
        <w:trPr>
          <w:trHeight w:val="300"/>
        </w:trPr>
        <w:tc>
          <w:tcPr>
            <w:tcW w:w="967"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bCs/>
              </w:rPr>
            </w:pPr>
            <w:r w:rsidRPr="00BF57EB">
              <w:rPr>
                <w:rFonts w:ascii="Times New Roman" w:eastAsia="Times New Roman" w:hAnsi="Times New Roman" w:cs="Times New Roman"/>
                <w:bCs/>
              </w:rPr>
              <w:t>Country</w:t>
            </w:r>
          </w:p>
        </w:tc>
        <w:tc>
          <w:tcPr>
            <w:tcW w:w="1056"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bCs/>
              </w:rPr>
            </w:pPr>
            <w:r w:rsidRPr="00BF57EB">
              <w:rPr>
                <w:rFonts w:ascii="Times New Roman" w:eastAsia="Times New Roman" w:hAnsi="Times New Roman" w:cs="Times New Roman"/>
                <w:bCs/>
              </w:rPr>
              <w:t>Blast Furnace</w:t>
            </w:r>
          </w:p>
        </w:tc>
        <w:tc>
          <w:tcPr>
            <w:tcW w:w="1239"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bCs/>
              </w:rPr>
            </w:pPr>
            <w:r w:rsidRPr="00BF57EB">
              <w:rPr>
                <w:rFonts w:ascii="Times New Roman" w:eastAsia="Times New Roman" w:hAnsi="Times New Roman" w:cs="Times New Roman"/>
                <w:bCs/>
              </w:rPr>
              <w:t>Electric Furnace</w:t>
            </w:r>
          </w:p>
        </w:tc>
        <w:tc>
          <w:tcPr>
            <w:tcW w:w="557"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bCs/>
              </w:rPr>
            </w:pPr>
            <w:r w:rsidRPr="00BF57EB">
              <w:rPr>
                <w:rFonts w:ascii="Times New Roman" w:eastAsia="Times New Roman" w:hAnsi="Times New Roman" w:cs="Times New Roman"/>
                <w:bCs/>
              </w:rPr>
              <w:t>Total</w:t>
            </w:r>
          </w:p>
        </w:tc>
        <w:tc>
          <w:tcPr>
            <w:tcW w:w="1181"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bCs/>
              </w:rPr>
            </w:pPr>
            <w:r w:rsidRPr="00BF57EB">
              <w:rPr>
                <w:rFonts w:ascii="Times New Roman" w:eastAsia="Times New Roman" w:hAnsi="Times New Roman" w:cs="Times New Roman"/>
                <w:bCs/>
              </w:rPr>
              <w:t>Percentage (%)</w:t>
            </w:r>
          </w:p>
        </w:tc>
      </w:tr>
      <w:tr w:rsidR="0033567C" w:rsidRPr="00BF57EB" w:rsidTr="0033567C">
        <w:trPr>
          <w:trHeight w:val="300"/>
        </w:trPr>
        <w:tc>
          <w:tcPr>
            <w:tcW w:w="967" w:type="pct"/>
            <w:tcBorders>
              <w:top w:val="nil"/>
              <w:left w:val="single" w:sz="4" w:space="0" w:color="auto"/>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China</w:t>
            </w:r>
          </w:p>
        </w:tc>
        <w:tc>
          <w:tcPr>
            <w:tcW w:w="1056"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0.350</w:t>
            </w:r>
          </w:p>
        </w:tc>
        <w:tc>
          <w:tcPr>
            <w:tcW w:w="1239"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2.700</w:t>
            </w:r>
          </w:p>
        </w:tc>
        <w:tc>
          <w:tcPr>
            <w:tcW w:w="557"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3.050</w:t>
            </w:r>
          </w:p>
        </w:tc>
        <w:tc>
          <w:tcPr>
            <w:tcW w:w="1181"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48.82</w:t>
            </w:r>
          </w:p>
        </w:tc>
      </w:tr>
      <w:tr w:rsidR="0033567C" w:rsidRPr="00BF57EB" w:rsidTr="0033567C">
        <w:trPr>
          <w:trHeight w:val="300"/>
        </w:trPr>
        <w:tc>
          <w:tcPr>
            <w:tcW w:w="967" w:type="pct"/>
            <w:tcBorders>
              <w:top w:val="nil"/>
              <w:left w:val="single" w:sz="4" w:space="0" w:color="auto"/>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South Africa</w:t>
            </w:r>
          </w:p>
        </w:tc>
        <w:tc>
          <w:tcPr>
            <w:tcW w:w="1056"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w:t>
            </w:r>
          </w:p>
        </w:tc>
        <w:tc>
          <w:tcPr>
            <w:tcW w:w="1239"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0.714</w:t>
            </w:r>
          </w:p>
        </w:tc>
        <w:tc>
          <w:tcPr>
            <w:tcW w:w="557"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0.714</w:t>
            </w:r>
          </w:p>
        </w:tc>
        <w:tc>
          <w:tcPr>
            <w:tcW w:w="1181"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11.43</w:t>
            </w:r>
          </w:p>
        </w:tc>
      </w:tr>
      <w:tr w:rsidR="0033567C" w:rsidRPr="00BF57EB" w:rsidTr="0033567C">
        <w:trPr>
          <w:trHeight w:val="300"/>
        </w:trPr>
        <w:tc>
          <w:tcPr>
            <w:tcW w:w="967" w:type="pct"/>
            <w:tcBorders>
              <w:top w:val="nil"/>
              <w:left w:val="single" w:sz="4" w:space="0" w:color="auto"/>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India</w:t>
            </w:r>
          </w:p>
        </w:tc>
        <w:tc>
          <w:tcPr>
            <w:tcW w:w="1056"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w:t>
            </w:r>
          </w:p>
        </w:tc>
        <w:tc>
          <w:tcPr>
            <w:tcW w:w="1239"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0.420</w:t>
            </w:r>
          </w:p>
        </w:tc>
        <w:tc>
          <w:tcPr>
            <w:tcW w:w="557"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0.420</w:t>
            </w:r>
          </w:p>
        </w:tc>
        <w:tc>
          <w:tcPr>
            <w:tcW w:w="1181"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6.72</w:t>
            </w:r>
          </w:p>
        </w:tc>
      </w:tr>
      <w:tr w:rsidR="0033567C" w:rsidRPr="00BF57EB" w:rsidTr="0033567C">
        <w:trPr>
          <w:trHeight w:val="300"/>
        </w:trPr>
        <w:tc>
          <w:tcPr>
            <w:tcW w:w="967" w:type="pct"/>
            <w:tcBorders>
              <w:top w:val="nil"/>
              <w:left w:val="single" w:sz="4" w:space="0" w:color="auto"/>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Other</w:t>
            </w:r>
          </w:p>
        </w:tc>
        <w:tc>
          <w:tcPr>
            <w:tcW w:w="1056"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0.147</w:t>
            </w:r>
          </w:p>
        </w:tc>
        <w:tc>
          <w:tcPr>
            <w:tcW w:w="1239"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1.916</w:t>
            </w:r>
          </w:p>
        </w:tc>
        <w:tc>
          <w:tcPr>
            <w:tcW w:w="557"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2.063</w:t>
            </w:r>
          </w:p>
        </w:tc>
        <w:tc>
          <w:tcPr>
            <w:tcW w:w="1181"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33.02</w:t>
            </w:r>
          </w:p>
        </w:tc>
      </w:tr>
      <w:tr w:rsidR="0033567C" w:rsidRPr="00BF57EB" w:rsidTr="0033567C">
        <w:trPr>
          <w:trHeight w:val="300"/>
        </w:trPr>
        <w:tc>
          <w:tcPr>
            <w:tcW w:w="967" w:type="pct"/>
            <w:tcBorders>
              <w:top w:val="nil"/>
              <w:left w:val="single" w:sz="4" w:space="0" w:color="auto"/>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Global Total</w:t>
            </w:r>
          </w:p>
        </w:tc>
        <w:tc>
          <w:tcPr>
            <w:tcW w:w="1056"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0.497</w:t>
            </w:r>
          </w:p>
        </w:tc>
        <w:tc>
          <w:tcPr>
            <w:tcW w:w="1239"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5.750</w:t>
            </w:r>
          </w:p>
        </w:tc>
        <w:tc>
          <w:tcPr>
            <w:tcW w:w="557"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6.247</w:t>
            </w:r>
          </w:p>
        </w:tc>
        <w:tc>
          <w:tcPr>
            <w:tcW w:w="1181"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100.00</w:t>
            </w:r>
          </w:p>
        </w:tc>
      </w:tr>
    </w:tbl>
    <w:p w:rsidR="0033567C" w:rsidRPr="00BF57EB" w:rsidRDefault="0033567C" w:rsidP="00DC61C4">
      <w:pPr>
        <w:rPr>
          <w:rFonts w:ascii="Times New Roman" w:eastAsia="Calibri" w:hAnsi="Times New Roman" w:cs="Times New Roman"/>
        </w:rPr>
      </w:pPr>
    </w:p>
    <w:p w:rsidR="008B5486" w:rsidRPr="00BF57EB" w:rsidRDefault="0033567C" w:rsidP="004D2D91">
      <w:pPr>
        <w:spacing w:after="0" w:line="360" w:lineRule="auto"/>
        <w:ind w:firstLine="720"/>
        <w:jc w:val="both"/>
        <w:rPr>
          <w:rFonts w:ascii="Times New Roman" w:eastAsia="Calibri" w:hAnsi="Times New Roman" w:cs="Times New Roman"/>
        </w:rPr>
      </w:pPr>
      <w:r w:rsidRPr="00BF57EB">
        <w:rPr>
          <w:rFonts w:ascii="Times New Roman" w:eastAsia="Calibri" w:hAnsi="Times New Roman" w:cs="Times New Roman"/>
        </w:rPr>
        <w:t xml:space="preserve">For the data from India, the values were reported from the IMnI. On the other hand the data from </w:t>
      </w:r>
      <w:r w:rsidR="00A6415F" w:rsidRPr="00BF57EB">
        <w:fldChar w:fldCharType="begin"/>
      </w:r>
      <w:r w:rsidR="00A6415F" w:rsidRPr="00BF57EB">
        <w:instrText xml:space="preserve"> REF _Ref473306949 \h  \* MERGEFORMAT </w:instrText>
      </w:r>
      <w:r w:rsidR="00A6415F" w:rsidRPr="00BF57EB">
        <w:fldChar w:fldCharType="separate"/>
      </w:r>
      <w:r w:rsidR="009F5483" w:rsidRPr="00BF57EB">
        <w:rPr>
          <w:rFonts w:ascii="Times New Roman" w:hAnsi="Times New Roman" w:cs="Times New Roman"/>
        </w:rPr>
        <w:t xml:space="preserve">Table </w:t>
      </w:r>
      <w:r w:rsidR="009F5483">
        <w:rPr>
          <w:rFonts w:ascii="Times New Roman" w:hAnsi="Times New Roman" w:cs="Times New Roman"/>
          <w:noProof/>
        </w:rPr>
        <w:t>14</w:t>
      </w:r>
      <w:r w:rsidR="00A6415F" w:rsidRPr="00BF57EB">
        <w:fldChar w:fldCharType="end"/>
      </w:r>
      <w:r w:rsidRPr="00BF57EB">
        <w:rPr>
          <w:rFonts w:ascii="Times New Roman" w:eastAsia="Calibri" w:hAnsi="Times New Roman" w:cs="Times New Roman"/>
        </w:rPr>
        <w:t xml:space="preserve"> categorised the data into HC Fe-Mn and refined Fe-Mn as shown below.</w:t>
      </w:r>
    </w:p>
    <w:p w:rsidR="00847B1B" w:rsidRDefault="00847B1B" w:rsidP="00CA6029">
      <w:pPr>
        <w:spacing w:line="240" w:lineRule="auto"/>
        <w:jc w:val="both"/>
        <w:rPr>
          <w:rFonts w:ascii="Times New Roman" w:hAnsi="Times New Roman" w:cs="Times New Roman"/>
        </w:rPr>
      </w:pPr>
      <w:bookmarkStart w:id="67" w:name="_Ref473306949"/>
      <w:bookmarkStart w:id="68" w:name="_Toc474486522"/>
    </w:p>
    <w:p w:rsidR="002175A3" w:rsidRPr="00BF57EB" w:rsidRDefault="002175A3" w:rsidP="00CA6029">
      <w:pPr>
        <w:spacing w:line="240" w:lineRule="auto"/>
        <w:jc w:val="both"/>
        <w:rPr>
          <w:rFonts w:ascii="Times New Roman" w:eastAsia="Calibri" w:hAnsi="Times New Roman" w:cs="Times New Roman"/>
        </w:rPr>
      </w:pPr>
      <w:bookmarkStart w:id="69" w:name="_Toc495852692"/>
      <w:r w:rsidRPr="00BF57EB">
        <w:rPr>
          <w:rFonts w:ascii="Times New Roman" w:hAnsi="Times New Roman" w:cs="Times New Roman"/>
        </w:rPr>
        <w:t xml:space="preserve">Table </w:t>
      </w:r>
      <w:r w:rsidR="009A0ED7" w:rsidRPr="00BF57EB">
        <w:rPr>
          <w:rFonts w:ascii="Times New Roman" w:hAnsi="Times New Roman" w:cs="Times New Roman"/>
        </w:rPr>
        <w:fldChar w:fldCharType="begin"/>
      </w:r>
      <w:r w:rsidRPr="00BF57EB">
        <w:rPr>
          <w:rFonts w:ascii="Times New Roman" w:hAnsi="Times New Roman" w:cs="Times New Roman"/>
        </w:rPr>
        <w:instrText xml:space="preserve"> SEQ Table \* ARABIC </w:instrText>
      </w:r>
      <w:r w:rsidR="009A0ED7" w:rsidRPr="00BF57EB">
        <w:rPr>
          <w:rFonts w:ascii="Times New Roman" w:hAnsi="Times New Roman" w:cs="Times New Roman"/>
        </w:rPr>
        <w:fldChar w:fldCharType="separate"/>
      </w:r>
      <w:r w:rsidR="009F5483">
        <w:rPr>
          <w:rFonts w:ascii="Times New Roman" w:hAnsi="Times New Roman" w:cs="Times New Roman"/>
          <w:noProof/>
        </w:rPr>
        <w:t>14</w:t>
      </w:r>
      <w:r w:rsidR="009A0ED7" w:rsidRPr="00BF57EB">
        <w:rPr>
          <w:rFonts w:ascii="Times New Roman" w:hAnsi="Times New Roman" w:cs="Times New Roman"/>
        </w:rPr>
        <w:fldChar w:fldCharType="end"/>
      </w:r>
      <w:bookmarkEnd w:id="67"/>
      <w:r w:rsidRPr="00BF57EB">
        <w:rPr>
          <w:rFonts w:ascii="Times New Roman" w:hAnsi="Times New Roman" w:cs="Times New Roman"/>
        </w:rPr>
        <w:t xml:space="preserve"> Top three </w:t>
      </w:r>
      <w:r w:rsidR="004D2D91" w:rsidRPr="00BF57EB">
        <w:rPr>
          <w:rFonts w:ascii="Times New Roman" w:hAnsi="Times New Roman" w:cs="Times New Roman"/>
        </w:rPr>
        <w:t>global HC Fe-Mn and refined m</w:t>
      </w:r>
      <w:r w:rsidRPr="00BF57EB">
        <w:rPr>
          <w:rFonts w:ascii="Times New Roman" w:hAnsi="Times New Roman" w:cs="Times New Roman"/>
        </w:rPr>
        <w:t xml:space="preserve">anganese producers in </w:t>
      </w:r>
      <w:r w:rsidR="007546EB" w:rsidRPr="00BF57EB">
        <w:rPr>
          <w:rFonts w:ascii="Times New Roman" w:hAnsi="Times New Roman" w:cs="Times New Roman"/>
        </w:rPr>
        <w:t xml:space="preserve">2011 according to </w:t>
      </w:r>
      <w:r w:rsidR="007546EB" w:rsidRPr="00BF57EB">
        <w:rPr>
          <w:rFonts w:ascii="Times New Roman" w:hAnsi="Times New Roman" w:cs="Times New Roman"/>
          <w:noProof/>
        </w:rPr>
        <w:t>(IMnI 2011)</w:t>
      </w:r>
      <w:r w:rsidR="005672E5" w:rsidRPr="00BF57EB">
        <w:rPr>
          <w:rFonts w:ascii="Times New Roman" w:hAnsi="Times New Roman" w:cs="Times New Roman"/>
        </w:rPr>
        <w:t>.</w:t>
      </w:r>
      <w:bookmarkEnd w:id="68"/>
      <w:bookmarkEnd w:id="69"/>
    </w:p>
    <w:tbl>
      <w:tblPr>
        <w:tblW w:w="5003" w:type="pct"/>
        <w:tblInd w:w="-5" w:type="dxa"/>
        <w:tblLook w:val="04A0" w:firstRow="1" w:lastRow="0" w:firstColumn="1" w:lastColumn="0" w:noHBand="0" w:noVBand="1"/>
      </w:tblPr>
      <w:tblGrid>
        <w:gridCol w:w="1532"/>
        <w:gridCol w:w="1375"/>
        <w:gridCol w:w="1696"/>
        <w:gridCol w:w="1440"/>
        <w:gridCol w:w="889"/>
        <w:gridCol w:w="2089"/>
      </w:tblGrid>
      <w:tr w:rsidR="00932644" w:rsidRPr="00BF57EB" w:rsidTr="00932644">
        <w:trPr>
          <w:gridBefore w:val="1"/>
          <w:wBefore w:w="849" w:type="pct"/>
          <w:trHeight w:val="300"/>
        </w:trPr>
        <w:tc>
          <w:tcPr>
            <w:tcW w:w="4151" w:type="pct"/>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32644" w:rsidRPr="00BF57EB" w:rsidRDefault="00932644" w:rsidP="0033567C">
            <w:pPr>
              <w:spacing w:after="0" w:line="240" w:lineRule="auto"/>
              <w:jc w:val="center"/>
              <w:rPr>
                <w:rFonts w:ascii="Times New Roman" w:eastAsia="Times New Roman" w:hAnsi="Times New Roman" w:cs="Times New Roman"/>
                <w:bCs/>
              </w:rPr>
            </w:pPr>
            <w:r w:rsidRPr="00BF57EB">
              <w:rPr>
                <w:rFonts w:ascii="Times New Roman" w:eastAsia="Times New Roman" w:hAnsi="Times New Roman" w:cs="Times New Roman"/>
                <w:bCs/>
              </w:rPr>
              <w:t xml:space="preserve">International Manganese Institute (IMI) </w:t>
            </w:r>
          </w:p>
        </w:tc>
      </w:tr>
      <w:tr w:rsidR="0033567C" w:rsidRPr="00BF57EB" w:rsidTr="00932644">
        <w:trPr>
          <w:trHeight w:val="300"/>
        </w:trPr>
        <w:tc>
          <w:tcPr>
            <w:tcW w:w="84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Country</w:t>
            </w:r>
          </w:p>
        </w:tc>
        <w:tc>
          <w:tcPr>
            <w:tcW w:w="762"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HC Fe-Mn</w:t>
            </w:r>
          </w:p>
        </w:tc>
        <w:tc>
          <w:tcPr>
            <w:tcW w:w="940"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Country</w:t>
            </w:r>
          </w:p>
        </w:tc>
        <w:tc>
          <w:tcPr>
            <w:tcW w:w="798"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Ref Fe-Mn</w:t>
            </w:r>
          </w:p>
        </w:tc>
        <w:tc>
          <w:tcPr>
            <w:tcW w:w="493"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Total</w:t>
            </w:r>
          </w:p>
        </w:tc>
        <w:tc>
          <w:tcPr>
            <w:tcW w:w="1158"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Percentage (%)</w:t>
            </w:r>
          </w:p>
        </w:tc>
      </w:tr>
      <w:tr w:rsidR="0033567C" w:rsidRPr="00BF57EB" w:rsidTr="00932644">
        <w:trPr>
          <w:trHeight w:val="300"/>
        </w:trPr>
        <w:tc>
          <w:tcPr>
            <w:tcW w:w="849" w:type="pct"/>
            <w:tcBorders>
              <w:top w:val="nil"/>
              <w:left w:val="single" w:sz="4" w:space="0" w:color="auto"/>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China</w:t>
            </w:r>
          </w:p>
        </w:tc>
        <w:tc>
          <w:tcPr>
            <w:tcW w:w="762"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1.960</w:t>
            </w:r>
          </w:p>
        </w:tc>
        <w:tc>
          <w:tcPr>
            <w:tcW w:w="940"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China</w:t>
            </w:r>
          </w:p>
        </w:tc>
        <w:tc>
          <w:tcPr>
            <w:tcW w:w="798"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0.815</w:t>
            </w:r>
          </w:p>
        </w:tc>
        <w:tc>
          <w:tcPr>
            <w:tcW w:w="493"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2.775</w:t>
            </w:r>
          </w:p>
        </w:tc>
        <w:tc>
          <w:tcPr>
            <w:tcW w:w="1158"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 </w:t>
            </w:r>
            <w:r w:rsidR="00932644" w:rsidRPr="00BF57EB">
              <w:rPr>
                <w:rFonts w:ascii="Times New Roman" w:eastAsia="Times New Roman" w:hAnsi="Times New Roman" w:cs="Times New Roman"/>
              </w:rPr>
              <w:t>40.76</w:t>
            </w:r>
          </w:p>
        </w:tc>
      </w:tr>
      <w:tr w:rsidR="0033567C" w:rsidRPr="00BF57EB" w:rsidTr="00932644">
        <w:trPr>
          <w:trHeight w:val="300"/>
        </w:trPr>
        <w:tc>
          <w:tcPr>
            <w:tcW w:w="849" w:type="pct"/>
            <w:tcBorders>
              <w:top w:val="nil"/>
              <w:left w:val="single" w:sz="4" w:space="0" w:color="auto"/>
              <w:bottom w:val="single" w:sz="4" w:space="0" w:color="auto"/>
              <w:right w:val="single" w:sz="4" w:space="0" w:color="auto"/>
            </w:tcBorders>
            <w:shd w:val="clear" w:color="000000" w:fill="FFFFFF"/>
            <w:noWrap/>
            <w:vAlign w:val="bottom"/>
            <w:hideMark/>
          </w:tcPr>
          <w:p w:rsidR="0033567C" w:rsidRPr="00BF57EB" w:rsidRDefault="00932644"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 xml:space="preserve">South </w:t>
            </w:r>
            <w:r w:rsidR="0033567C" w:rsidRPr="00BF57EB">
              <w:rPr>
                <w:rFonts w:ascii="Times New Roman" w:eastAsia="Times New Roman" w:hAnsi="Times New Roman" w:cs="Times New Roman"/>
              </w:rPr>
              <w:t>Africa</w:t>
            </w:r>
          </w:p>
        </w:tc>
        <w:tc>
          <w:tcPr>
            <w:tcW w:w="762"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0.418</w:t>
            </w:r>
          </w:p>
        </w:tc>
        <w:tc>
          <w:tcPr>
            <w:tcW w:w="940"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Norway</w:t>
            </w:r>
          </w:p>
        </w:tc>
        <w:tc>
          <w:tcPr>
            <w:tcW w:w="798"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0.198</w:t>
            </w:r>
          </w:p>
        </w:tc>
        <w:tc>
          <w:tcPr>
            <w:tcW w:w="493"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0.616</w:t>
            </w:r>
          </w:p>
        </w:tc>
        <w:tc>
          <w:tcPr>
            <w:tcW w:w="1158"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 </w:t>
            </w:r>
            <w:r w:rsidR="00932644" w:rsidRPr="00BF57EB">
              <w:rPr>
                <w:rFonts w:ascii="Times New Roman" w:eastAsia="Times New Roman" w:hAnsi="Times New Roman" w:cs="Times New Roman"/>
              </w:rPr>
              <w:t>9.04</w:t>
            </w:r>
          </w:p>
        </w:tc>
      </w:tr>
      <w:tr w:rsidR="0033567C" w:rsidRPr="00BF57EB" w:rsidTr="00932644">
        <w:trPr>
          <w:trHeight w:val="300"/>
        </w:trPr>
        <w:tc>
          <w:tcPr>
            <w:tcW w:w="849" w:type="pct"/>
            <w:tcBorders>
              <w:top w:val="nil"/>
              <w:left w:val="single" w:sz="4" w:space="0" w:color="auto"/>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India</w:t>
            </w:r>
          </w:p>
        </w:tc>
        <w:tc>
          <w:tcPr>
            <w:tcW w:w="762"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0.400</w:t>
            </w:r>
          </w:p>
        </w:tc>
        <w:tc>
          <w:tcPr>
            <w:tcW w:w="940"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South Korea</w:t>
            </w:r>
          </w:p>
        </w:tc>
        <w:tc>
          <w:tcPr>
            <w:tcW w:w="798"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0.163</w:t>
            </w:r>
          </w:p>
        </w:tc>
        <w:tc>
          <w:tcPr>
            <w:tcW w:w="493"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0.563</w:t>
            </w:r>
          </w:p>
        </w:tc>
        <w:tc>
          <w:tcPr>
            <w:tcW w:w="1158"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 </w:t>
            </w:r>
            <w:r w:rsidR="00932644" w:rsidRPr="00BF57EB">
              <w:rPr>
                <w:rFonts w:ascii="Times New Roman" w:eastAsia="Times New Roman" w:hAnsi="Times New Roman" w:cs="Times New Roman"/>
              </w:rPr>
              <w:t>8.26</w:t>
            </w:r>
          </w:p>
        </w:tc>
      </w:tr>
      <w:tr w:rsidR="0033567C" w:rsidRPr="00BF57EB" w:rsidTr="00932644">
        <w:trPr>
          <w:trHeight w:val="300"/>
        </w:trPr>
        <w:tc>
          <w:tcPr>
            <w:tcW w:w="849" w:type="pct"/>
            <w:tcBorders>
              <w:top w:val="nil"/>
              <w:left w:val="single" w:sz="4" w:space="0" w:color="auto"/>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Other</w:t>
            </w:r>
          </w:p>
        </w:tc>
        <w:tc>
          <w:tcPr>
            <w:tcW w:w="762"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2.420</w:t>
            </w:r>
          </w:p>
        </w:tc>
        <w:tc>
          <w:tcPr>
            <w:tcW w:w="940"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Other</w:t>
            </w:r>
          </w:p>
        </w:tc>
        <w:tc>
          <w:tcPr>
            <w:tcW w:w="798"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0.434</w:t>
            </w:r>
          </w:p>
        </w:tc>
        <w:tc>
          <w:tcPr>
            <w:tcW w:w="493"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2.854</w:t>
            </w:r>
          </w:p>
        </w:tc>
        <w:tc>
          <w:tcPr>
            <w:tcW w:w="1158" w:type="pct"/>
            <w:tcBorders>
              <w:top w:val="nil"/>
              <w:left w:val="nil"/>
              <w:bottom w:val="single" w:sz="4" w:space="0" w:color="auto"/>
              <w:right w:val="single" w:sz="4" w:space="0" w:color="auto"/>
            </w:tcBorders>
            <w:shd w:val="clear" w:color="000000" w:fill="FFFFFF"/>
            <w:noWrap/>
            <w:vAlign w:val="bottom"/>
            <w:hideMark/>
          </w:tcPr>
          <w:p w:rsidR="0033567C" w:rsidRPr="00BF57EB" w:rsidRDefault="00932644"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41.93</w:t>
            </w:r>
          </w:p>
        </w:tc>
      </w:tr>
      <w:tr w:rsidR="0033567C" w:rsidRPr="00BF57EB" w:rsidTr="00932644">
        <w:trPr>
          <w:trHeight w:val="300"/>
        </w:trPr>
        <w:tc>
          <w:tcPr>
            <w:tcW w:w="849" w:type="pct"/>
            <w:tcBorders>
              <w:top w:val="nil"/>
              <w:left w:val="single" w:sz="4" w:space="0" w:color="auto"/>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Global Total</w:t>
            </w:r>
          </w:p>
        </w:tc>
        <w:tc>
          <w:tcPr>
            <w:tcW w:w="762" w:type="pct"/>
            <w:tcBorders>
              <w:top w:val="nil"/>
              <w:left w:val="nil"/>
              <w:bottom w:val="single" w:sz="4" w:space="0" w:color="auto"/>
              <w:right w:val="single" w:sz="4" w:space="0" w:color="auto"/>
            </w:tcBorders>
            <w:shd w:val="clear" w:color="000000" w:fill="FFFFFF"/>
            <w:noWrap/>
            <w:vAlign w:val="bottom"/>
            <w:hideMark/>
          </w:tcPr>
          <w:p w:rsidR="0033567C" w:rsidRPr="00BF57EB" w:rsidRDefault="00932644"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5.198</w:t>
            </w:r>
          </w:p>
        </w:tc>
        <w:tc>
          <w:tcPr>
            <w:tcW w:w="940" w:type="pct"/>
            <w:tcBorders>
              <w:top w:val="nil"/>
              <w:left w:val="nil"/>
              <w:bottom w:val="single" w:sz="4" w:space="0" w:color="auto"/>
              <w:right w:val="single" w:sz="4" w:space="0" w:color="auto"/>
            </w:tcBorders>
            <w:shd w:val="clear" w:color="000000" w:fill="FFFFFF"/>
            <w:noWrap/>
            <w:vAlign w:val="bottom"/>
            <w:hideMark/>
          </w:tcPr>
          <w:p w:rsidR="0033567C" w:rsidRPr="00BF57EB" w:rsidRDefault="0033567C"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Global Total</w:t>
            </w:r>
          </w:p>
        </w:tc>
        <w:tc>
          <w:tcPr>
            <w:tcW w:w="798" w:type="pct"/>
            <w:tcBorders>
              <w:top w:val="nil"/>
              <w:left w:val="nil"/>
              <w:bottom w:val="single" w:sz="4" w:space="0" w:color="auto"/>
              <w:right w:val="single" w:sz="4" w:space="0" w:color="auto"/>
            </w:tcBorders>
            <w:shd w:val="clear" w:color="000000" w:fill="FFFFFF"/>
            <w:noWrap/>
            <w:vAlign w:val="bottom"/>
            <w:hideMark/>
          </w:tcPr>
          <w:p w:rsidR="0033567C" w:rsidRPr="00BF57EB" w:rsidRDefault="00932644"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1.610</w:t>
            </w:r>
          </w:p>
        </w:tc>
        <w:tc>
          <w:tcPr>
            <w:tcW w:w="493" w:type="pct"/>
            <w:tcBorders>
              <w:top w:val="nil"/>
              <w:left w:val="nil"/>
              <w:bottom w:val="single" w:sz="4" w:space="0" w:color="auto"/>
              <w:right w:val="single" w:sz="4" w:space="0" w:color="auto"/>
            </w:tcBorders>
            <w:shd w:val="clear" w:color="000000" w:fill="FFFFFF"/>
            <w:noWrap/>
            <w:vAlign w:val="bottom"/>
            <w:hideMark/>
          </w:tcPr>
          <w:p w:rsidR="0033567C" w:rsidRPr="00BF57EB" w:rsidRDefault="00932644"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6.808</w:t>
            </w:r>
          </w:p>
        </w:tc>
        <w:tc>
          <w:tcPr>
            <w:tcW w:w="1158" w:type="pct"/>
            <w:tcBorders>
              <w:top w:val="nil"/>
              <w:left w:val="nil"/>
              <w:bottom w:val="single" w:sz="4" w:space="0" w:color="auto"/>
              <w:right w:val="single" w:sz="4" w:space="0" w:color="auto"/>
            </w:tcBorders>
            <w:shd w:val="clear" w:color="000000" w:fill="FFFFFF"/>
            <w:noWrap/>
            <w:vAlign w:val="bottom"/>
            <w:hideMark/>
          </w:tcPr>
          <w:p w:rsidR="0033567C" w:rsidRPr="00BF57EB" w:rsidRDefault="00932644" w:rsidP="0033567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100.00</w:t>
            </w:r>
            <w:r w:rsidR="0033567C" w:rsidRPr="00BF57EB">
              <w:rPr>
                <w:rFonts w:ascii="Times New Roman" w:eastAsia="Times New Roman" w:hAnsi="Times New Roman" w:cs="Times New Roman"/>
              </w:rPr>
              <w:t> </w:t>
            </w:r>
          </w:p>
        </w:tc>
      </w:tr>
    </w:tbl>
    <w:p w:rsidR="00DC61C4" w:rsidRPr="00BF57EB" w:rsidRDefault="00DC61C4" w:rsidP="00DC61C4">
      <w:pPr>
        <w:spacing w:after="0" w:line="360" w:lineRule="auto"/>
        <w:ind w:firstLine="720"/>
        <w:jc w:val="both"/>
        <w:rPr>
          <w:rFonts w:ascii="Times New Roman" w:eastAsia="Calibri" w:hAnsi="Times New Roman" w:cs="Times New Roman"/>
        </w:rPr>
      </w:pPr>
    </w:p>
    <w:p w:rsidR="007546EB" w:rsidRPr="00BF57EB" w:rsidRDefault="005672E5" w:rsidP="004D2D91">
      <w:pPr>
        <w:spacing w:after="0" w:line="360" w:lineRule="auto"/>
        <w:ind w:firstLine="720"/>
        <w:jc w:val="both"/>
        <w:rPr>
          <w:rFonts w:ascii="Times New Roman" w:eastAsia="Calibri" w:hAnsi="Times New Roman" w:cs="Times New Roman"/>
        </w:rPr>
      </w:pPr>
      <w:r w:rsidRPr="00BF57EB">
        <w:rPr>
          <w:rFonts w:ascii="Times New Roman" w:eastAsia="Calibri" w:hAnsi="Times New Roman" w:cs="Times New Roman"/>
        </w:rPr>
        <w:t>The two</w:t>
      </w:r>
      <w:r w:rsidR="00075A7F" w:rsidRPr="00BF57EB">
        <w:rPr>
          <w:rFonts w:ascii="Times New Roman" w:eastAsia="Calibri" w:hAnsi="Times New Roman" w:cs="Times New Roman"/>
        </w:rPr>
        <w:t xml:space="preserve"> data sources revealed a similar trend with China being the leading global producer of Fe-Mn albeit with different percentages (48.82% to 40.76%) and global production levels (6.247Mt to 6.808Mt). With identical data and assuming</w:t>
      </w:r>
      <w:r w:rsidR="007546EB" w:rsidRPr="00BF57EB">
        <w:rPr>
          <w:rFonts w:ascii="Times New Roman" w:eastAsia="Calibri" w:hAnsi="Times New Roman" w:cs="Times New Roman"/>
        </w:rPr>
        <w:t xml:space="preserve"> global production values of Fe-Mn inclu</w:t>
      </w:r>
      <w:r w:rsidR="00075A7F" w:rsidRPr="00BF57EB">
        <w:rPr>
          <w:rFonts w:ascii="Times New Roman" w:eastAsia="Calibri" w:hAnsi="Times New Roman" w:cs="Times New Roman"/>
        </w:rPr>
        <w:t xml:space="preserve">ded HC Fe-Mn and refined Fe-Mn, the data from </w:t>
      </w:r>
      <w:r w:rsidR="00075A7F" w:rsidRPr="00BF57EB">
        <w:rPr>
          <w:rFonts w:ascii="Times New Roman" w:eastAsia="Calibri" w:hAnsi="Times New Roman" w:cs="Times New Roman"/>
          <w:noProof/>
        </w:rPr>
        <w:t>(Bedinger et al. 2015)</w:t>
      </w:r>
      <w:r w:rsidR="00075A7F" w:rsidRPr="00BF57EB">
        <w:rPr>
          <w:rFonts w:ascii="Times New Roman" w:eastAsia="Calibri" w:hAnsi="Times New Roman" w:cs="Times New Roman"/>
        </w:rPr>
        <w:t xml:space="preserve"> was chosen.</w:t>
      </w:r>
    </w:p>
    <w:p w:rsidR="00847B1B" w:rsidRDefault="00847B1B" w:rsidP="00075A7F">
      <w:pPr>
        <w:spacing w:after="0" w:line="360" w:lineRule="auto"/>
        <w:jc w:val="both"/>
        <w:rPr>
          <w:rFonts w:ascii="Times New Roman" w:eastAsia="Calibri" w:hAnsi="Times New Roman" w:cs="Times New Roman"/>
          <w:b/>
        </w:rPr>
      </w:pPr>
    </w:p>
    <w:p w:rsidR="00075A7F" w:rsidRPr="00BF57EB" w:rsidRDefault="00075A7F" w:rsidP="00075A7F">
      <w:pPr>
        <w:spacing w:after="0" w:line="360" w:lineRule="auto"/>
        <w:jc w:val="both"/>
        <w:rPr>
          <w:rFonts w:ascii="Times New Roman" w:eastAsia="Calibri" w:hAnsi="Times New Roman" w:cs="Times New Roman"/>
          <w:b/>
        </w:rPr>
      </w:pPr>
      <w:r w:rsidRPr="00BF57EB">
        <w:rPr>
          <w:rFonts w:ascii="Times New Roman" w:eastAsia="Calibri" w:hAnsi="Times New Roman" w:cs="Times New Roman"/>
          <w:b/>
        </w:rPr>
        <w:t>iii) Ferro-Nickel</w:t>
      </w:r>
    </w:p>
    <w:p w:rsidR="00560F16" w:rsidRPr="00BF57EB" w:rsidRDefault="00560F16" w:rsidP="00052E45">
      <w:pPr>
        <w:spacing w:after="0" w:line="360" w:lineRule="auto"/>
        <w:ind w:firstLine="720"/>
        <w:jc w:val="both"/>
        <w:rPr>
          <w:rFonts w:ascii="Times New Roman" w:eastAsia="Calibri" w:hAnsi="Times New Roman" w:cs="Times New Roman"/>
        </w:rPr>
      </w:pPr>
      <w:r w:rsidRPr="00BF57EB">
        <w:rPr>
          <w:rFonts w:ascii="Times New Roman" w:eastAsia="Calibri" w:hAnsi="Times New Roman" w:cs="Times New Roman"/>
        </w:rPr>
        <w:t xml:space="preserve">For Fe-Ni </w:t>
      </w:r>
      <w:r w:rsidR="005672E5" w:rsidRPr="00BF57EB">
        <w:rPr>
          <w:rFonts w:ascii="Times New Roman" w:eastAsia="Calibri" w:hAnsi="Times New Roman" w:cs="Times New Roman"/>
        </w:rPr>
        <w:t xml:space="preserve">the primary data source utilised was </w:t>
      </w:r>
      <w:r w:rsidRPr="00BF57EB">
        <w:rPr>
          <w:rFonts w:ascii="Times New Roman" w:eastAsia="Calibri" w:hAnsi="Times New Roman" w:cs="Times New Roman"/>
        </w:rPr>
        <w:t xml:space="preserve">from </w:t>
      </w:r>
      <w:r w:rsidRPr="00BF57EB">
        <w:rPr>
          <w:rFonts w:ascii="Times New Roman" w:eastAsia="Calibri" w:hAnsi="Times New Roman" w:cs="Times New Roman"/>
          <w:noProof/>
        </w:rPr>
        <w:t>(Bedinger et al. 2015)</w:t>
      </w:r>
      <w:r w:rsidR="00847B1B">
        <w:rPr>
          <w:rFonts w:ascii="Times New Roman" w:eastAsia="Calibri" w:hAnsi="Times New Roman" w:cs="Times New Roman"/>
        </w:rPr>
        <w:t>, h</w:t>
      </w:r>
      <w:r w:rsidRPr="00BF57EB">
        <w:rPr>
          <w:rFonts w:ascii="Times New Roman" w:eastAsia="Calibri" w:hAnsi="Times New Roman" w:cs="Times New Roman"/>
        </w:rPr>
        <w:t xml:space="preserve">as illustrated by </w:t>
      </w:r>
      <w:r w:rsidR="00A6415F" w:rsidRPr="00BF57EB">
        <w:fldChar w:fldCharType="begin"/>
      </w:r>
      <w:r w:rsidR="00A6415F" w:rsidRPr="00BF57EB">
        <w:instrText xml:space="preserve"> REF _Ref473310541 \h  \* MERGEFORMAT </w:instrText>
      </w:r>
      <w:r w:rsidR="00A6415F" w:rsidRPr="00BF57EB">
        <w:fldChar w:fldCharType="separate"/>
      </w:r>
      <w:r w:rsidR="009F5483" w:rsidRPr="00BF57EB">
        <w:rPr>
          <w:rFonts w:ascii="Times New Roman" w:hAnsi="Times New Roman" w:cs="Times New Roman"/>
        </w:rPr>
        <w:t xml:space="preserve">Table </w:t>
      </w:r>
      <w:r w:rsidR="009F5483">
        <w:rPr>
          <w:rFonts w:ascii="Times New Roman" w:hAnsi="Times New Roman" w:cs="Times New Roman"/>
          <w:noProof/>
        </w:rPr>
        <w:t>15</w:t>
      </w:r>
      <w:r w:rsidR="00A6415F" w:rsidRPr="00BF57EB">
        <w:fldChar w:fldCharType="end"/>
      </w:r>
      <w:r w:rsidR="005672E5" w:rsidRPr="00BF57EB">
        <w:rPr>
          <w:rFonts w:ascii="Times New Roman" w:eastAsia="Calibri" w:hAnsi="Times New Roman" w:cs="Times New Roman"/>
        </w:rPr>
        <w:t xml:space="preserve">. Data from </w:t>
      </w:r>
      <w:r w:rsidR="005672E5" w:rsidRPr="00BF57EB">
        <w:rPr>
          <w:rFonts w:ascii="Times New Roman" w:eastAsia="Calibri" w:hAnsi="Times New Roman" w:cs="Times New Roman"/>
          <w:noProof/>
        </w:rPr>
        <w:t>(Bedinger et al. 2015)</w:t>
      </w:r>
      <w:r w:rsidR="005672E5" w:rsidRPr="00BF57EB">
        <w:rPr>
          <w:rFonts w:ascii="Times New Roman" w:eastAsia="Calibri" w:hAnsi="Times New Roman" w:cs="Times New Roman"/>
        </w:rPr>
        <w:t>, was based on average estimate content ranging from between 20 to 25% nickel. The data highlighted a</w:t>
      </w:r>
      <w:r w:rsidRPr="00BF57EB">
        <w:rPr>
          <w:rFonts w:ascii="Times New Roman" w:eastAsia="Calibri" w:hAnsi="Times New Roman" w:cs="Times New Roman"/>
        </w:rPr>
        <w:t xml:space="preserve">pproximately half of global Fe-Ni production was from China which included low nickel pig iron and high nickel ferro-nickel carbonyl powder. </w:t>
      </w:r>
      <w:r w:rsidR="005672E5" w:rsidRPr="00BF57EB">
        <w:rPr>
          <w:rFonts w:ascii="Times New Roman" w:eastAsia="Calibri" w:hAnsi="Times New Roman" w:cs="Times New Roman"/>
        </w:rPr>
        <w:t>In addition</w:t>
      </w:r>
      <w:r w:rsidR="00CA6029" w:rsidRPr="00BF57EB">
        <w:rPr>
          <w:rFonts w:ascii="Times New Roman" w:eastAsia="Calibri" w:hAnsi="Times New Roman" w:cs="Times New Roman"/>
        </w:rPr>
        <w:t>,</w:t>
      </w:r>
      <w:r w:rsidR="005672E5" w:rsidRPr="00BF57EB">
        <w:rPr>
          <w:rFonts w:ascii="Times New Roman" w:eastAsia="Calibri" w:hAnsi="Times New Roman" w:cs="Times New Roman"/>
        </w:rPr>
        <w:t xml:space="preserve"> t</w:t>
      </w:r>
      <w:r w:rsidR="00DC61C4" w:rsidRPr="00BF57EB">
        <w:rPr>
          <w:rFonts w:ascii="Times New Roman" w:eastAsia="Calibri" w:hAnsi="Times New Roman" w:cs="Times New Roman"/>
        </w:rPr>
        <w:t>he total global production of ferro-nickel also included low iron ferro-nickel containing greater than 85% nickel and ferro-nickel chromium and nickel resist cast iron prod</w:t>
      </w:r>
      <w:r w:rsidR="00052E45" w:rsidRPr="00BF57EB">
        <w:rPr>
          <w:rFonts w:ascii="Times New Roman" w:eastAsia="Calibri" w:hAnsi="Times New Roman" w:cs="Times New Roman"/>
        </w:rPr>
        <w:t>uced from scrap.</w:t>
      </w:r>
    </w:p>
    <w:p w:rsidR="00847B1B" w:rsidRDefault="00847B1B" w:rsidP="00CA6029">
      <w:pPr>
        <w:rPr>
          <w:rFonts w:ascii="Times New Roman" w:hAnsi="Times New Roman" w:cs="Times New Roman"/>
        </w:rPr>
      </w:pPr>
      <w:bookmarkStart w:id="70" w:name="_Ref473310541"/>
      <w:bookmarkStart w:id="71" w:name="_Toc474486523"/>
    </w:p>
    <w:p w:rsidR="008C6B4C" w:rsidRPr="00BF57EB" w:rsidRDefault="00DC61C4" w:rsidP="006440B9">
      <w:pPr>
        <w:jc w:val="both"/>
        <w:rPr>
          <w:rFonts w:ascii="Times New Roman" w:eastAsia="Calibri" w:hAnsi="Times New Roman" w:cs="Times New Roman"/>
        </w:rPr>
      </w:pPr>
      <w:bookmarkStart w:id="72" w:name="_Toc495852693"/>
      <w:r w:rsidRPr="00BF57EB">
        <w:rPr>
          <w:rFonts w:ascii="Times New Roman" w:hAnsi="Times New Roman" w:cs="Times New Roman"/>
        </w:rPr>
        <w:t xml:space="preserve">Table </w:t>
      </w:r>
      <w:r w:rsidR="009A0ED7" w:rsidRPr="00BF57EB">
        <w:rPr>
          <w:rFonts w:ascii="Times New Roman" w:hAnsi="Times New Roman" w:cs="Times New Roman"/>
        </w:rPr>
        <w:fldChar w:fldCharType="begin"/>
      </w:r>
      <w:r w:rsidRPr="00BF57EB">
        <w:rPr>
          <w:rFonts w:ascii="Times New Roman" w:hAnsi="Times New Roman" w:cs="Times New Roman"/>
        </w:rPr>
        <w:instrText xml:space="preserve"> SEQ Table \* ARABIC </w:instrText>
      </w:r>
      <w:r w:rsidR="009A0ED7" w:rsidRPr="00BF57EB">
        <w:rPr>
          <w:rFonts w:ascii="Times New Roman" w:hAnsi="Times New Roman" w:cs="Times New Roman"/>
        </w:rPr>
        <w:fldChar w:fldCharType="separate"/>
      </w:r>
      <w:r w:rsidR="009F5483">
        <w:rPr>
          <w:rFonts w:ascii="Times New Roman" w:hAnsi="Times New Roman" w:cs="Times New Roman"/>
          <w:noProof/>
        </w:rPr>
        <w:t>15</w:t>
      </w:r>
      <w:r w:rsidR="009A0ED7" w:rsidRPr="00BF57EB">
        <w:rPr>
          <w:rFonts w:ascii="Times New Roman" w:hAnsi="Times New Roman" w:cs="Times New Roman"/>
        </w:rPr>
        <w:fldChar w:fldCharType="end"/>
      </w:r>
      <w:bookmarkEnd w:id="70"/>
      <w:r w:rsidRPr="00BF57EB">
        <w:rPr>
          <w:rFonts w:ascii="Times New Roman" w:hAnsi="Times New Roman" w:cs="Times New Roman"/>
        </w:rPr>
        <w:t xml:space="preserve">. </w:t>
      </w:r>
      <w:r w:rsidRPr="00BF57EB">
        <w:rPr>
          <w:rFonts w:ascii="Times New Roman" w:eastAsia="Calibri" w:hAnsi="Times New Roman" w:cs="Times New Roman"/>
        </w:rPr>
        <w:t>Top thre</w:t>
      </w:r>
      <w:r w:rsidR="008C6B4C" w:rsidRPr="00BF57EB">
        <w:rPr>
          <w:rFonts w:ascii="Times New Roman" w:eastAsia="Calibri" w:hAnsi="Times New Roman" w:cs="Times New Roman"/>
        </w:rPr>
        <w:t>e global Fe-Ni producers in 2011</w:t>
      </w:r>
      <w:r w:rsidRPr="00BF57EB">
        <w:rPr>
          <w:rFonts w:ascii="Times New Roman" w:eastAsia="Calibri" w:hAnsi="Times New Roman" w:cs="Times New Roman"/>
        </w:rPr>
        <w:t xml:space="preserve"> according to</w:t>
      </w:r>
      <w:r w:rsidR="008C6B4C" w:rsidRPr="00BF57EB">
        <w:rPr>
          <w:rFonts w:ascii="Times New Roman" w:eastAsia="Calibri" w:hAnsi="Times New Roman" w:cs="Times New Roman"/>
        </w:rPr>
        <w:t xml:space="preserve"> </w:t>
      </w:r>
      <w:r w:rsidR="008C6B4C" w:rsidRPr="00BF57EB">
        <w:rPr>
          <w:rFonts w:ascii="Times New Roman" w:eastAsia="Calibri" w:hAnsi="Times New Roman" w:cs="Times New Roman"/>
          <w:noProof/>
        </w:rPr>
        <w:t>(Bedinger et al. 2015)</w:t>
      </w:r>
      <w:r w:rsidRPr="00BF57EB">
        <w:rPr>
          <w:rFonts w:ascii="Times New Roman" w:eastAsia="Calibri" w:hAnsi="Times New Roman" w:cs="Times New Roman"/>
        </w:rPr>
        <w:t>.</w:t>
      </w:r>
      <w:bookmarkEnd w:id="71"/>
      <w:bookmarkEnd w:id="72"/>
    </w:p>
    <w:tbl>
      <w:tblPr>
        <w:tblW w:w="5116" w:type="dxa"/>
        <w:tblInd w:w="-5" w:type="dxa"/>
        <w:tblLook w:val="04A0" w:firstRow="1" w:lastRow="0" w:firstColumn="1" w:lastColumn="0" w:noHBand="0" w:noVBand="1"/>
      </w:tblPr>
      <w:tblGrid>
        <w:gridCol w:w="1701"/>
        <w:gridCol w:w="1555"/>
        <w:gridCol w:w="1860"/>
      </w:tblGrid>
      <w:tr w:rsidR="008C6B4C" w:rsidRPr="00BF57EB" w:rsidTr="008C6B4C">
        <w:trPr>
          <w:gridBefore w:val="1"/>
          <w:wBefore w:w="1701" w:type="dxa"/>
          <w:trHeight w:val="300"/>
        </w:trPr>
        <w:tc>
          <w:tcPr>
            <w:tcW w:w="3415" w:type="dxa"/>
            <w:gridSpan w:val="2"/>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8C6B4C" w:rsidRPr="00BF57EB" w:rsidRDefault="008C6B4C" w:rsidP="008C6B4C">
            <w:pPr>
              <w:spacing w:after="0" w:line="240" w:lineRule="auto"/>
              <w:jc w:val="center"/>
              <w:rPr>
                <w:rFonts w:ascii="Times New Roman" w:eastAsia="Times New Roman" w:hAnsi="Times New Roman" w:cs="Times New Roman"/>
                <w:bCs/>
              </w:rPr>
            </w:pPr>
            <w:r w:rsidRPr="00BF57EB">
              <w:rPr>
                <w:rFonts w:ascii="Times New Roman" w:eastAsia="Times New Roman" w:hAnsi="Times New Roman" w:cs="Times New Roman"/>
                <w:bCs/>
              </w:rPr>
              <w:t>USGS Ferro-alloys</w:t>
            </w:r>
          </w:p>
        </w:tc>
      </w:tr>
      <w:tr w:rsidR="008C6B4C" w:rsidRPr="00BF57EB" w:rsidTr="008C6B4C">
        <w:trPr>
          <w:trHeight w:val="300"/>
        </w:trPr>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C6B4C" w:rsidRPr="00BF57EB" w:rsidRDefault="008C6B4C" w:rsidP="008C6B4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Country</w:t>
            </w:r>
          </w:p>
        </w:tc>
        <w:tc>
          <w:tcPr>
            <w:tcW w:w="1555" w:type="dxa"/>
            <w:tcBorders>
              <w:top w:val="nil"/>
              <w:left w:val="nil"/>
              <w:bottom w:val="single" w:sz="4" w:space="0" w:color="auto"/>
              <w:right w:val="single" w:sz="4" w:space="0" w:color="auto"/>
            </w:tcBorders>
            <w:shd w:val="clear" w:color="000000" w:fill="FFFFFF"/>
            <w:noWrap/>
            <w:vAlign w:val="bottom"/>
            <w:hideMark/>
          </w:tcPr>
          <w:p w:rsidR="008C6B4C" w:rsidRPr="00BF57EB" w:rsidRDefault="008C6B4C" w:rsidP="008C6B4C">
            <w:pPr>
              <w:spacing w:after="0" w:line="240" w:lineRule="auto"/>
              <w:jc w:val="center"/>
              <w:rPr>
                <w:rFonts w:ascii="Times New Roman" w:eastAsia="Times New Roman" w:hAnsi="Times New Roman" w:cs="Times New Roman"/>
                <w:bCs/>
              </w:rPr>
            </w:pPr>
            <w:r w:rsidRPr="00BF57EB">
              <w:rPr>
                <w:rFonts w:ascii="Times New Roman" w:eastAsia="Times New Roman" w:hAnsi="Times New Roman" w:cs="Times New Roman"/>
                <w:bCs/>
              </w:rPr>
              <w:t>Quantity (Mt)</w:t>
            </w:r>
          </w:p>
        </w:tc>
        <w:tc>
          <w:tcPr>
            <w:tcW w:w="1860" w:type="dxa"/>
            <w:tcBorders>
              <w:top w:val="nil"/>
              <w:left w:val="nil"/>
              <w:bottom w:val="single" w:sz="4" w:space="0" w:color="auto"/>
              <w:right w:val="single" w:sz="4" w:space="0" w:color="auto"/>
            </w:tcBorders>
            <w:shd w:val="clear" w:color="000000" w:fill="FFFFFF"/>
            <w:noWrap/>
            <w:vAlign w:val="bottom"/>
            <w:hideMark/>
          </w:tcPr>
          <w:p w:rsidR="008C6B4C" w:rsidRPr="00BF57EB" w:rsidRDefault="008C6B4C" w:rsidP="008C6B4C">
            <w:pPr>
              <w:spacing w:after="0" w:line="240" w:lineRule="auto"/>
              <w:jc w:val="center"/>
              <w:rPr>
                <w:rFonts w:ascii="Times New Roman" w:eastAsia="Times New Roman" w:hAnsi="Times New Roman" w:cs="Times New Roman"/>
                <w:bCs/>
              </w:rPr>
            </w:pPr>
            <w:r w:rsidRPr="00BF57EB">
              <w:rPr>
                <w:rFonts w:ascii="Times New Roman" w:eastAsia="Times New Roman" w:hAnsi="Times New Roman" w:cs="Times New Roman"/>
                <w:bCs/>
              </w:rPr>
              <w:t>Percentage (%)</w:t>
            </w:r>
          </w:p>
        </w:tc>
      </w:tr>
      <w:tr w:rsidR="008C6B4C" w:rsidRPr="00BF57EB" w:rsidTr="008C6B4C">
        <w:trPr>
          <w:trHeight w:val="300"/>
        </w:trPr>
        <w:tc>
          <w:tcPr>
            <w:tcW w:w="1701" w:type="dxa"/>
            <w:tcBorders>
              <w:top w:val="nil"/>
              <w:left w:val="single" w:sz="4" w:space="0" w:color="auto"/>
              <w:bottom w:val="single" w:sz="4" w:space="0" w:color="auto"/>
              <w:right w:val="single" w:sz="4" w:space="0" w:color="auto"/>
            </w:tcBorders>
            <w:shd w:val="clear" w:color="000000" w:fill="FFFFFF"/>
            <w:noWrap/>
            <w:vAlign w:val="bottom"/>
            <w:hideMark/>
          </w:tcPr>
          <w:p w:rsidR="008C6B4C" w:rsidRPr="00BF57EB" w:rsidRDefault="008C6B4C" w:rsidP="008C6B4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China</w:t>
            </w:r>
          </w:p>
        </w:tc>
        <w:tc>
          <w:tcPr>
            <w:tcW w:w="1555" w:type="dxa"/>
            <w:tcBorders>
              <w:top w:val="nil"/>
              <w:left w:val="nil"/>
              <w:bottom w:val="single" w:sz="4" w:space="0" w:color="auto"/>
              <w:right w:val="single" w:sz="4" w:space="0" w:color="auto"/>
            </w:tcBorders>
            <w:shd w:val="clear" w:color="000000" w:fill="FFFFFF"/>
            <w:noWrap/>
            <w:vAlign w:val="bottom"/>
            <w:hideMark/>
          </w:tcPr>
          <w:p w:rsidR="008C6B4C" w:rsidRPr="00BF57EB" w:rsidRDefault="008C6B4C" w:rsidP="008C6B4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1.280</w:t>
            </w:r>
          </w:p>
        </w:tc>
        <w:tc>
          <w:tcPr>
            <w:tcW w:w="1860" w:type="dxa"/>
            <w:tcBorders>
              <w:top w:val="nil"/>
              <w:left w:val="nil"/>
              <w:bottom w:val="single" w:sz="4" w:space="0" w:color="auto"/>
              <w:right w:val="single" w:sz="4" w:space="0" w:color="auto"/>
            </w:tcBorders>
            <w:shd w:val="clear" w:color="000000" w:fill="FFFFFF"/>
            <w:noWrap/>
            <w:vAlign w:val="bottom"/>
            <w:hideMark/>
          </w:tcPr>
          <w:p w:rsidR="008C6B4C" w:rsidRPr="00BF57EB" w:rsidRDefault="008C6B4C" w:rsidP="008C6B4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52.67</w:t>
            </w:r>
          </w:p>
        </w:tc>
      </w:tr>
      <w:tr w:rsidR="008C6B4C" w:rsidRPr="00BF57EB" w:rsidTr="008C6B4C">
        <w:trPr>
          <w:trHeight w:val="300"/>
        </w:trPr>
        <w:tc>
          <w:tcPr>
            <w:tcW w:w="1701" w:type="dxa"/>
            <w:tcBorders>
              <w:top w:val="nil"/>
              <w:left w:val="single" w:sz="4" w:space="0" w:color="auto"/>
              <w:bottom w:val="single" w:sz="4" w:space="0" w:color="auto"/>
              <w:right w:val="single" w:sz="4" w:space="0" w:color="auto"/>
            </w:tcBorders>
            <w:shd w:val="clear" w:color="000000" w:fill="FFFFFF"/>
            <w:noWrap/>
            <w:vAlign w:val="bottom"/>
            <w:hideMark/>
          </w:tcPr>
          <w:p w:rsidR="008C6B4C" w:rsidRPr="00BF57EB" w:rsidRDefault="008C6B4C" w:rsidP="008C6B4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Japan</w:t>
            </w:r>
          </w:p>
        </w:tc>
        <w:tc>
          <w:tcPr>
            <w:tcW w:w="1555" w:type="dxa"/>
            <w:tcBorders>
              <w:top w:val="nil"/>
              <w:left w:val="nil"/>
              <w:bottom w:val="single" w:sz="4" w:space="0" w:color="auto"/>
              <w:right w:val="single" w:sz="4" w:space="0" w:color="auto"/>
            </w:tcBorders>
            <w:shd w:val="clear" w:color="000000" w:fill="FFFFFF"/>
            <w:noWrap/>
            <w:vAlign w:val="bottom"/>
            <w:hideMark/>
          </w:tcPr>
          <w:p w:rsidR="008C6B4C" w:rsidRPr="00BF57EB" w:rsidRDefault="008C6B4C" w:rsidP="008C6B4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0.280</w:t>
            </w:r>
          </w:p>
        </w:tc>
        <w:tc>
          <w:tcPr>
            <w:tcW w:w="1860" w:type="dxa"/>
            <w:tcBorders>
              <w:top w:val="nil"/>
              <w:left w:val="nil"/>
              <w:bottom w:val="single" w:sz="4" w:space="0" w:color="auto"/>
              <w:right w:val="single" w:sz="4" w:space="0" w:color="auto"/>
            </w:tcBorders>
            <w:shd w:val="clear" w:color="000000" w:fill="FFFFFF"/>
            <w:noWrap/>
            <w:vAlign w:val="bottom"/>
            <w:hideMark/>
          </w:tcPr>
          <w:p w:rsidR="008C6B4C" w:rsidRPr="00BF57EB" w:rsidRDefault="008C6B4C" w:rsidP="008C6B4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11.52</w:t>
            </w:r>
          </w:p>
        </w:tc>
      </w:tr>
      <w:tr w:rsidR="008C6B4C" w:rsidRPr="00BF57EB" w:rsidTr="008C6B4C">
        <w:trPr>
          <w:trHeight w:val="300"/>
        </w:trPr>
        <w:tc>
          <w:tcPr>
            <w:tcW w:w="1701" w:type="dxa"/>
            <w:tcBorders>
              <w:top w:val="nil"/>
              <w:left w:val="single" w:sz="4" w:space="0" w:color="auto"/>
              <w:bottom w:val="single" w:sz="4" w:space="0" w:color="auto"/>
              <w:right w:val="single" w:sz="4" w:space="0" w:color="auto"/>
            </w:tcBorders>
            <w:shd w:val="clear" w:color="000000" w:fill="FFFFFF"/>
            <w:noWrap/>
            <w:vAlign w:val="bottom"/>
            <w:hideMark/>
          </w:tcPr>
          <w:p w:rsidR="008C6B4C" w:rsidRPr="00BF57EB" w:rsidRDefault="008C6B4C" w:rsidP="008C6B4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New Caledonia</w:t>
            </w:r>
          </w:p>
        </w:tc>
        <w:tc>
          <w:tcPr>
            <w:tcW w:w="1555" w:type="dxa"/>
            <w:tcBorders>
              <w:top w:val="nil"/>
              <w:left w:val="nil"/>
              <w:bottom w:val="single" w:sz="4" w:space="0" w:color="auto"/>
              <w:right w:val="single" w:sz="4" w:space="0" w:color="auto"/>
            </w:tcBorders>
            <w:shd w:val="clear" w:color="000000" w:fill="FFFFFF"/>
            <w:noWrap/>
            <w:vAlign w:val="bottom"/>
            <w:hideMark/>
          </w:tcPr>
          <w:p w:rsidR="008C6B4C" w:rsidRPr="00BF57EB" w:rsidRDefault="008C6B4C" w:rsidP="008C6B4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0.132</w:t>
            </w:r>
          </w:p>
        </w:tc>
        <w:tc>
          <w:tcPr>
            <w:tcW w:w="1860" w:type="dxa"/>
            <w:tcBorders>
              <w:top w:val="nil"/>
              <w:left w:val="nil"/>
              <w:bottom w:val="single" w:sz="4" w:space="0" w:color="auto"/>
              <w:right w:val="single" w:sz="4" w:space="0" w:color="auto"/>
            </w:tcBorders>
            <w:shd w:val="clear" w:color="000000" w:fill="FFFFFF"/>
            <w:noWrap/>
            <w:vAlign w:val="bottom"/>
            <w:hideMark/>
          </w:tcPr>
          <w:p w:rsidR="008C6B4C" w:rsidRPr="00BF57EB" w:rsidRDefault="008C6B4C" w:rsidP="008C6B4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5.44</w:t>
            </w:r>
          </w:p>
        </w:tc>
      </w:tr>
      <w:tr w:rsidR="008C6B4C" w:rsidRPr="00BF57EB" w:rsidTr="008C6B4C">
        <w:trPr>
          <w:trHeight w:val="300"/>
        </w:trPr>
        <w:tc>
          <w:tcPr>
            <w:tcW w:w="1701" w:type="dxa"/>
            <w:tcBorders>
              <w:top w:val="nil"/>
              <w:left w:val="single" w:sz="4" w:space="0" w:color="auto"/>
              <w:bottom w:val="single" w:sz="4" w:space="0" w:color="auto"/>
              <w:right w:val="single" w:sz="4" w:space="0" w:color="auto"/>
            </w:tcBorders>
            <w:shd w:val="clear" w:color="000000" w:fill="FFFFFF"/>
            <w:noWrap/>
            <w:vAlign w:val="bottom"/>
            <w:hideMark/>
          </w:tcPr>
          <w:p w:rsidR="008C6B4C" w:rsidRPr="00BF57EB" w:rsidRDefault="008C6B4C" w:rsidP="008C6B4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Other</w:t>
            </w:r>
          </w:p>
        </w:tc>
        <w:tc>
          <w:tcPr>
            <w:tcW w:w="1555" w:type="dxa"/>
            <w:tcBorders>
              <w:top w:val="nil"/>
              <w:left w:val="nil"/>
              <w:bottom w:val="single" w:sz="4" w:space="0" w:color="auto"/>
              <w:right w:val="single" w:sz="4" w:space="0" w:color="auto"/>
            </w:tcBorders>
            <w:shd w:val="clear" w:color="000000" w:fill="FFFFFF"/>
            <w:noWrap/>
            <w:vAlign w:val="bottom"/>
            <w:hideMark/>
          </w:tcPr>
          <w:p w:rsidR="008C6B4C" w:rsidRPr="00BF57EB" w:rsidRDefault="008C6B4C" w:rsidP="008C6B4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0.738</w:t>
            </w:r>
          </w:p>
        </w:tc>
        <w:tc>
          <w:tcPr>
            <w:tcW w:w="1860" w:type="dxa"/>
            <w:tcBorders>
              <w:top w:val="nil"/>
              <w:left w:val="nil"/>
              <w:bottom w:val="single" w:sz="4" w:space="0" w:color="auto"/>
              <w:right w:val="single" w:sz="4" w:space="0" w:color="auto"/>
            </w:tcBorders>
            <w:shd w:val="clear" w:color="000000" w:fill="FFFFFF"/>
            <w:noWrap/>
            <w:vAlign w:val="bottom"/>
            <w:hideMark/>
          </w:tcPr>
          <w:p w:rsidR="008C6B4C" w:rsidRPr="00BF57EB" w:rsidRDefault="008C6B4C" w:rsidP="008C6B4C">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30.37</w:t>
            </w:r>
          </w:p>
        </w:tc>
      </w:tr>
      <w:tr w:rsidR="008C6B4C" w:rsidRPr="004D2D91" w:rsidTr="008C6B4C">
        <w:trPr>
          <w:trHeight w:val="300"/>
        </w:trPr>
        <w:tc>
          <w:tcPr>
            <w:tcW w:w="1701" w:type="dxa"/>
            <w:tcBorders>
              <w:top w:val="nil"/>
              <w:left w:val="single" w:sz="4" w:space="0" w:color="auto"/>
              <w:bottom w:val="single" w:sz="4" w:space="0" w:color="auto"/>
              <w:right w:val="single" w:sz="4" w:space="0" w:color="auto"/>
            </w:tcBorders>
            <w:shd w:val="clear" w:color="000000" w:fill="FFFFFF"/>
            <w:noWrap/>
            <w:vAlign w:val="bottom"/>
            <w:hideMark/>
          </w:tcPr>
          <w:p w:rsidR="008C6B4C" w:rsidRPr="004D2D91" w:rsidRDefault="008C6B4C" w:rsidP="008C6B4C">
            <w:pPr>
              <w:spacing w:after="0" w:line="240" w:lineRule="auto"/>
              <w:jc w:val="center"/>
              <w:rPr>
                <w:rFonts w:ascii="Times New Roman" w:eastAsia="Times New Roman" w:hAnsi="Times New Roman" w:cs="Times New Roman"/>
                <w:bCs/>
                <w:color w:val="000000"/>
              </w:rPr>
            </w:pPr>
            <w:r w:rsidRPr="004D2D91">
              <w:rPr>
                <w:rFonts w:ascii="Times New Roman" w:eastAsia="Times New Roman" w:hAnsi="Times New Roman" w:cs="Times New Roman"/>
                <w:bCs/>
                <w:color w:val="000000"/>
              </w:rPr>
              <w:t>Total</w:t>
            </w:r>
          </w:p>
        </w:tc>
        <w:tc>
          <w:tcPr>
            <w:tcW w:w="1555" w:type="dxa"/>
            <w:tcBorders>
              <w:top w:val="nil"/>
              <w:left w:val="nil"/>
              <w:bottom w:val="single" w:sz="4" w:space="0" w:color="auto"/>
              <w:right w:val="single" w:sz="4" w:space="0" w:color="auto"/>
            </w:tcBorders>
            <w:shd w:val="clear" w:color="000000" w:fill="FFFFFF"/>
            <w:noWrap/>
            <w:vAlign w:val="bottom"/>
            <w:hideMark/>
          </w:tcPr>
          <w:p w:rsidR="008C6B4C" w:rsidRPr="004D2D91" w:rsidRDefault="008C6B4C" w:rsidP="008C6B4C">
            <w:pPr>
              <w:spacing w:after="0" w:line="240" w:lineRule="auto"/>
              <w:jc w:val="center"/>
              <w:rPr>
                <w:rFonts w:ascii="Times New Roman" w:eastAsia="Times New Roman" w:hAnsi="Times New Roman" w:cs="Times New Roman"/>
                <w:bCs/>
                <w:color w:val="000000"/>
              </w:rPr>
            </w:pPr>
            <w:r w:rsidRPr="004D2D91">
              <w:rPr>
                <w:rFonts w:ascii="Times New Roman" w:eastAsia="Times New Roman" w:hAnsi="Times New Roman" w:cs="Times New Roman"/>
                <w:bCs/>
                <w:color w:val="000000"/>
              </w:rPr>
              <w:t>2.430</w:t>
            </w:r>
          </w:p>
        </w:tc>
        <w:tc>
          <w:tcPr>
            <w:tcW w:w="1860" w:type="dxa"/>
            <w:tcBorders>
              <w:top w:val="nil"/>
              <w:left w:val="nil"/>
              <w:bottom w:val="single" w:sz="4" w:space="0" w:color="auto"/>
              <w:right w:val="single" w:sz="4" w:space="0" w:color="auto"/>
            </w:tcBorders>
            <w:shd w:val="clear" w:color="000000" w:fill="FFFFFF"/>
            <w:noWrap/>
            <w:vAlign w:val="bottom"/>
            <w:hideMark/>
          </w:tcPr>
          <w:p w:rsidR="008C6B4C" w:rsidRPr="004D2D91" w:rsidRDefault="008C6B4C" w:rsidP="008C6B4C">
            <w:pPr>
              <w:spacing w:after="0" w:line="240" w:lineRule="auto"/>
              <w:jc w:val="center"/>
              <w:rPr>
                <w:rFonts w:ascii="Times New Roman" w:eastAsia="Times New Roman" w:hAnsi="Times New Roman" w:cs="Times New Roman"/>
                <w:bCs/>
                <w:color w:val="000000"/>
              </w:rPr>
            </w:pPr>
            <w:r w:rsidRPr="004D2D91">
              <w:rPr>
                <w:rFonts w:ascii="Times New Roman" w:eastAsia="Times New Roman" w:hAnsi="Times New Roman" w:cs="Times New Roman"/>
                <w:bCs/>
                <w:color w:val="000000"/>
              </w:rPr>
              <w:t>100.00</w:t>
            </w:r>
          </w:p>
        </w:tc>
      </w:tr>
    </w:tbl>
    <w:p w:rsidR="00847B1B" w:rsidRDefault="00847B1B" w:rsidP="00DC61C4">
      <w:pPr>
        <w:spacing w:after="0" w:line="360" w:lineRule="auto"/>
        <w:jc w:val="both"/>
        <w:rPr>
          <w:rFonts w:ascii="Times New Roman" w:eastAsia="Calibri" w:hAnsi="Times New Roman" w:cs="Times New Roman"/>
          <w:b/>
        </w:rPr>
      </w:pPr>
    </w:p>
    <w:p w:rsidR="00DC61C4" w:rsidRPr="00BF57EB" w:rsidRDefault="008C6B4C" w:rsidP="00DC61C4">
      <w:pPr>
        <w:spacing w:after="0" w:line="360" w:lineRule="auto"/>
        <w:jc w:val="both"/>
        <w:rPr>
          <w:rFonts w:ascii="Times New Roman" w:eastAsia="Calibri" w:hAnsi="Times New Roman" w:cs="Times New Roman"/>
          <w:b/>
        </w:rPr>
      </w:pPr>
      <w:proofErr w:type="gramStart"/>
      <w:r w:rsidRPr="00BF57EB">
        <w:rPr>
          <w:rFonts w:ascii="Times New Roman" w:eastAsia="Calibri" w:hAnsi="Times New Roman" w:cs="Times New Roman"/>
          <w:b/>
        </w:rPr>
        <w:t>iv) Ferro-Silicon</w:t>
      </w:r>
      <w:proofErr w:type="gramEnd"/>
    </w:p>
    <w:p w:rsidR="00CA6029" w:rsidRPr="00BF57EB" w:rsidRDefault="00DC61C4" w:rsidP="00CA6029">
      <w:pPr>
        <w:spacing w:after="0" w:line="360" w:lineRule="auto"/>
        <w:ind w:firstLine="720"/>
        <w:jc w:val="both"/>
        <w:rPr>
          <w:rFonts w:ascii="Times New Roman" w:eastAsia="Calibri" w:hAnsi="Times New Roman" w:cs="Times New Roman"/>
        </w:rPr>
      </w:pPr>
      <w:r w:rsidRPr="00BF57EB">
        <w:rPr>
          <w:rFonts w:ascii="Times New Roman" w:eastAsia="Calibri" w:hAnsi="Times New Roman" w:cs="Times New Roman"/>
        </w:rPr>
        <w:t xml:space="preserve">For Fe-Si, global production values were sourced from </w:t>
      </w:r>
      <w:r w:rsidR="00560F16" w:rsidRPr="00BF57EB">
        <w:rPr>
          <w:rFonts w:ascii="Times New Roman" w:eastAsia="Calibri" w:hAnsi="Times New Roman" w:cs="Times New Roman"/>
          <w:noProof/>
        </w:rPr>
        <w:t>(Bedinger et al. 2015)</w:t>
      </w:r>
      <w:r w:rsidRPr="00BF57EB">
        <w:rPr>
          <w:rFonts w:ascii="Times New Roman" w:eastAsia="Calibri" w:hAnsi="Times New Roman" w:cs="Times New Roman"/>
        </w:rPr>
        <w:t xml:space="preserve"> </w:t>
      </w:r>
      <w:r w:rsidR="00560F16" w:rsidRPr="00BF57EB">
        <w:rPr>
          <w:rFonts w:ascii="Times New Roman" w:eastAsia="Calibri" w:hAnsi="Times New Roman" w:cs="Times New Roman"/>
        </w:rPr>
        <w:t>which</w:t>
      </w:r>
      <w:r w:rsidRPr="00BF57EB">
        <w:rPr>
          <w:rFonts w:ascii="Times New Roman" w:eastAsia="Calibri" w:hAnsi="Times New Roman" w:cs="Times New Roman"/>
        </w:rPr>
        <w:t xml:space="preserve"> did not include total US</w:t>
      </w:r>
      <w:r w:rsidR="00CA6029" w:rsidRPr="00BF57EB">
        <w:rPr>
          <w:rFonts w:ascii="Times New Roman" w:eastAsia="Calibri" w:hAnsi="Times New Roman" w:cs="Times New Roman"/>
        </w:rPr>
        <w:t>A</w:t>
      </w:r>
      <w:r w:rsidRPr="00BF57EB">
        <w:rPr>
          <w:rFonts w:ascii="Times New Roman" w:eastAsia="Calibri" w:hAnsi="Times New Roman" w:cs="Times New Roman"/>
        </w:rPr>
        <w:t xml:space="preserve"> net production.</w:t>
      </w:r>
      <w:r w:rsidR="00CA6029" w:rsidRPr="00BF57EB">
        <w:rPr>
          <w:rFonts w:ascii="Times New Roman" w:eastAsia="Calibri" w:hAnsi="Times New Roman" w:cs="Times New Roman"/>
        </w:rPr>
        <w:t xml:space="preserve"> Out of all the ferro-alloys, this had the largest percentage share by a single country, namely China, as shown by </w:t>
      </w:r>
      <w:r w:rsidR="00A6415F" w:rsidRPr="00BF57EB">
        <w:fldChar w:fldCharType="begin"/>
      </w:r>
      <w:r w:rsidR="00A6415F" w:rsidRPr="00BF57EB">
        <w:instrText xml:space="preserve"> REF _Ref473481085 \h  \* MERGEFORMAT </w:instrText>
      </w:r>
      <w:r w:rsidR="00A6415F" w:rsidRPr="00BF57EB">
        <w:fldChar w:fldCharType="separate"/>
      </w:r>
      <w:r w:rsidR="009F5483" w:rsidRPr="00BF57EB">
        <w:rPr>
          <w:rFonts w:ascii="Times New Roman" w:hAnsi="Times New Roman" w:cs="Times New Roman"/>
        </w:rPr>
        <w:t xml:space="preserve">Table </w:t>
      </w:r>
      <w:r w:rsidR="009F5483">
        <w:rPr>
          <w:rFonts w:ascii="Times New Roman" w:hAnsi="Times New Roman" w:cs="Times New Roman"/>
          <w:noProof/>
        </w:rPr>
        <w:t>16</w:t>
      </w:r>
      <w:r w:rsidR="00A6415F" w:rsidRPr="00BF57EB">
        <w:fldChar w:fldCharType="end"/>
      </w:r>
      <w:r w:rsidR="00CA6029" w:rsidRPr="00BF57EB">
        <w:rPr>
          <w:rFonts w:ascii="Times New Roman" w:eastAsia="Calibri" w:hAnsi="Times New Roman" w:cs="Times New Roman"/>
        </w:rPr>
        <w:t>.</w:t>
      </w:r>
    </w:p>
    <w:p w:rsidR="00DC61C4" w:rsidRPr="00BF57EB" w:rsidRDefault="00DC61C4" w:rsidP="00CA6029">
      <w:pPr>
        <w:spacing w:line="240" w:lineRule="auto"/>
        <w:jc w:val="both"/>
        <w:rPr>
          <w:rFonts w:ascii="Times New Roman" w:eastAsia="Calibri" w:hAnsi="Times New Roman" w:cs="Times New Roman"/>
        </w:rPr>
      </w:pPr>
      <w:bookmarkStart w:id="73" w:name="_Ref473481085"/>
      <w:bookmarkStart w:id="74" w:name="_Toc474486524"/>
      <w:bookmarkStart w:id="75" w:name="_Toc495852694"/>
      <w:r w:rsidRPr="00BF57EB">
        <w:rPr>
          <w:rFonts w:ascii="Times New Roman" w:hAnsi="Times New Roman" w:cs="Times New Roman"/>
        </w:rPr>
        <w:t xml:space="preserve">Table </w:t>
      </w:r>
      <w:r w:rsidR="009A0ED7" w:rsidRPr="00BF57EB">
        <w:rPr>
          <w:rFonts w:ascii="Times New Roman" w:hAnsi="Times New Roman" w:cs="Times New Roman"/>
        </w:rPr>
        <w:fldChar w:fldCharType="begin"/>
      </w:r>
      <w:r w:rsidRPr="00BF57EB">
        <w:rPr>
          <w:rFonts w:ascii="Times New Roman" w:hAnsi="Times New Roman" w:cs="Times New Roman"/>
        </w:rPr>
        <w:instrText xml:space="preserve"> SEQ Table \* ARABIC </w:instrText>
      </w:r>
      <w:r w:rsidR="009A0ED7" w:rsidRPr="00BF57EB">
        <w:rPr>
          <w:rFonts w:ascii="Times New Roman" w:hAnsi="Times New Roman" w:cs="Times New Roman"/>
        </w:rPr>
        <w:fldChar w:fldCharType="separate"/>
      </w:r>
      <w:r w:rsidR="009F5483">
        <w:rPr>
          <w:rFonts w:ascii="Times New Roman" w:hAnsi="Times New Roman" w:cs="Times New Roman"/>
          <w:noProof/>
        </w:rPr>
        <w:t>16</w:t>
      </w:r>
      <w:r w:rsidR="009A0ED7" w:rsidRPr="00BF57EB">
        <w:rPr>
          <w:rFonts w:ascii="Times New Roman" w:hAnsi="Times New Roman" w:cs="Times New Roman"/>
        </w:rPr>
        <w:fldChar w:fldCharType="end"/>
      </w:r>
      <w:bookmarkEnd w:id="73"/>
      <w:r w:rsidRPr="00BF57EB">
        <w:rPr>
          <w:rFonts w:ascii="Times New Roman" w:hAnsi="Times New Roman" w:cs="Times New Roman"/>
        </w:rPr>
        <w:t xml:space="preserve">. </w:t>
      </w:r>
      <w:r w:rsidRPr="00BF57EB">
        <w:rPr>
          <w:rFonts w:ascii="Times New Roman" w:eastAsia="Calibri" w:hAnsi="Times New Roman" w:cs="Times New Roman"/>
        </w:rPr>
        <w:t>Top thre</w:t>
      </w:r>
      <w:r w:rsidR="00560F16" w:rsidRPr="00BF57EB">
        <w:rPr>
          <w:rFonts w:ascii="Times New Roman" w:eastAsia="Calibri" w:hAnsi="Times New Roman" w:cs="Times New Roman"/>
        </w:rPr>
        <w:t xml:space="preserve">e global Fe-Si producers in 2011 according to </w:t>
      </w:r>
      <w:r w:rsidR="00560F16" w:rsidRPr="00BF57EB">
        <w:rPr>
          <w:rFonts w:ascii="Times New Roman" w:eastAsia="Calibri" w:hAnsi="Times New Roman" w:cs="Times New Roman"/>
          <w:noProof/>
        </w:rPr>
        <w:t>(Bedinger et al. 2015)</w:t>
      </w:r>
      <w:r w:rsidR="00560F16" w:rsidRPr="00BF57EB">
        <w:rPr>
          <w:rFonts w:ascii="Times New Roman" w:eastAsia="Calibri" w:hAnsi="Times New Roman" w:cs="Times New Roman"/>
        </w:rPr>
        <w:t>.</w:t>
      </w:r>
      <w:bookmarkEnd w:id="74"/>
      <w:bookmarkEnd w:id="75"/>
    </w:p>
    <w:tbl>
      <w:tblPr>
        <w:tblW w:w="5103" w:type="dxa"/>
        <w:tblInd w:w="-5" w:type="dxa"/>
        <w:tblLook w:val="04A0" w:firstRow="1" w:lastRow="0" w:firstColumn="1" w:lastColumn="0" w:noHBand="0" w:noVBand="1"/>
      </w:tblPr>
      <w:tblGrid>
        <w:gridCol w:w="1418"/>
        <w:gridCol w:w="1559"/>
        <w:gridCol w:w="2126"/>
      </w:tblGrid>
      <w:tr w:rsidR="00AA0FB7" w:rsidRPr="00BF57EB" w:rsidTr="00AA0FB7">
        <w:trPr>
          <w:gridBefore w:val="1"/>
          <w:wBefore w:w="1418" w:type="dxa"/>
          <w:trHeight w:val="300"/>
        </w:trPr>
        <w:tc>
          <w:tcPr>
            <w:tcW w:w="368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USGS Ferro-alloy</w:t>
            </w:r>
          </w:p>
        </w:tc>
      </w:tr>
      <w:tr w:rsidR="00AA0FB7" w:rsidRPr="00BF57EB" w:rsidTr="00AA0FB7">
        <w:trPr>
          <w:trHeight w:val="300"/>
        </w:trPr>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Country</w:t>
            </w:r>
          </w:p>
        </w:tc>
        <w:tc>
          <w:tcPr>
            <w:tcW w:w="1559"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Quantity (Mt)</w:t>
            </w:r>
          </w:p>
        </w:tc>
        <w:tc>
          <w:tcPr>
            <w:tcW w:w="2126"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Percentage (%)</w:t>
            </w:r>
          </w:p>
        </w:tc>
      </w:tr>
      <w:tr w:rsidR="00AA0FB7" w:rsidRPr="00BF57EB" w:rsidTr="00AA0FB7">
        <w:trPr>
          <w:trHeight w:val="300"/>
        </w:trPr>
        <w:tc>
          <w:tcPr>
            <w:tcW w:w="1418" w:type="dxa"/>
            <w:tcBorders>
              <w:top w:val="nil"/>
              <w:left w:val="single" w:sz="4" w:space="0" w:color="auto"/>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China</w:t>
            </w:r>
          </w:p>
        </w:tc>
        <w:tc>
          <w:tcPr>
            <w:tcW w:w="1559"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5.400</w:t>
            </w:r>
          </w:p>
        </w:tc>
        <w:tc>
          <w:tcPr>
            <w:tcW w:w="2126"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69.05</w:t>
            </w:r>
          </w:p>
        </w:tc>
      </w:tr>
      <w:tr w:rsidR="00AA0FB7" w:rsidRPr="00BF57EB" w:rsidTr="00AA0FB7">
        <w:trPr>
          <w:trHeight w:val="300"/>
        </w:trPr>
        <w:tc>
          <w:tcPr>
            <w:tcW w:w="1418" w:type="dxa"/>
            <w:tcBorders>
              <w:top w:val="nil"/>
              <w:left w:val="single" w:sz="4" w:space="0" w:color="auto"/>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Russia</w:t>
            </w:r>
          </w:p>
        </w:tc>
        <w:tc>
          <w:tcPr>
            <w:tcW w:w="1559"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1.030</w:t>
            </w:r>
          </w:p>
        </w:tc>
        <w:tc>
          <w:tcPr>
            <w:tcW w:w="2126"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13.17</w:t>
            </w:r>
          </w:p>
        </w:tc>
      </w:tr>
      <w:tr w:rsidR="00AA0FB7" w:rsidRPr="00BF57EB" w:rsidTr="00AA0FB7">
        <w:trPr>
          <w:trHeight w:val="300"/>
        </w:trPr>
        <w:tc>
          <w:tcPr>
            <w:tcW w:w="1418" w:type="dxa"/>
            <w:tcBorders>
              <w:top w:val="nil"/>
              <w:left w:val="single" w:sz="4" w:space="0" w:color="auto"/>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Norway</w:t>
            </w:r>
          </w:p>
        </w:tc>
        <w:tc>
          <w:tcPr>
            <w:tcW w:w="1559"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0.170</w:t>
            </w:r>
          </w:p>
        </w:tc>
        <w:tc>
          <w:tcPr>
            <w:tcW w:w="2126"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2.18</w:t>
            </w:r>
          </w:p>
        </w:tc>
      </w:tr>
      <w:tr w:rsidR="00AA0FB7" w:rsidRPr="00BF57EB" w:rsidTr="00AA0FB7">
        <w:trPr>
          <w:trHeight w:val="300"/>
        </w:trPr>
        <w:tc>
          <w:tcPr>
            <w:tcW w:w="1418" w:type="dxa"/>
            <w:tcBorders>
              <w:top w:val="nil"/>
              <w:left w:val="single" w:sz="4" w:space="0" w:color="auto"/>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Other</w:t>
            </w:r>
          </w:p>
        </w:tc>
        <w:tc>
          <w:tcPr>
            <w:tcW w:w="1559"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1.220</w:t>
            </w:r>
          </w:p>
        </w:tc>
        <w:tc>
          <w:tcPr>
            <w:tcW w:w="2126"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15.60</w:t>
            </w:r>
          </w:p>
        </w:tc>
      </w:tr>
      <w:tr w:rsidR="00AA0FB7" w:rsidRPr="00BF57EB" w:rsidTr="00AA0FB7">
        <w:trPr>
          <w:trHeight w:val="300"/>
        </w:trPr>
        <w:tc>
          <w:tcPr>
            <w:tcW w:w="1418" w:type="dxa"/>
            <w:tcBorders>
              <w:top w:val="nil"/>
              <w:left w:val="single" w:sz="4" w:space="0" w:color="auto"/>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Global Total</w:t>
            </w:r>
          </w:p>
        </w:tc>
        <w:tc>
          <w:tcPr>
            <w:tcW w:w="1559"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7.820</w:t>
            </w:r>
          </w:p>
        </w:tc>
        <w:tc>
          <w:tcPr>
            <w:tcW w:w="2126"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100.00</w:t>
            </w:r>
          </w:p>
        </w:tc>
      </w:tr>
    </w:tbl>
    <w:p w:rsidR="00847B1B" w:rsidRDefault="00847B1B" w:rsidP="00560F16">
      <w:pPr>
        <w:spacing w:line="360" w:lineRule="auto"/>
        <w:jc w:val="both"/>
        <w:rPr>
          <w:rFonts w:ascii="Times New Roman" w:eastAsia="Calibri" w:hAnsi="Times New Roman" w:cs="Times New Roman"/>
        </w:rPr>
      </w:pPr>
    </w:p>
    <w:p w:rsidR="00847B1B" w:rsidRDefault="00847B1B" w:rsidP="00847B1B">
      <w:pPr>
        <w:spacing w:line="360" w:lineRule="auto"/>
        <w:contextualSpacing/>
        <w:jc w:val="both"/>
        <w:rPr>
          <w:rFonts w:ascii="Times New Roman" w:eastAsia="Calibri" w:hAnsi="Times New Roman" w:cs="Times New Roman"/>
          <w:b/>
        </w:rPr>
      </w:pPr>
      <w:r>
        <w:rPr>
          <w:rFonts w:ascii="Times New Roman" w:eastAsia="Calibri" w:hAnsi="Times New Roman" w:cs="Times New Roman"/>
          <w:b/>
        </w:rPr>
        <w:t>v) Silica-Manganese</w:t>
      </w:r>
    </w:p>
    <w:p w:rsidR="008B5486" w:rsidRPr="00847B1B" w:rsidRDefault="00DC61C4" w:rsidP="00847B1B">
      <w:pPr>
        <w:spacing w:line="360" w:lineRule="auto"/>
        <w:ind w:firstLine="720"/>
        <w:contextualSpacing/>
        <w:jc w:val="both"/>
        <w:rPr>
          <w:rFonts w:ascii="Times New Roman" w:eastAsia="Calibri" w:hAnsi="Times New Roman" w:cs="Times New Roman"/>
          <w:b/>
        </w:rPr>
      </w:pPr>
      <w:r w:rsidRPr="00BF57EB">
        <w:rPr>
          <w:rFonts w:ascii="Times New Roman" w:eastAsia="Calibri" w:hAnsi="Times New Roman" w:cs="Times New Roman"/>
        </w:rPr>
        <w:t xml:space="preserve">Finally for Si-Mn, </w:t>
      </w:r>
      <w:r w:rsidR="00AA0FB7" w:rsidRPr="00BF57EB">
        <w:rPr>
          <w:rFonts w:ascii="Times New Roman" w:eastAsia="Calibri" w:hAnsi="Times New Roman" w:cs="Times New Roman"/>
        </w:rPr>
        <w:t>two alternative literature sources</w:t>
      </w:r>
      <w:r w:rsidR="00CA6029" w:rsidRPr="00BF57EB">
        <w:rPr>
          <w:rFonts w:ascii="Times New Roman" w:eastAsia="Calibri" w:hAnsi="Times New Roman" w:cs="Times New Roman"/>
        </w:rPr>
        <w:t xml:space="preserve"> </w:t>
      </w:r>
      <w:r w:rsidR="00CA6029" w:rsidRPr="00BF57EB">
        <w:rPr>
          <w:rFonts w:ascii="Times New Roman" w:eastAsia="Calibri" w:hAnsi="Times New Roman" w:cs="Times New Roman"/>
          <w:noProof/>
        </w:rPr>
        <w:t>(Bedinger et al. 2015; IMnI 2011)</w:t>
      </w:r>
      <w:r w:rsidR="00AA0FB7" w:rsidRPr="00BF57EB">
        <w:rPr>
          <w:rFonts w:ascii="Times New Roman" w:eastAsia="Calibri" w:hAnsi="Times New Roman" w:cs="Times New Roman"/>
        </w:rPr>
        <w:t xml:space="preserve"> </w:t>
      </w:r>
      <w:r w:rsidR="00CA6029" w:rsidRPr="00BF57EB">
        <w:rPr>
          <w:rFonts w:ascii="Times New Roman" w:eastAsia="Calibri" w:hAnsi="Times New Roman" w:cs="Times New Roman"/>
        </w:rPr>
        <w:t xml:space="preserve">were used and recognised China as the major global producer of Si-Mn </w:t>
      </w:r>
      <w:r w:rsidR="00AA0FB7" w:rsidRPr="00BF57EB">
        <w:rPr>
          <w:rFonts w:ascii="Times New Roman" w:eastAsia="Calibri" w:hAnsi="Times New Roman" w:cs="Times New Roman"/>
        </w:rPr>
        <w:t xml:space="preserve">However, there was disparity in terms of numerical values for total global production and production values from </w:t>
      </w:r>
      <w:r w:rsidR="00CA6029" w:rsidRPr="00BF57EB">
        <w:rPr>
          <w:rFonts w:ascii="Times New Roman" w:eastAsia="Calibri" w:hAnsi="Times New Roman" w:cs="Times New Roman"/>
        </w:rPr>
        <w:t xml:space="preserve">China for the same year (2011). Between these two sources </w:t>
      </w:r>
      <w:r w:rsidR="00AA0FB7" w:rsidRPr="00BF57EB">
        <w:rPr>
          <w:rFonts w:ascii="Times New Roman" w:eastAsia="Calibri" w:hAnsi="Times New Roman" w:cs="Times New Roman"/>
          <w:noProof/>
        </w:rPr>
        <w:t>(IMnI 2011)</w:t>
      </w:r>
      <w:r w:rsidR="00AA0FB7" w:rsidRPr="00BF57EB">
        <w:rPr>
          <w:rFonts w:ascii="Times New Roman" w:eastAsia="Calibri" w:hAnsi="Times New Roman" w:cs="Times New Roman"/>
        </w:rPr>
        <w:t xml:space="preserve"> stated values of 11.8Mt for global production and 7.4Mt for China. Whilst </w:t>
      </w:r>
      <w:r w:rsidR="00AA0FB7" w:rsidRPr="00BF57EB">
        <w:rPr>
          <w:rFonts w:ascii="Times New Roman" w:eastAsia="Calibri" w:hAnsi="Times New Roman" w:cs="Times New Roman"/>
          <w:noProof/>
        </w:rPr>
        <w:t>(Bedinger et al. 2015)</w:t>
      </w:r>
      <w:r w:rsidR="00BF57EB">
        <w:rPr>
          <w:rFonts w:ascii="Times New Roman" w:eastAsia="Calibri" w:hAnsi="Times New Roman" w:cs="Times New Roman"/>
        </w:rPr>
        <w:t xml:space="preserve"> specified values of </w:t>
      </w:r>
      <w:r w:rsidR="006048E1">
        <w:rPr>
          <w:rFonts w:ascii="Times New Roman" w:eastAsia="Calibri" w:hAnsi="Times New Roman" w:cs="Times New Roman"/>
        </w:rPr>
        <w:t xml:space="preserve">11.4 Mt </w:t>
      </w:r>
      <w:r w:rsidR="00847B1B">
        <w:rPr>
          <w:rFonts w:ascii="Times New Roman" w:eastAsia="Calibri" w:hAnsi="Times New Roman" w:cs="Times New Roman"/>
        </w:rPr>
        <w:t xml:space="preserve">for global production </w:t>
      </w:r>
      <w:r w:rsidR="00AA0FB7" w:rsidRPr="00BF57EB">
        <w:rPr>
          <w:rFonts w:ascii="Times New Roman" w:eastAsia="Calibri" w:hAnsi="Times New Roman" w:cs="Times New Roman"/>
        </w:rPr>
        <w:t xml:space="preserve">and 6.7Mt for China. </w:t>
      </w:r>
      <w:r w:rsidRPr="00BF57EB">
        <w:rPr>
          <w:rFonts w:ascii="Times New Roman" w:eastAsia="Calibri" w:hAnsi="Times New Roman" w:cs="Times New Roman"/>
        </w:rPr>
        <w:t>Personal interactions with IMnI, stated thei</w:t>
      </w:r>
      <w:r w:rsidR="00CA6029" w:rsidRPr="00BF57EB">
        <w:rPr>
          <w:rFonts w:ascii="Times New Roman" w:eastAsia="Calibri" w:hAnsi="Times New Roman" w:cs="Times New Roman"/>
        </w:rPr>
        <w:t>r data was based on sources within</w:t>
      </w:r>
      <w:r w:rsidRPr="00BF57EB">
        <w:rPr>
          <w:rFonts w:ascii="Times New Roman" w:eastAsia="Calibri" w:hAnsi="Times New Roman" w:cs="Times New Roman"/>
        </w:rPr>
        <w:t xml:space="preserve"> China. Thus</w:t>
      </w:r>
      <w:r w:rsidR="00CA6029" w:rsidRPr="00BF57EB">
        <w:rPr>
          <w:rFonts w:ascii="Times New Roman" w:eastAsia="Calibri" w:hAnsi="Times New Roman" w:cs="Times New Roman"/>
        </w:rPr>
        <w:t>,</w:t>
      </w:r>
      <w:r w:rsidRPr="00BF57EB">
        <w:rPr>
          <w:rFonts w:ascii="Times New Roman" w:eastAsia="Calibri" w:hAnsi="Times New Roman" w:cs="Times New Roman"/>
        </w:rPr>
        <w:t xml:space="preserve"> values from I</w:t>
      </w:r>
      <w:r w:rsidR="00AA0FB7" w:rsidRPr="00BF57EB">
        <w:rPr>
          <w:rFonts w:ascii="Times New Roman" w:eastAsia="Calibri" w:hAnsi="Times New Roman" w:cs="Times New Roman"/>
        </w:rPr>
        <w:t xml:space="preserve">MnI were selected as depicted by </w:t>
      </w:r>
      <w:r w:rsidR="00A6415F" w:rsidRPr="00BF57EB">
        <w:fldChar w:fldCharType="begin"/>
      </w:r>
      <w:r w:rsidR="00A6415F" w:rsidRPr="00BF57EB">
        <w:instrText xml:space="preserve"> REF _Ref473312207 \h  \* MERGEFORMAT </w:instrText>
      </w:r>
      <w:r w:rsidR="00A6415F" w:rsidRPr="00BF57EB">
        <w:fldChar w:fldCharType="separate"/>
      </w:r>
      <w:r w:rsidR="009F5483" w:rsidRPr="00BF57EB">
        <w:rPr>
          <w:rFonts w:ascii="Times New Roman" w:hAnsi="Times New Roman" w:cs="Times New Roman"/>
        </w:rPr>
        <w:t xml:space="preserve">Table </w:t>
      </w:r>
      <w:r w:rsidR="009F5483">
        <w:rPr>
          <w:rFonts w:ascii="Times New Roman" w:hAnsi="Times New Roman" w:cs="Times New Roman"/>
          <w:noProof/>
        </w:rPr>
        <w:t>17</w:t>
      </w:r>
      <w:r w:rsidR="00A6415F" w:rsidRPr="00BF57EB">
        <w:fldChar w:fldCharType="end"/>
      </w:r>
      <w:r w:rsidRPr="00BF57EB">
        <w:rPr>
          <w:rFonts w:ascii="Times New Roman" w:eastAsia="Calibri" w:hAnsi="Times New Roman" w:cs="Times New Roman"/>
        </w:rPr>
        <w:t>.</w:t>
      </w:r>
    </w:p>
    <w:p w:rsidR="00DC61C4" w:rsidRPr="00BF57EB" w:rsidRDefault="00DC61C4" w:rsidP="008B5486">
      <w:pPr>
        <w:rPr>
          <w:rFonts w:ascii="Times New Roman" w:eastAsia="Calibri" w:hAnsi="Times New Roman" w:cs="Times New Roman"/>
        </w:rPr>
      </w:pPr>
      <w:bookmarkStart w:id="76" w:name="_Ref473312207"/>
      <w:bookmarkStart w:id="77" w:name="_Toc474486525"/>
      <w:bookmarkStart w:id="78" w:name="_Toc495852695"/>
      <w:r w:rsidRPr="00BF57EB">
        <w:rPr>
          <w:rFonts w:ascii="Times New Roman" w:hAnsi="Times New Roman" w:cs="Times New Roman"/>
        </w:rPr>
        <w:t xml:space="preserve">Table </w:t>
      </w:r>
      <w:r w:rsidR="009A0ED7" w:rsidRPr="00BF57EB">
        <w:rPr>
          <w:rFonts w:ascii="Times New Roman" w:hAnsi="Times New Roman" w:cs="Times New Roman"/>
        </w:rPr>
        <w:fldChar w:fldCharType="begin"/>
      </w:r>
      <w:r w:rsidRPr="00BF57EB">
        <w:rPr>
          <w:rFonts w:ascii="Times New Roman" w:hAnsi="Times New Roman" w:cs="Times New Roman"/>
        </w:rPr>
        <w:instrText xml:space="preserve"> SEQ Table \* ARABIC </w:instrText>
      </w:r>
      <w:r w:rsidR="009A0ED7" w:rsidRPr="00BF57EB">
        <w:rPr>
          <w:rFonts w:ascii="Times New Roman" w:hAnsi="Times New Roman" w:cs="Times New Roman"/>
        </w:rPr>
        <w:fldChar w:fldCharType="separate"/>
      </w:r>
      <w:r w:rsidR="009F5483">
        <w:rPr>
          <w:rFonts w:ascii="Times New Roman" w:hAnsi="Times New Roman" w:cs="Times New Roman"/>
          <w:noProof/>
        </w:rPr>
        <w:t>17</w:t>
      </w:r>
      <w:r w:rsidR="009A0ED7" w:rsidRPr="00BF57EB">
        <w:rPr>
          <w:rFonts w:ascii="Times New Roman" w:hAnsi="Times New Roman" w:cs="Times New Roman"/>
        </w:rPr>
        <w:fldChar w:fldCharType="end"/>
      </w:r>
      <w:bookmarkEnd w:id="76"/>
      <w:r w:rsidRPr="00BF57EB">
        <w:rPr>
          <w:rFonts w:ascii="Times New Roman" w:hAnsi="Times New Roman" w:cs="Times New Roman"/>
        </w:rPr>
        <w:t xml:space="preserve">. </w:t>
      </w:r>
      <w:r w:rsidRPr="00BF57EB">
        <w:rPr>
          <w:rFonts w:ascii="Times New Roman" w:eastAsia="Calibri" w:hAnsi="Times New Roman" w:cs="Times New Roman"/>
        </w:rPr>
        <w:t xml:space="preserve">Top three global Si-Mn producers in 2011 </w:t>
      </w:r>
      <w:r w:rsidR="00AA0FB7" w:rsidRPr="00BF57EB">
        <w:rPr>
          <w:rFonts w:ascii="Times New Roman" w:eastAsia="Calibri" w:hAnsi="Times New Roman" w:cs="Times New Roman"/>
        </w:rPr>
        <w:t xml:space="preserve">according to </w:t>
      </w:r>
      <w:r w:rsidR="00AA0FB7" w:rsidRPr="00BF57EB">
        <w:rPr>
          <w:rFonts w:ascii="Times New Roman" w:eastAsia="Calibri" w:hAnsi="Times New Roman" w:cs="Times New Roman"/>
          <w:noProof/>
        </w:rPr>
        <w:t>(IMnI 2011)</w:t>
      </w:r>
      <w:r w:rsidR="00AA0FB7" w:rsidRPr="00BF57EB">
        <w:rPr>
          <w:rFonts w:ascii="Times New Roman" w:eastAsia="Calibri" w:hAnsi="Times New Roman" w:cs="Times New Roman"/>
        </w:rPr>
        <w:t>.</w:t>
      </w:r>
      <w:bookmarkEnd w:id="77"/>
      <w:bookmarkEnd w:id="78"/>
    </w:p>
    <w:tbl>
      <w:tblPr>
        <w:tblW w:w="4815" w:type="dxa"/>
        <w:tblLook w:val="04A0" w:firstRow="1" w:lastRow="0" w:firstColumn="1" w:lastColumn="0" w:noHBand="0" w:noVBand="1"/>
      </w:tblPr>
      <w:tblGrid>
        <w:gridCol w:w="1555"/>
        <w:gridCol w:w="1559"/>
        <w:gridCol w:w="1701"/>
      </w:tblGrid>
      <w:tr w:rsidR="00AA0FB7" w:rsidRPr="00BF57EB" w:rsidTr="008B5486">
        <w:trPr>
          <w:trHeight w:val="300"/>
        </w:trPr>
        <w:tc>
          <w:tcPr>
            <w:tcW w:w="4815" w:type="dxa"/>
            <w:gridSpan w:val="3"/>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bCs/>
              </w:rPr>
            </w:pPr>
            <w:r w:rsidRPr="00BF57EB">
              <w:rPr>
                <w:rFonts w:ascii="Times New Roman" w:eastAsia="Times New Roman" w:hAnsi="Times New Roman" w:cs="Times New Roman"/>
                <w:bCs/>
              </w:rPr>
              <w:t>International Mangane</w:t>
            </w:r>
            <w:r w:rsidR="008B5486" w:rsidRPr="00BF57EB">
              <w:rPr>
                <w:rFonts w:ascii="Times New Roman" w:eastAsia="Times New Roman" w:hAnsi="Times New Roman" w:cs="Times New Roman"/>
                <w:bCs/>
              </w:rPr>
              <w:t xml:space="preserve">se Institute (IMI) </w:t>
            </w:r>
          </w:p>
        </w:tc>
      </w:tr>
      <w:tr w:rsidR="00AA0FB7" w:rsidRPr="00BF57EB" w:rsidTr="008B5486">
        <w:trPr>
          <w:trHeight w:val="300"/>
        </w:trPr>
        <w:tc>
          <w:tcPr>
            <w:tcW w:w="1555" w:type="dxa"/>
            <w:tcBorders>
              <w:top w:val="nil"/>
              <w:left w:val="single" w:sz="4" w:space="0" w:color="auto"/>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Country</w:t>
            </w:r>
          </w:p>
        </w:tc>
        <w:tc>
          <w:tcPr>
            <w:tcW w:w="1559" w:type="dxa"/>
            <w:tcBorders>
              <w:top w:val="nil"/>
              <w:left w:val="nil"/>
              <w:bottom w:val="single" w:sz="4" w:space="0" w:color="auto"/>
              <w:right w:val="single" w:sz="4" w:space="0" w:color="auto"/>
            </w:tcBorders>
            <w:shd w:val="clear" w:color="000000" w:fill="FFFFFF"/>
            <w:noWrap/>
            <w:vAlign w:val="bottom"/>
            <w:hideMark/>
          </w:tcPr>
          <w:p w:rsidR="00AA0FB7" w:rsidRPr="00BF57EB" w:rsidRDefault="008B5486" w:rsidP="00AA0FB7">
            <w:pPr>
              <w:spacing w:after="0" w:line="240" w:lineRule="auto"/>
              <w:jc w:val="center"/>
              <w:rPr>
                <w:rFonts w:ascii="Times New Roman" w:eastAsia="Times New Roman" w:hAnsi="Times New Roman" w:cs="Times New Roman"/>
                <w:bCs/>
              </w:rPr>
            </w:pPr>
            <w:r w:rsidRPr="00BF57EB">
              <w:rPr>
                <w:rFonts w:ascii="Times New Roman" w:eastAsia="Times New Roman" w:hAnsi="Times New Roman" w:cs="Times New Roman"/>
                <w:bCs/>
              </w:rPr>
              <w:t>Quantity (Mt)</w:t>
            </w:r>
          </w:p>
        </w:tc>
        <w:tc>
          <w:tcPr>
            <w:tcW w:w="1701"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bCs/>
              </w:rPr>
            </w:pPr>
            <w:r w:rsidRPr="00BF57EB">
              <w:rPr>
                <w:rFonts w:ascii="Times New Roman" w:eastAsia="Times New Roman" w:hAnsi="Times New Roman" w:cs="Times New Roman"/>
                <w:bCs/>
              </w:rPr>
              <w:t>Percentage (%)</w:t>
            </w:r>
          </w:p>
        </w:tc>
      </w:tr>
      <w:tr w:rsidR="00AA0FB7" w:rsidRPr="00BF57EB" w:rsidTr="008B5486">
        <w:trPr>
          <w:trHeight w:val="300"/>
        </w:trPr>
        <w:tc>
          <w:tcPr>
            <w:tcW w:w="1555" w:type="dxa"/>
            <w:tcBorders>
              <w:top w:val="nil"/>
              <w:left w:val="single" w:sz="4" w:space="0" w:color="auto"/>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China</w:t>
            </w:r>
          </w:p>
        </w:tc>
        <w:tc>
          <w:tcPr>
            <w:tcW w:w="1559" w:type="dxa"/>
            <w:tcBorders>
              <w:top w:val="nil"/>
              <w:left w:val="nil"/>
              <w:bottom w:val="single" w:sz="4" w:space="0" w:color="auto"/>
              <w:right w:val="single" w:sz="4" w:space="0" w:color="auto"/>
            </w:tcBorders>
            <w:shd w:val="clear" w:color="000000" w:fill="FFFFFF"/>
            <w:noWrap/>
            <w:vAlign w:val="bottom"/>
            <w:hideMark/>
          </w:tcPr>
          <w:p w:rsidR="00AA0FB7" w:rsidRPr="00BF57EB" w:rsidRDefault="008B5486"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7.469</w:t>
            </w:r>
          </w:p>
        </w:tc>
        <w:tc>
          <w:tcPr>
            <w:tcW w:w="1701"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63.52</w:t>
            </w:r>
          </w:p>
        </w:tc>
      </w:tr>
      <w:tr w:rsidR="00AA0FB7" w:rsidRPr="00BF57EB" w:rsidTr="008B5486">
        <w:trPr>
          <w:trHeight w:val="300"/>
        </w:trPr>
        <w:tc>
          <w:tcPr>
            <w:tcW w:w="1555" w:type="dxa"/>
            <w:tcBorders>
              <w:top w:val="nil"/>
              <w:left w:val="single" w:sz="4" w:space="0" w:color="auto"/>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India</w:t>
            </w:r>
          </w:p>
        </w:tc>
        <w:tc>
          <w:tcPr>
            <w:tcW w:w="1559"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1.296</w:t>
            </w:r>
          </w:p>
        </w:tc>
        <w:tc>
          <w:tcPr>
            <w:tcW w:w="1701"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11.02</w:t>
            </w:r>
          </w:p>
        </w:tc>
      </w:tr>
      <w:tr w:rsidR="00AA0FB7" w:rsidRPr="00BF57EB" w:rsidTr="008B5486">
        <w:trPr>
          <w:trHeight w:val="300"/>
        </w:trPr>
        <w:tc>
          <w:tcPr>
            <w:tcW w:w="1555" w:type="dxa"/>
            <w:tcBorders>
              <w:top w:val="nil"/>
              <w:left w:val="single" w:sz="4" w:space="0" w:color="auto"/>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Ukraine</w:t>
            </w:r>
          </w:p>
        </w:tc>
        <w:tc>
          <w:tcPr>
            <w:tcW w:w="1559"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0.679</w:t>
            </w:r>
          </w:p>
        </w:tc>
        <w:tc>
          <w:tcPr>
            <w:tcW w:w="1701"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5.77</w:t>
            </w:r>
          </w:p>
        </w:tc>
      </w:tr>
      <w:tr w:rsidR="00AA0FB7" w:rsidRPr="00BF57EB" w:rsidTr="008B5486">
        <w:trPr>
          <w:trHeight w:val="300"/>
        </w:trPr>
        <w:tc>
          <w:tcPr>
            <w:tcW w:w="1555" w:type="dxa"/>
            <w:tcBorders>
              <w:top w:val="nil"/>
              <w:left w:val="single" w:sz="4" w:space="0" w:color="auto"/>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Other</w:t>
            </w:r>
          </w:p>
        </w:tc>
        <w:tc>
          <w:tcPr>
            <w:tcW w:w="1559" w:type="dxa"/>
            <w:tcBorders>
              <w:top w:val="nil"/>
              <w:left w:val="nil"/>
              <w:bottom w:val="single" w:sz="4" w:space="0" w:color="auto"/>
              <w:right w:val="single" w:sz="4" w:space="0" w:color="auto"/>
            </w:tcBorders>
            <w:shd w:val="clear" w:color="000000" w:fill="FFFFFF"/>
            <w:noWrap/>
            <w:vAlign w:val="bottom"/>
            <w:hideMark/>
          </w:tcPr>
          <w:p w:rsidR="00AA0FB7" w:rsidRPr="00BF57EB" w:rsidRDefault="008B5486"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2.315</w:t>
            </w:r>
          </w:p>
        </w:tc>
        <w:tc>
          <w:tcPr>
            <w:tcW w:w="1701"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rPr>
            </w:pPr>
            <w:r w:rsidRPr="00BF57EB">
              <w:rPr>
                <w:rFonts w:ascii="Times New Roman" w:eastAsia="Times New Roman" w:hAnsi="Times New Roman" w:cs="Times New Roman"/>
              </w:rPr>
              <w:t>19.69</w:t>
            </w:r>
          </w:p>
        </w:tc>
      </w:tr>
      <w:tr w:rsidR="00AA0FB7" w:rsidRPr="00BF57EB" w:rsidTr="008B5486">
        <w:trPr>
          <w:trHeight w:val="300"/>
        </w:trPr>
        <w:tc>
          <w:tcPr>
            <w:tcW w:w="1555" w:type="dxa"/>
            <w:tcBorders>
              <w:top w:val="nil"/>
              <w:left w:val="single" w:sz="4" w:space="0" w:color="auto"/>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bCs/>
              </w:rPr>
            </w:pPr>
            <w:r w:rsidRPr="00BF57EB">
              <w:rPr>
                <w:rFonts w:ascii="Times New Roman" w:eastAsia="Times New Roman" w:hAnsi="Times New Roman" w:cs="Times New Roman"/>
                <w:bCs/>
              </w:rPr>
              <w:t>Global Total</w:t>
            </w:r>
          </w:p>
        </w:tc>
        <w:tc>
          <w:tcPr>
            <w:tcW w:w="1559" w:type="dxa"/>
            <w:tcBorders>
              <w:top w:val="nil"/>
              <w:left w:val="nil"/>
              <w:bottom w:val="single" w:sz="4" w:space="0" w:color="auto"/>
              <w:right w:val="single" w:sz="4" w:space="0" w:color="auto"/>
            </w:tcBorders>
            <w:shd w:val="clear" w:color="000000" w:fill="FFFFFF"/>
            <w:noWrap/>
            <w:vAlign w:val="bottom"/>
            <w:hideMark/>
          </w:tcPr>
          <w:p w:rsidR="00AA0FB7" w:rsidRPr="00BF57EB" w:rsidRDefault="008B5486" w:rsidP="00AA0FB7">
            <w:pPr>
              <w:spacing w:after="0" w:line="240" w:lineRule="auto"/>
              <w:jc w:val="center"/>
              <w:rPr>
                <w:rFonts w:ascii="Times New Roman" w:eastAsia="Times New Roman" w:hAnsi="Times New Roman" w:cs="Times New Roman"/>
                <w:bCs/>
              </w:rPr>
            </w:pPr>
            <w:r w:rsidRPr="00BF57EB">
              <w:rPr>
                <w:rFonts w:ascii="Times New Roman" w:eastAsia="Times New Roman" w:hAnsi="Times New Roman" w:cs="Times New Roman"/>
                <w:bCs/>
              </w:rPr>
              <w:t>11.759</w:t>
            </w:r>
          </w:p>
        </w:tc>
        <w:tc>
          <w:tcPr>
            <w:tcW w:w="1701" w:type="dxa"/>
            <w:tcBorders>
              <w:top w:val="nil"/>
              <w:left w:val="nil"/>
              <w:bottom w:val="single" w:sz="4" w:space="0" w:color="auto"/>
              <w:right w:val="single" w:sz="4" w:space="0" w:color="auto"/>
            </w:tcBorders>
            <w:shd w:val="clear" w:color="000000" w:fill="FFFFFF"/>
            <w:noWrap/>
            <w:vAlign w:val="bottom"/>
            <w:hideMark/>
          </w:tcPr>
          <w:p w:rsidR="00AA0FB7" w:rsidRPr="00BF57EB" w:rsidRDefault="00AA0FB7" w:rsidP="00AA0FB7">
            <w:pPr>
              <w:spacing w:after="0" w:line="240" w:lineRule="auto"/>
              <w:jc w:val="center"/>
              <w:rPr>
                <w:rFonts w:ascii="Times New Roman" w:eastAsia="Times New Roman" w:hAnsi="Times New Roman" w:cs="Times New Roman"/>
                <w:bCs/>
              </w:rPr>
            </w:pPr>
            <w:r w:rsidRPr="00BF57EB">
              <w:rPr>
                <w:rFonts w:ascii="Times New Roman" w:eastAsia="Times New Roman" w:hAnsi="Times New Roman" w:cs="Times New Roman"/>
                <w:bCs/>
              </w:rPr>
              <w:t>100.00</w:t>
            </w:r>
          </w:p>
        </w:tc>
      </w:tr>
    </w:tbl>
    <w:p w:rsidR="00AA0FB7" w:rsidRPr="00BF57EB" w:rsidRDefault="00AA0FB7" w:rsidP="00DC61C4">
      <w:pPr>
        <w:spacing w:line="360" w:lineRule="auto"/>
        <w:rPr>
          <w:rFonts w:ascii="Times New Roman" w:eastAsia="Calibri" w:hAnsi="Times New Roman" w:cs="Times New Roman"/>
        </w:rPr>
        <w:sectPr w:rsidR="00AA0FB7" w:rsidRPr="00BF57EB" w:rsidSect="00C24042">
          <w:pgSz w:w="11906" w:h="16838"/>
          <w:pgMar w:top="1440" w:right="1440" w:bottom="1440" w:left="1440" w:header="708" w:footer="708" w:gutter="0"/>
          <w:cols w:space="708"/>
          <w:docGrid w:linePitch="360"/>
        </w:sectPr>
      </w:pPr>
    </w:p>
    <w:p w:rsidR="00DC61C4" w:rsidRPr="003B2D14" w:rsidRDefault="00CC009D" w:rsidP="00DC61C4">
      <w:pPr>
        <w:pStyle w:val="Heading3"/>
        <w:rPr>
          <w:rFonts w:ascii="Times New Roman" w:eastAsia="Calibri Light" w:hAnsi="Times New Roman" w:cs="Times New Roman"/>
        </w:rPr>
      </w:pPr>
      <w:r w:rsidRPr="003B2D14">
        <w:rPr>
          <w:rFonts w:ascii="Times New Roman" w:eastAsia="Calibri Light" w:hAnsi="Times New Roman" w:cs="Times New Roman"/>
        </w:rPr>
        <w:lastRenderedPageBreak/>
        <w:t xml:space="preserve">Stage 2 - </w:t>
      </w:r>
      <w:r w:rsidR="00DC61C4" w:rsidRPr="003B2D14">
        <w:rPr>
          <w:rFonts w:ascii="Times New Roman" w:eastAsia="Calibri Light" w:hAnsi="Times New Roman" w:cs="Times New Roman"/>
        </w:rPr>
        <w:t xml:space="preserve">Breakdown of electricity by fuel source </w:t>
      </w:r>
    </w:p>
    <w:p w:rsidR="00DC61C4" w:rsidRPr="00A1085C" w:rsidRDefault="00DC61C4" w:rsidP="000B7C8E">
      <w:pPr>
        <w:jc w:val="both"/>
        <w:rPr>
          <w:rFonts w:ascii="Times New Roman" w:eastAsia="Calibri" w:hAnsi="Times New Roman" w:cs="Times New Roman"/>
        </w:rPr>
      </w:pPr>
      <w:bookmarkStart w:id="79" w:name="_Ref473312594"/>
      <w:bookmarkStart w:id="80" w:name="_Toc474486526"/>
      <w:bookmarkStart w:id="81" w:name="_Toc495852696"/>
      <w:r w:rsidRPr="00A1085C">
        <w:rPr>
          <w:rFonts w:ascii="Times New Roman" w:hAnsi="Times New Roman" w:cs="Times New Roman"/>
        </w:rPr>
        <w:t xml:space="preserve">Table </w:t>
      </w:r>
      <w:r w:rsidR="009A0ED7" w:rsidRPr="00A1085C">
        <w:rPr>
          <w:rFonts w:ascii="Times New Roman" w:hAnsi="Times New Roman" w:cs="Times New Roman"/>
        </w:rPr>
        <w:fldChar w:fldCharType="begin"/>
      </w:r>
      <w:r w:rsidRPr="00A1085C">
        <w:rPr>
          <w:rFonts w:ascii="Times New Roman" w:hAnsi="Times New Roman" w:cs="Times New Roman"/>
        </w:rPr>
        <w:instrText xml:space="preserve"> SEQ Table \* ARABIC </w:instrText>
      </w:r>
      <w:r w:rsidR="009A0ED7" w:rsidRPr="00A1085C">
        <w:rPr>
          <w:rFonts w:ascii="Times New Roman" w:hAnsi="Times New Roman" w:cs="Times New Roman"/>
        </w:rPr>
        <w:fldChar w:fldCharType="separate"/>
      </w:r>
      <w:r w:rsidR="009F5483">
        <w:rPr>
          <w:rFonts w:ascii="Times New Roman" w:hAnsi="Times New Roman" w:cs="Times New Roman"/>
          <w:noProof/>
        </w:rPr>
        <w:t>18</w:t>
      </w:r>
      <w:r w:rsidR="009A0ED7" w:rsidRPr="00A1085C">
        <w:rPr>
          <w:rFonts w:ascii="Times New Roman" w:hAnsi="Times New Roman" w:cs="Times New Roman"/>
        </w:rPr>
        <w:fldChar w:fldCharType="end"/>
      </w:r>
      <w:bookmarkEnd w:id="79"/>
      <w:r w:rsidRPr="00A1085C">
        <w:rPr>
          <w:rFonts w:ascii="Times New Roman" w:hAnsi="Times New Roman" w:cs="Times New Roman"/>
        </w:rPr>
        <w:t xml:space="preserve">. </w:t>
      </w:r>
      <w:r w:rsidRPr="00A1085C">
        <w:rPr>
          <w:rFonts w:ascii="Times New Roman" w:eastAsia="Calibri" w:hAnsi="Times New Roman" w:cs="Times New Roman"/>
        </w:rPr>
        <w:t xml:space="preserve">Breakdown of electricity by </w:t>
      </w:r>
      <w:r w:rsidR="008F543D">
        <w:rPr>
          <w:rFonts w:ascii="Times New Roman" w:eastAsia="Calibri" w:hAnsi="Times New Roman" w:cs="Times New Roman"/>
        </w:rPr>
        <w:t>energy source</w:t>
      </w:r>
      <w:r w:rsidRPr="00A1085C">
        <w:rPr>
          <w:rFonts w:ascii="Times New Roman" w:eastAsia="Calibri" w:hAnsi="Times New Roman" w:cs="Times New Roman"/>
        </w:rPr>
        <w:t xml:space="preserve"> for ferro-alloy making countries of interest.</w:t>
      </w:r>
      <w:bookmarkEnd w:id="80"/>
      <w:bookmarkEnd w:id="81"/>
    </w:p>
    <w:tbl>
      <w:tblPr>
        <w:tblStyle w:val="TableGrid"/>
        <w:tblW w:w="14398" w:type="dxa"/>
        <w:tblLook w:val="04A0" w:firstRow="1" w:lastRow="0" w:firstColumn="1" w:lastColumn="0" w:noHBand="0" w:noVBand="1"/>
      </w:tblPr>
      <w:tblGrid>
        <w:gridCol w:w="1398"/>
        <w:gridCol w:w="740"/>
        <w:gridCol w:w="1096"/>
        <w:gridCol w:w="931"/>
        <w:gridCol w:w="931"/>
        <w:gridCol w:w="1041"/>
        <w:gridCol w:w="821"/>
        <w:gridCol w:w="1137"/>
        <w:gridCol w:w="1051"/>
        <w:gridCol w:w="1288"/>
        <w:gridCol w:w="821"/>
        <w:gridCol w:w="931"/>
        <w:gridCol w:w="821"/>
        <w:gridCol w:w="738"/>
        <w:gridCol w:w="1096"/>
      </w:tblGrid>
      <w:tr w:rsidR="00DC61C4" w:rsidRPr="004E6172" w:rsidTr="008368BF">
        <w:trPr>
          <w:trHeight w:val="300"/>
        </w:trPr>
        <w:tc>
          <w:tcPr>
            <w:tcW w:w="1398" w:type="dxa"/>
            <w:noWrap/>
            <w:hideMark/>
          </w:tcPr>
          <w:p w:rsidR="00DC61C4" w:rsidRPr="004E6172" w:rsidRDefault="00DC61C4" w:rsidP="008368BF">
            <w:pPr>
              <w:pStyle w:val="TableofTables"/>
              <w:jc w:val="center"/>
              <w:rPr>
                <w:rFonts w:ascii="Times New Roman" w:hAnsi="Times New Roman" w:cs="Times New Roman"/>
              </w:rPr>
            </w:pPr>
          </w:p>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Country</w:t>
            </w:r>
          </w:p>
        </w:tc>
        <w:tc>
          <w:tcPr>
            <w:tcW w:w="740" w:type="dxa"/>
            <w:noWrap/>
            <w:hideMark/>
          </w:tcPr>
          <w:p w:rsidR="00DC61C4" w:rsidRPr="004E6172" w:rsidRDefault="00DC61C4" w:rsidP="008368BF">
            <w:pPr>
              <w:pStyle w:val="TableofTables"/>
              <w:jc w:val="center"/>
              <w:rPr>
                <w:rFonts w:ascii="Times New Roman" w:hAnsi="Times New Roman" w:cs="Times New Roman"/>
              </w:rPr>
            </w:pPr>
          </w:p>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Year</w:t>
            </w:r>
          </w:p>
        </w:tc>
        <w:tc>
          <w:tcPr>
            <w:tcW w:w="997" w:type="dxa"/>
            <w:noWrap/>
            <w:hideMark/>
          </w:tcPr>
          <w:p w:rsidR="00DC61C4" w:rsidRPr="004E6172" w:rsidRDefault="00DC61C4" w:rsidP="008368BF">
            <w:pPr>
              <w:pStyle w:val="TableofTables"/>
              <w:jc w:val="center"/>
              <w:rPr>
                <w:rFonts w:ascii="Times New Roman" w:hAnsi="Times New Roman" w:cs="Times New Roman"/>
              </w:rPr>
            </w:pPr>
          </w:p>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Coal</w:t>
            </w:r>
          </w:p>
        </w:tc>
        <w:tc>
          <w:tcPr>
            <w:tcW w:w="886" w:type="dxa"/>
            <w:noWrap/>
            <w:hideMark/>
          </w:tcPr>
          <w:p w:rsidR="00DC61C4" w:rsidRPr="004E6172" w:rsidRDefault="00DC61C4" w:rsidP="008368BF">
            <w:pPr>
              <w:pStyle w:val="TableofTables"/>
              <w:jc w:val="center"/>
              <w:rPr>
                <w:rFonts w:ascii="Times New Roman" w:hAnsi="Times New Roman" w:cs="Times New Roman"/>
              </w:rPr>
            </w:pPr>
          </w:p>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Oil</w:t>
            </w:r>
          </w:p>
        </w:tc>
        <w:tc>
          <w:tcPr>
            <w:tcW w:w="8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Natural Gas</w:t>
            </w:r>
          </w:p>
        </w:tc>
        <w:tc>
          <w:tcPr>
            <w:tcW w:w="1041" w:type="dxa"/>
            <w:noWrap/>
            <w:hideMark/>
          </w:tcPr>
          <w:p w:rsidR="00DC61C4" w:rsidRPr="004E6172" w:rsidRDefault="00DC61C4" w:rsidP="008368BF">
            <w:pPr>
              <w:pStyle w:val="TableofTables"/>
              <w:jc w:val="center"/>
              <w:rPr>
                <w:rFonts w:ascii="Times New Roman" w:hAnsi="Times New Roman" w:cs="Times New Roman"/>
              </w:rPr>
            </w:pPr>
          </w:p>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Biofuels</w:t>
            </w:r>
          </w:p>
        </w:tc>
        <w:tc>
          <w:tcPr>
            <w:tcW w:w="787" w:type="dxa"/>
            <w:noWrap/>
            <w:hideMark/>
          </w:tcPr>
          <w:p w:rsidR="00DC61C4" w:rsidRPr="004E6172" w:rsidRDefault="00DC61C4" w:rsidP="008368BF">
            <w:pPr>
              <w:pStyle w:val="TableofTables"/>
              <w:jc w:val="center"/>
              <w:rPr>
                <w:rFonts w:ascii="Times New Roman" w:hAnsi="Times New Roman" w:cs="Times New Roman"/>
              </w:rPr>
            </w:pPr>
          </w:p>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Waste</w:t>
            </w:r>
          </w:p>
        </w:tc>
        <w:tc>
          <w:tcPr>
            <w:tcW w:w="113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Nuclear Energy</w:t>
            </w:r>
          </w:p>
        </w:tc>
        <w:tc>
          <w:tcPr>
            <w:tcW w:w="105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Hydro Electric</w:t>
            </w:r>
          </w:p>
        </w:tc>
        <w:tc>
          <w:tcPr>
            <w:tcW w:w="1288" w:type="dxa"/>
            <w:noWrap/>
            <w:hideMark/>
          </w:tcPr>
          <w:p w:rsidR="00DC61C4" w:rsidRPr="004E6172" w:rsidRDefault="00DC61C4" w:rsidP="008368BF">
            <w:pPr>
              <w:pStyle w:val="TableofTables"/>
              <w:jc w:val="center"/>
              <w:rPr>
                <w:rFonts w:ascii="Times New Roman" w:hAnsi="Times New Roman" w:cs="Times New Roman"/>
              </w:rPr>
            </w:pPr>
          </w:p>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Geothermal</w:t>
            </w:r>
          </w:p>
        </w:tc>
        <w:tc>
          <w:tcPr>
            <w:tcW w:w="774" w:type="dxa"/>
            <w:noWrap/>
            <w:hideMark/>
          </w:tcPr>
          <w:p w:rsidR="00DC61C4" w:rsidRPr="004E6172" w:rsidRDefault="00DC61C4" w:rsidP="008368BF">
            <w:pPr>
              <w:pStyle w:val="TableofTables"/>
              <w:jc w:val="center"/>
              <w:rPr>
                <w:rFonts w:ascii="Times New Roman" w:hAnsi="Times New Roman" w:cs="Times New Roman"/>
              </w:rPr>
            </w:pPr>
          </w:p>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Solar</w:t>
            </w:r>
          </w:p>
        </w:tc>
        <w:tc>
          <w:tcPr>
            <w:tcW w:w="886" w:type="dxa"/>
            <w:noWrap/>
            <w:hideMark/>
          </w:tcPr>
          <w:p w:rsidR="00DC61C4" w:rsidRPr="004E6172" w:rsidRDefault="00DC61C4" w:rsidP="008368BF">
            <w:pPr>
              <w:pStyle w:val="TableofTables"/>
              <w:jc w:val="center"/>
              <w:rPr>
                <w:rFonts w:ascii="Times New Roman" w:hAnsi="Times New Roman" w:cs="Times New Roman"/>
              </w:rPr>
            </w:pPr>
          </w:p>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Wind</w:t>
            </w:r>
          </w:p>
        </w:tc>
        <w:tc>
          <w:tcPr>
            <w:tcW w:w="781" w:type="dxa"/>
            <w:noWrap/>
            <w:hideMark/>
          </w:tcPr>
          <w:p w:rsidR="00DC61C4" w:rsidRPr="004E6172" w:rsidRDefault="00DC61C4" w:rsidP="008368BF">
            <w:pPr>
              <w:pStyle w:val="TableofTables"/>
              <w:jc w:val="center"/>
              <w:rPr>
                <w:rFonts w:ascii="Times New Roman" w:hAnsi="Times New Roman" w:cs="Times New Roman"/>
              </w:rPr>
            </w:pPr>
          </w:p>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Tide</w:t>
            </w:r>
          </w:p>
        </w:tc>
        <w:tc>
          <w:tcPr>
            <w:tcW w:w="738" w:type="dxa"/>
            <w:noWrap/>
            <w:hideMark/>
          </w:tcPr>
          <w:p w:rsidR="00DC61C4" w:rsidRPr="004E6172" w:rsidRDefault="00DC61C4" w:rsidP="008368BF">
            <w:pPr>
              <w:pStyle w:val="TableofTables"/>
              <w:jc w:val="center"/>
              <w:rPr>
                <w:rFonts w:ascii="Times New Roman" w:hAnsi="Times New Roman" w:cs="Times New Roman"/>
              </w:rPr>
            </w:pPr>
          </w:p>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Other</w:t>
            </w:r>
          </w:p>
        </w:tc>
        <w:tc>
          <w:tcPr>
            <w:tcW w:w="997" w:type="dxa"/>
            <w:noWrap/>
            <w:hideMark/>
          </w:tcPr>
          <w:p w:rsidR="00DC61C4" w:rsidRPr="004E6172" w:rsidRDefault="00DC61C4" w:rsidP="008368BF">
            <w:pPr>
              <w:pStyle w:val="TableofTables"/>
              <w:jc w:val="center"/>
              <w:rPr>
                <w:rFonts w:ascii="Times New Roman" w:hAnsi="Times New Roman" w:cs="Times New Roman"/>
              </w:rPr>
            </w:pPr>
          </w:p>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Total</w:t>
            </w:r>
          </w:p>
        </w:tc>
      </w:tr>
      <w:tr w:rsidR="00DC61C4" w:rsidRPr="004E6172" w:rsidTr="008368BF">
        <w:trPr>
          <w:trHeight w:val="300"/>
        </w:trPr>
        <w:tc>
          <w:tcPr>
            <w:tcW w:w="139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China</w:t>
            </w:r>
          </w:p>
        </w:tc>
        <w:tc>
          <w:tcPr>
            <w:tcW w:w="740"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2013</w:t>
            </w:r>
          </w:p>
        </w:tc>
        <w:tc>
          <w:tcPr>
            <w:tcW w:w="9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4</w:t>
            </w:r>
            <w:r w:rsidR="008F543D">
              <w:rPr>
                <w:rFonts w:ascii="Times New Roman" w:hAnsi="Times New Roman" w:cs="Times New Roman"/>
              </w:rPr>
              <w:t>,</w:t>
            </w:r>
            <w:r w:rsidRPr="004E6172">
              <w:rPr>
                <w:rFonts w:ascii="Times New Roman" w:hAnsi="Times New Roman" w:cs="Times New Roman"/>
              </w:rPr>
              <w:t>110</w:t>
            </w:r>
            <w:r w:rsidR="008F543D">
              <w:rPr>
                <w:rFonts w:ascii="Times New Roman" w:hAnsi="Times New Roman" w:cs="Times New Roman"/>
              </w:rPr>
              <w:t>,</w:t>
            </w:r>
            <w:r w:rsidRPr="004E6172">
              <w:rPr>
                <w:rFonts w:ascii="Times New Roman" w:hAnsi="Times New Roman" w:cs="Times New Roman"/>
              </w:rPr>
              <w:t>826</w:t>
            </w:r>
          </w:p>
        </w:tc>
        <w:tc>
          <w:tcPr>
            <w:tcW w:w="886"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6</w:t>
            </w:r>
            <w:r w:rsidR="008F543D">
              <w:rPr>
                <w:rFonts w:ascii="Times New Roman" w:hAnsi="Times New Roman" w:cs="Times New Roman"/>
              </w:rPr>
              <w:t>,</w:t>
            </w:r>
            <w:r w:rsidRPr="004E6172">
              <w:rPr>
                <w:rFonts w:ascii="Times New Roman" w:hAnsi="Times New Roman" w:cs="Times New Roman"/>
              </w:rPr>
              <w:t>504</w:t>
            </w:r>
          </w:p>
        </w:tc>
        <w:tc>
          <w:tcPr>
            <w:tcW w:w="8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90</w:t>
            </w:r>
            <w:r w:rsidR="008F543D">
              <w:rPr>
                <w:rFonts w:ascii="Times New Roman" w:hAnsi="Times New Roman" w:cs="Times New Roman"/>
              </w:rPr>
              <w:t>,</w:t>
            </w:r>
            <w:r w:rsidRPr="004E6172">
              <w:rPr>
                <w:rFonts w:ascii="Times New Roman" w:hAnsi="Times New Roman" w:cs="Times New Roman"/>
              </w:rPr>
              <w:t>602</w:t>
            </w:r>
          </w:p>
        </w:tc>
        <w:tc>
          <w:tcPr>
            <w:tcW w:w="104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38</w:t>
            </w:r>
            <w:r w:rsidR="008F543D">
              <w:rPr>
                <w:rFonts w:ascii="Times New Roman" w:hAnsi="Times New Roman" w:cs="Times New Roman"/>
              </w:rPr>
              <w:t>,</w:t>
            </w:r>
            <w:r w:rsidRPr="004E6172">
              <w:rPr>
                <w:rFonts w:ascii="Times New Roman" w:hAnsi="Times New Roman" w:cs="Times New Roman"/>
              </w:rPr>
              <w:t>300</w:t>
            </w:r>
          </w:p>
        </w:tc>
        <w:tc>
          <w:tcPr>
            <w:tcW w:w="78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12</w:t>
            </w:r>
            <w:r w:rsidR="008F543D">
              <w:rPr>
                <w:rFonts w:ascii="Times New Roman" w:hAnsi="Times New Roman" w:cs="Times New Roman"/>
              </w:rPr>
              <w:t>,</w:t>
            </w:r>
            <w:r w:rsidRPr="004E6172">
              <w:rPr>
                <w:rFonts w:ascii="Times New Roman" w:hAnsi="Times New Roman" w:cs="Times New Roman"/>
              </w:rPr>
              <w:t>304</w:t>
            </w:r>
          </w:p>
        </w:tc>
        <w:tc>
          <w:tcPr>
            <w:tcW w:w="113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111</w:t>
            </w:r>
            <w:r w:rsidR="008F543D">
              <w:rPr>
                <w:rFonts w:ascii="Times New Roman" w:hAnsi="Times New Roman" w:cs="Times New Roman"/>
              </w:rPr>
              <w:t>,</w:t>
            </w:r>
            <w:r w:rsidRPr="004E6172">
              <w:rPr>
                <w:rFonts w:ascii="Times New Roman" w:hAnsi="Times New Roman" w:cs="Times New Roman"/>
              </w:rPr>
              <w:t>613</w:t>
            </w:r>
          </w:p>
        </w:tc>
        <w:tc>
          <w:tcPr>
            <w:tcW w:w="105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92</w:t>
            </w:r>
            <w:r w:rsidR="008F543D">
              <w:rPr>
                <w:rFonts w:ascii="Times New Roman" w:hAnsi="Times New Roman" w:cs="Times New Roman"/>
              </w:rPr>
              <w:t>,</w:t>
            </w:r>
            <w:r w:rsidRPr="004E6172">
              <w:rPr>
                <w:rFonts w:ascii="Times New Roman" w:hAnsi="Times New Roman" w:cs="Times New Roman"/>
              </w:rPr>
              <w:t>0291</w:t>
            </w:r>
          </w:p>
        </w:tc>
        <w:tc>
          <w:tcPr>
            <w:tcW w:w="128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109</w:t>
            </w:r>
          </w:p>
        </w:tc>
        <w:tc>
          <w:tcPr>
            <w:tcW w:w="774"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15</w:t>
            </w:r>
            <w:r w:rsidR="008F543D">
              <w:rPr>
                <w:rFonts w:ascii="Times New Roman" w:hAnsi="Times New Roman" w:cs="Times New Roman"/>
              </w:rPr>
              <w:t>,</w:t>
            </w:r>
            <w:r w:rsidRPr="004E6172">
              <w:rPr>
                <w:rFonts w:ascii="Times New Roman" w:hAnsi="Times New Roman" w:cs="Times New Roman"/>
              </w:rPr>
              <w:t>477</w:t>
            </w:r>
          </w:p>
        </w:tc>
        <w:tc>
          <w:tcPr>
            <w:tcW w:w="886"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141</w:t>
            </w:r>
            <w:r w:rsidR="008F543D">
              <w:rPr>
                <w:rFonts w:ascii="Times New Roman" w:hAnsi="Times New Roman" w:cs="Times New Roman"/>
              </w:rPr>
              <w:t>,</w:t>
            </w:r>
            <w:r w:rsidRPr="004E6172">
              <w:rPr>
                <w:rFonts w:ascii="Times New Roman" w:hAnsi="Times New Roman" w:cs="Times New Roman"/>
              </w:rPr>
              <w:t>197</w:t>
            </w:r>
          </w:p>
        </w:tc>
        <w:tc>
          <w:tcPr>
            <w:tcW w:w="78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8</w:t>
            </w:r>
          </w:p>
        </w:tc>
        <w:tc>
          <w:tcPr>
            <w:tcW w:w="73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9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5</w:t>
            </w:r>
            <w:r w:rsidR="008F543D">
              <w:rPr>
                <w:rFonts w:ascii="Times New Roman" w:hAnsi="Times New Roman" w:cs="Times New Roman"/>
              </w:rPr>
              <w:t>,</w:t>
            </w:r>
            <w:r w:rsidRPr="004E6172">
              <w:rPr>
                <w:rFonts w:ascii="Times New Roman" w:hAnsi="Times New Roman" w:cs="Times New Roman"/>
              </w:rPr>
              <w:t>447</w:t>
            </w:r>
            <w:r w:rsidR="008F543D">
              <w:rPr>
                <w:rFonts w:ascii="Times New Roman" w:hAnsi="Times New Roman" w:cs="Times New Roman"/>
              </w:rPr>
              <w:t>,</w:t>
            </w:r>
            <w:r w:rsidRPr="004E6172">
              <w:rPr>
                <w:rFonts w:ascii="Times New Roman" w:hAnsi="Times New Roman" w:cs="Times New Roman"/>
              </w:rPr>
              <w:t>231</w:t>
            </w:r>
          </w:p>
        </w:tc>
      </w:tr>
      <w:tr w:rsidR="00DC61C4" w:rsidRPr="004E6172" w:rsidTr="008368BF">
        <w:trPr>
          <w:trHeight w:val="300"/>
        </w:trPr>
        <w:tc>
          <w:tcPr>
            <w:tcW w:w="139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India</w:t>
            </w:r>
          </w:p>
        </w:tc>
        <w:tc>
          <w:tcPr>
            <w:tcW w:w="740"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2013</w:t>
            </w:r>
          </w:p>
        </w:tc>
        <w:tc>
          <w:tcPr>
            <w:tcW w:w="9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869</w:t>
            </w:r>
            <w:r w:rsidR="008F543D">
              <w:rPr>
                <w:rFonts w:ascii="Times New Roman" w:hAnsi="Times New Roman" w:cs="Times New Roman"/>
              </w:rPr>
              <w:t>,</w:t>
            </w:r>
            <w:r w:rsidRPr="004E6172">
              <w:rPr>
                <w:rFonts w:ascii="Times New Roman" w:hAnsi="Times New Roman" w:cs="Times New Roman"/>
              </w:rPr>
              <w:t>181</w:t>
            </w:r>
          </w:p>
        </w:tc>
        <w:tc>
          <w:tcPr>
            <w:tcW w:w="886"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23</w:t>
            </w:r>
            <w:r w:rsidR="008F543D">
              <w:rPr>
                <w:rFonts w:ascii="Times New Roman" w:hAnsi="Times New Roman" w:cs="Times New Roman"/>
              </w:rPr>
              <w:t>,</w:t>
            </w:r>
            <w:r w:rsidRPr="004E6172">
              <w:rPr>
                <w:rFonts w:ascii="Times New Roman" w:hAnsi="Times New Roman" w:cs="Times New Roman"/>
              </w:rPr>
              <w:t>169</w:t>
            </w:r>
          </w:p>
        </w:tc>
        <w:tc>
          <w:tcPr>
            <w:tcW w:w="8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65</w:t>
            </w:r>
            <w:r w:rsidR="008F543D">
              <w:rPr>
                <w:rFonts w:ascii="Times New Roman" w:hAnsi="Times New Roman" w:cs="Times New Roman"/>
              </w:rPr>
              <w:t>,</w:t>
            </w:r>
            <w:r w:rsidRPr="004E6172">
              <w:rPr>
                <w:rFonts w:ascii="Times New Roman" w:hAnsi="Times New Roman" w:cs="Times New Roman"/>
              </w:rPr>
              <w:t>102</w:t>
            </w:r>
          </w:p>
        </w:tc>
        <w:tc>
          <w:tcPr>
            <w:tcW w:w="104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21</w:t>
            </w:r>
            <w:r w:rsidR="008F543D">
              <w:rPr>
                <w:rFonts w:ascii="Times New Roman" w:hAnsi="Times New Roman" w:cs="Times New Roman"/>
              </w:rPr>
              <w:t>,</w:t>
            </w:r>
            <w:r w:rsidRPr="004E6172">
              <w:rPr>
                <w:rFonts w:ascii="Times New Roman" w:hAnsi="Times New Roman" w:cs="Times New Roman"/>
              </w:rPr>
              <w:t>809</w:t>
            </w:r>
          </w:p>
        </w:tc>
        <w:tc>
          <w:tcPr>
            <w:tcW w:w="78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w:t>
            </w:r>
            <w:r w:rsidR="008F543D">
              <w:rPr>
                <w:rFonts w:ascii="Times New Roman" w:hAnsi="Times New Roman" w:cs="Times New Roman"/>
              </w:rPr>
              <w:t>,</w:t>
            </w:r>
            <w:r w:rsidRPr="004E6172">
              <w:rPr>
                <w:rFonts w:ascii="Times New Roman" w:hAnsi="Times New Roman" w:cs="Times New Roman"/>
              </w:rPr>
              <w:t>338</w:t>
            </w:r>
          </w:p>
        </w:tc>
        <w:tc>
          <w:tcPr>
            <w:tcW w:w="113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34</w:t>
            </w:r>
            <w:r w:rsidR="008F543D">
              <w:rPr>
                <w:rFonts w:ascii="Times New Roman" w:hAnsi="Times New Roman" w:cs="Times New Roman"/>
              </w:rPr>
              <w:t>,</w:t>
            </w:r>
            <w:r w:rsidRPr="004E6172">
              <w:rPr>
                <w:rFonts w:ascii="Times New Roman" w:hAnsi="Times New Roman" w:cs="Times New Roman"/>
              </w:rPr>
              <w:t>228</w:t>
            </w:r>
          </w:p>
        </w:tc>
        <w:tc>
          <w:tcPr>
            <w:tcW w:w="105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141</w:t>
            </w:r>
            <w:r w:rsidR="008F543D">
              <w:rPr>
                <w:rFonts w:ascii="Times New Roman" w:hAnsi="Times New Roman" w:cs="Times New Roman"/>
              </w:rPr>
              <w:t>,</w:t>
            </w:r>
            <w:r w:rsidRPr="004E6172">
              <w:rPr>
                <w:rFonts w:ascii="Times New Roman" w:hAnsi="Times New Roman" w:cs="Times New Roman"/>
              </w:rPr>
              <w:t>637</w:t>
            </w:r>
          </w:p>
        </w:tc>
        <w:tc>
          <w:tcPr>
            <w:tcW w:w="128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774"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3</w:t>
            </w:r>
            <w:r w:rsidR="008F543D">
              <w:rPr>
                <w:rFonts w:ascii="Times New Roman" w:hAnsi="Times New Roman" w:cs="Times New Roman"/>
              </w:rPr>
              <w:t>,</w:t>
            </w:r>
            <w:r w:rsidRPr="004E6172">
              <w:rPr>
                <w:rFonts w:ascii="Times New Roman" w:hAnsi="Times New Roman" w:cs="Times New Roman"/>
              </w:rPr>
              <w:t>433</w:t>
            </w:r>
          </w:p>
        </w:tc>
        <w:tc>
          <w:tcPr>
            <w:tcW w:w="886"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78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33</w:t>
            </w:r>
            <w:r w:rsidR="008F543D">
              <w:rPr>
                <w:rFonts w:ascii="Times New Roman" w:hAnsi="Times New Roman" w:cs="Times New Roman"/>
              </w:rPr>
              <w:t>,</w:t>
            </w:r>
            <w:r w:rsidRPr="004E6172">
              <w:rPr>
                <w:rFonts w:ascii="Times New Roman" w:hAnsi="Times New Roman" w:cs="Times New Roman"/>
              </w:rPr>
              <w:t>583</w:t>
            </w:r>
          </w:p>
        </w:tc>
        <w:tc>
          <w:tcPr>
            <w:tcW w:w="73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9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w:t>
            </w:r>
            <w:r w:rsidR="008F543D">
              <w:rPr>
                <w:rFonts w:ascii="Times New Roman" w:hAnsi="Times New Roman" w:cs="Times New Roman"/>
              </w:rPr>
              <w:t>,</w:t>
            </w:r>
            <w:r w:rsidRPr="004E6172">
              <w:rPr>
                <w:rFonts w:ascii="Times New Roman" w:hAnsi="Times New Roman" w:cs="Times New Roman"/>
              </w:rPr>
              <w:t>193</w:t>
            </w:r>
            <w:r w:rsidR="008F543D">
              <w:rPr>
                <w:rFonts w:ascii="Times New Roman" w:hAnsi="Times New Roman" w:cs="Times New Roman"/>
              </w:rPr>
              <w:t>,</w:t>
            </w:r>
            <w:r w:rsidRPr="004E6172">
              <w:rPr>
                <w:rFonts w:ascii="Times New Roman" w:hAnsi="Times New Roman" w:cs="Times New Roman"/>
              </w:rPr>
              <w:t>480</w:t>
            </w:r>
          </w:p>
        </w:tc>
      </w:tr>
      <w:tr w:rsidR="00DC61C4" w:rsidRPr="004E6172" w:rsidTr="008368BF">
        <w:trPr>
          <w:trHeight w:val="300"/>
        </w:trPr>
        <w:tc>
          <w:tcPr>
            <w:tcW w:w="139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South Africa</w:t>
            </w:r>
          </w:p>
        </w:tc>
        <w:tc>
          <w:tcPr>
            <w:tcW w:w="740"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2013</w:t>
            </w:r>
          </w:p>
        </w:tc>
        <w:tc>
          <w:tcPr>
            <w:tcW w:w="9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237</w:t>
            </w:r>
            <w:r w:rsidR="008F543D">
              <w:rPr>
                <w:rFonts w:ascii="Times New Roman" w:hAnsi="Times New Roman" w:cs="Times New Roman"/>
              </w:rPr>
              <w:t>,</w:t>
            </w:r>
            <w:r w:rsidRPr="004E6172">
              <w:rPr>
                <w:rFonts w:ascii="Times New Roman" w:hAnsi="Times New Roman" w:cs="Times New Roman"/>
              </w:rPr>
              <w:t>157</w:t>
            </w:r>
          </w:p>
        </w:tc>
        <w:tc>
          <w:tcPr>
            <w:tcW w:w="886"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192</w:t>
            </w:r>
          </w:p>
        </w:tc>
        <w:tc>
          <w:tcPr>
            <w:tcW w:w="8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104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298</w:t>
            </w:r>
          </w:p>
        </w:tc>
        <w:tc>
          <w:tcPr>
            <w:tcW w:w="78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113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14</w:t>
            </w:r>
            <w:r w:rsidR="008F543D">
              <w:rPr>
                <w:rFonts w:ascii="Times New Roman" w:hAnsi="Times New Roman" w:cs="Times New Roman"/>
              </w:rPr>
              <w:t>,</w:t>
            </w:r>
            <w:r w:rsidRPr="004E6172">
              <w:rPr>
                <w:rFonts w:ascii="Times New Roman" w:hAnsi="Times New Roman" w:cs="Times New Roman"/>
              </w:rPr>
              <w:t>106</w:t>
            </w:r>
          </w:p>
        </w:tc>
        <w:tc>
          <w:tcPr>
            <w:tcW w:w="105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4</w:t>
            </w:r>
            <w:r w:rsidR="008F543D">
              <w:rPr>
                <w:rFonts w:ascii="Times New Roman" w:hAnsi="Times New Roman" w:cs="Times New Roman"/>
              </w:rPr>
              <w:t>,</w:t>
            </w:r>
            <w:r w:rsidRPr="004E6172">
              <w:rPr>
                <w:rFonts w:ascii="Times New Roman" w:hAnsi="Times New Roman" w:cs="Times New Roman"/>
              </w:rPr>
              <w:t>040</w:t>
            </w:r>
          </w:p>
        </w:tc>
        <w:tc>
          <w:tcPr>
            <w:tcW w:w="128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774"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243</w:t>
            </w:r>
          </w:p>
        </w:tc>
        <w:tc>
          <w:tcPr>
            <w:tcW w:w="886"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37</w:t>
            </w:r>
          </w:p>
        </w:tc>
        <w:tc>
          <w:tcPr>
            <w:tcW w:w="78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73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9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256</w:t>
            </w:r>
            <w:r w:rsidR="008F543D">
              <w:rPr>
                <w:rFonts w:ascii="Times New Roman" w:hAnsi="Times New Roman" w:cs="Times New Roman"/>
              </w:rPr>
              <w:t>,</w:t>
            </w:r>
            <w:r w:rsidRPr="004E6172">
              <w:rPr>
                <w:rFonts w:ascii="Times New Roman" w:hAnsi="Times New Roman" w:cs="Times New Roman"/>
              </w:rPr>
              <w:t>073</w:t>
            </w:r>
          </w:p>
        </w:tc>
      </w:tr>
      <w:tr w:rsidR="00DC61C4" w:rsidRPr="004E6172" w:rsidTr="008368BF">
        <w:trPr>
          <w:trHeight w:val="300"/>
        </w:trPr>
        <w:tc>
          <w:tcPr>
            <w:tcW w:w="139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Kazakhstan</w:t>
            </w:r>
          </w:p>
        </w:tc>
        <w:tc>
          <w:tcPr>
            <w:tcW w:w="740"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2013</w:t>
            </w:r>
          </w:p>
        </w:tc>
        <w:tc>
          <w:tcPr>
            <w:tcW w:w="9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77</w:t>
            </w:r>
            <w:r w:rsidR="008F543D">
              <w:rPr>
                <w:rFonts w:ascii="Times New Roman" w:hAnsi="Times New Roman" w:cs="Times New Roman"/>
              </w:rPr>
              <w:t>,</w:t>
            </w:r>
            <w:r w:rsidRPr="004E6172">
              <w:rPr>
                <w:rFonts w:ascii="Times New Roman" w:hAnsi="Times New Roman" w:cs="Times New Roman"/>
              </w:rPr>
              <w:t>515</w:t>
            </w:r>
          </w:p>
        </w:tc>
        <w:tc>
          <w:tcPr>
            <w:tcW w:w="886"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601</w:t>
            </w:r>
          </w:p>
        </w:tc>
        <w:tc>
          <w:tcPr>
            <w:tcW w:w="8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9</w:t>
            </w:r>
            <w:r w:rsidR="008F543D">
              <w:rPr>
                <w:rFonts w:ascii="Times New Roman" w:hAnsi="Times New Roman" w:cs="Times New Roman"/>
              </w:rPr>
              <w:t>,</w:t>
            </w:r>
            <w:r w:rsidRPr="004E6172">
              <w:rPr>
                <w:rFonts w:ascii="Times New Roman" w:hAnsi="Times New Roman" w:cs="Times New Roman"/>
              </w:rPr>
              <w:t>515</w:t>
            </w:r>
          </w:p>
        </w:tc>
        <w:tc>
          <w:tcPr>
            <w:tcW w:w="104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78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113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105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7</w:t>
            </w:r>
            <w:r w:rsidR="008F543D">
              <w:rPr>
                <w:rFonts w:ascii="Times New Roman" w:hAnsi="Times New Roman" w:cs="Times New Roman"/>
              </w:rPr>
              <w:t>,</w:t>
            </w:r>
            <w:r w:rsidRPr="004E6172">
              <w:rPr>
                <w:rFonts w:ascii="Times New Roman" w:hAnsi="Times New Roman" w:cs="Times New Roman"/>
              </w:rPr>
              <w:t>731</w:t>
            </w:r>
          </w:p>
        </w:tc>
        <w:tc>
          <w:tcPr>
            <w:tcW w:w="128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774"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w:t>
            </w:r>
          </w:p>
        </w:tc>
        <w:tc>
          <w:tcPr>
            <w:tcW w:w="886"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5</w:t>
            </w:r>
          </w:p>
        </w:tc>
        <w:tc>
          <w:tcPr>
            <w:tcW w:w="78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73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9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95</w:t>
            </w:r>
            <w:r w:rsidR="008F543D">
              <w:rPr>
                <w:rFonts w:ascii="Times New Roman" w:hAnsi="Times New Roman" w:cs="Times New Roman"/>
              </w:rPr>
              <w:t>,</w:t>
            </w:r>
            <w:r w:rsidRPr="004E6172">
              <w:rPr>
                <w:rFonts w:ascii="Times New Roman" w:hAnsi="Times New Roman" w:cs="Times New Roman"/>
              </w:rPr>
              <w:t>368</w:t>
            </w:r>
          </w:p>
        </w:tc>
      </w:tr>
      <w:tr w:rsidR="00DC61C4" w:rsidRPr="004E6172" w:rsidTr="008368BF">
        <w:trPr>
          <w:trHeight w:val="300"/>
        </w:trPr>
        <w:tc>
          <w:tcPr>
            <w:tcW w:w="139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Ukraine</w:t>
            </w:r>
          </w:p>
        </w:tc>
        <w:tc>
          <w:tcPr>
            <w:tcW w:w="740"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2013</w:t>
            </w:r>
          </w:p>
        </w:tc>
        <w:tc>
          <w:tcPr>
            <w:tcW w:w="9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81</w:t>
            </w:r>
            <w:r w:rsidR="008F543D">
              <w:rPr>
                <w:rFonts w:ascii="Times New Roman" w:hAnsi="Times New Roman" w:cs="Times New Roman"/>
              </w:rPr>
              <w:t>,</w:t>
            </w:r>
            <w:r w:rsidRPr="004E6172">
              <w:rPr>
                <w:rFonts w:ascii="Times New Roman" w:hAnsi="Times New Roman" w:cs="Times New Roman"/>
              </w:rPr>
              <w:t>013</w:t>
            </w:r>
          </w:p>
        </w:tc>
        <w:tc>
          <w:tcPr>
            <w:tcW w:w="886"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390</w:t>
            </w:r>
          </w:p>
        </w:tc>
        <w:tc>
          <w:tcPr>
            <w:tcW w:w="8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13</w:t>
            </w:r>
            <w:r w:rsidR="008F543D">
              <w:rPr>
                <w:rFonts w:ascii="Times New Roman" w:hAnsi="Times New Roman" w:cs="Times New Roman"/>
              </w:rPr>
              <w:t>,</w:t>
            </w:r>
            <w:r w:rsidRPr="004E6172">
              <w:rPr>
                <w:rFonts w:ascii="Times New Roman" w:hAnsi="Times New Roman" w:cs="Times New Roman"/>
              </w:rPr>
              <w:t>983</w:t>
            </w:r>
          </w:p>
        </w:tc>
        <w:tc>
          <w:tcPr>
            <w:tcW w:w="104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101</w:t>
            </w:r>
          </w:p>
        </w:tc>
        <w:tc>
          <w:tcPr>
            <w:tcW w:w="78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113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83</w:t>
            </w:r>
            <w:r w:rsidR="008F543D">
              <w:rPr>
                <w:rFonts w:ascii="Times New Roman" w:hAnsi="Times New Roman" w:cs="Times New Roman"/>
              </w:rPr>
              <w:t>,</w:t>
            </w:r>
            <w:r w:rsidRPr="004E6172">
              <w:rPr>
                <w:rFonts w:ascii="Times New Roman" w:hAnsi="Times New Roman" w:cs="Times New Roman"/>
              </w:rPr>
              <w:t>209</w:t>
            </w:r>
          </w:p>
        </w:tc>
        <w:tc>
          <w:tcPr>
            <w:tcW w:w="105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14</w:t>
            </w:r>
            <w:r w:rsidR="008F543D">
              <w:rPr>
                <w:rFonts w:ascii="Times New Roman" w:hAnsi="Times New Roman" w:cs="Times New Roman"/>
              </w:rPr>
              <w:t>,</w:t>
            </w:r>
            <w:r w:rsidRPr="004E6172">
              <w:rPr>
                <w:rFonts w:ascii="Times New Roman" w:hAnsi="Times New Roman" w:cs="Times New Roman"/>
              </w:rPr>
              <w:t>472</w:t>
            </w:r>
          </w:p>
        </w:tc>
        <w:tc>
          <w:tcPr>
            <w:tcW w:w="128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774"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570</w:t>
            </w:r>
          </w:p>
        </w:tc>
        <w:tc>
          <w:tcPr>
            <w:tcW w:w="886"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639</w:t>
            </w:r>
          </w:p>
        </w:tc>
        <w:tc>
          <w:tcPr>
            <w:tcW w:w="78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73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9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194</w:t>
            </w:r>
            <w:r w:rsidR="008F543D">
              <w:rPr>
                <w:rFonts w:ascii="Times New Roman" w:hAnsi="Times New Roman" w:cs="Times New Roman"/>
              </w:rPr>
              <w:t>,</w:t>
            </w:r>
            <w:r w:rsidRPr="004E6172">
              <w:rPr>
                <w:rFonts w:ascii="Times New Roman" w:hAnsi="Times New Roman" w:cs="Times New Roman"/>
              </w:rPr>
              <w:t>377</w:t>
            </w:r>
          </w:p>
        </w:tc>
      </w:tr>
      <w:tr w:rsidR="00DC61C4" w:rsidRPr="004E6172" w:rsidTr="008368BF">
        <w:trPr>
          <w:trHeight w:val="300"/>
        </w:trPr>
        <w:tc>
          <w:tcPr>
            <w:tcW w:w="139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Japan</w:t>
            </w:r>
          </w:p>
        </w:tc>
        <w:tc>
          <w:tcPr>
            <w:tcW w:w="740"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2013</w:t>
            </w:r>
          </w:p>
        </w:tc>
        <w:tc>
          <w:tcPr>
            <w:tcW w:w="9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336</w:t>
            </w:r>
            <w:r w:rsidR="008F543D">
              <w:rPr>
                <w:rFonts w:ascii="Times New Roman" w:hAnsi="Times New Roman" w:cs="Times New Roman"/>
              </w:rPr>
              <w:t>,</w:t>
            </w:r>
            <w:r w:rsidRPr="004E6172">
              <w:rPr>
                <w:rFonts w:ascii="Times New Roman" w:hAnsi="Times New Roman" w:cs="Times New Roman"/>
              </w:rPr>
              <w:t>731</w:t>
            </w:r>
          </w:p>
        </w:tc>
        <w:tc>
          <w:tcPr>
            <w:tcW w:w="886"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149</w:t>
            </w:r>
            <w:r w:rsidR="008F543D">
              <w:rPr>
                <w:rFonts w:ascii="Times New Roman" w:hAnsi="Times New Roman" w:cs="Times New Roman"/>
              </w:rPr>
              <w:t>,</w:t>
            </w:r>
            <w:r w:rsidRPr="004E6172">
              <w:rPr>
                <w:rFonts w:ascii="Times New Roman" w:hAnsi="Times New Roman" w:cs="Times New Roman"/>
              </w:rPr>
              <w:t>902</w:t>
            </w:r>
          </w:p>
        </w:tc>
        <w:tc>
          <w:tcPr>
            <w:tcW w:w="8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401</w:t>
            </w:r>
            <w:r w:rsidR="008F543D">
              <w:rPr>
                <w:rFonts w:ascii="Times New Roman" w:hAnsi="Times New Roman" w:cs="Times New Roman"/>
              </w:rPr>
              <w:t>,</w:t>
            </w:r>
            <w:r w:rsidRPr="004E6172">
              <w:rPr>
                <w:rFonts w:ascii="Times New Roman" w:hAnsi="Times New Roman" w:cs="Times New Roman"/>
              </w:rPr>
              <w:t>708</w:t>
            </w:r>
          </w:p>
        </w:tc>
        <w:tc>
          <w:tcPr>
            <w:tcW w:w="104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32</w:t>
            </w:r>
            <w:r w:rsidR="008F543D">
              <w:rPr>
                <w:rFonts w:ascii="Times New Roman" w:hAnsi="Times New Roman" w:cs="Times New Roman"/>
              </w:rPr>
              <w:t>,</w:t>
            </w:r>
            <w:r w:rsidRPr="004E6172">
              <w:rPr>
                <w:rFonts w:ascii="Times New Roman" w:hAnsi="Times New Roman" w:cs="Times New Roman"/>
              </w:rPr>
              <w:t>107</w:t>
            </w:r>
          </w:p>
        </w:tc>
        <w:tc>
          <w:tcPr>
            <w:tcW w:w="78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8</w:t>
            </w:r>
            <w:r w:rsidR="008F543D">
              <w:rPr>
                <w:rFonts w:ascii="Times New Roman" w:hAnsi="Times New Roman" w:cs="Times New Roman"/>
              </w:rPr>
              <w:t>,</w:t>
            </w:r>
            <w:r w:rsidRPr="004E6172">
              <w:rPr>
                <w:rFonts w:ascii="Times New Roman" w:hAnsi="Times New Roman" w:cs="Times New Roman"/>
              </w:rPr>
              <w:t>579</w:t>
            </w:r>
          </w:p>
        </w:tc>
        <w:tc>
          <w:tcPr>
            <w:tcW w:w="113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9</w:t>
            </w:r>
            <w:r w:rsidR="008F543D">
              <w:rPr>
                <w:rFonts w:ascii="Times New Roman" w:hAnsi="Times New Roman" w:cs="Times New Roman"/>
              </w:rPr>
              <w:t>,</w:t>
            </w:r>
            <w:r w:rsidRPr="004E6172">
              <w:rPr>
                <w:rFonts w:ascii="Times New Roman" w:hAnsi="Times New Roman" w:cs="Times New Roman"/>
              </w:rPr>
              <w:t>303</w:t>
            </w:r>
          </w:p>
        </w:tc>
        <w:tc>
          <w:tcPr>
            <w:tcW w:w="105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84</w:t>
            </w:r>
            <w:r w:rsidR="008F543D">
              <w:rPr>
                <w:rFonts w:ascii="Times New Roman" w:hAnsi="Times New Roman" w:cs="Times New Roman"/>
              </w:rPr>
              <w:t>,</w:t>
            </w:r>
            <w:r w:rsidRPr="004E6172">
              <w:rPr>
                <w:rFonts w:ascii="Times New Roman" w:hAnsi="Times New Roman" w:cs="Times New Roman"/>
              </w:rPr>
              <w:t>886</w:t>
            </w:r>
          </w:p>
        </w:tc>
        <w:tc>
          <w:tcPr>
            <w:tcW w:w="128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w:t>
            </w:r>
            <w:r w:rsidR="008F543D">
              <w:rPr>
                <w:rFonts w:ascii="Times New Roman" w:hAnsi="Times New Roman" w:cs="Times New Roman"/>
              </w:rPr>
              <w:t>,</w:t>
            </w:r>
            <w:r w:rsidRPr="004E6172">
              <w:rPr>
                <w:rFonts w:ascii="Times New Roman" w:hAnsi="Times New Roman" w:cs="Times New Roman"/>
              </w:rPr>
              <w:t>596</w:t>
            </w:r>
          </w:p>
        </w:tc>
        <w:tc>
          <w:tcPr>
            <w:tcW w:w="774"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14</w:t>
            </w:r>
            <w:r w:rsidR="008F543D">
              <w:rPr>
                <w:rFonts w:ascii="Times New Roman" w:hAnsi="Times New Roman" w:cs="Times New Roman"/>
              </w:rPr>
              <w:t>,</w:t>
            </w:r>
            <w:r w:rsidRPr="004E6172">
              <w:rPr>
                <w:rFonts w:ascii="Times New Roman" w:hAnsi="Times New Roman" w:cs="Times New Roman"/>
              </w:rPr>
              <w:t>280</w:t>
            </w:r>
          </w:p>
        </w:tc>
        <w:tc>
          <w:tcPr>
            <w:tcW w:w="886"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5</w:t>
            </w:r>
            <w:r w:rsidR="008F543D">
              <w:rPr>
                <w:rFonts w:ascii="Times New Roman" w:hAnsi="Times New Roman" w:cs="Times New Roman"/>
              </w:rPr>
              <w:t>,</w:t>
            </w:r>
            <w:r w:rsidRPr="004E6172">
              <w:rPr>
                <w:rFonts w:ascii="Times New Roman" w:hAnsi="Times New Roman" w:cs="Times New Roman"/>
              </w:rPr>
              <w:t>201</w:t>
            </w:r>
          </w:p>
        </w:tc>
        <w:tc>
          <w:tcPr>
            <w:tcW w:w="78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73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9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w:t>
            </w:r>
            <w:r w:rsidR="008F543D">
              <w:rPr>
                <w:rFonts w:ascii="Times New Roman" w:hAnsi="Times New Roman" w:cs="Times New Roman"/>
              </w:rPr>
              <w:t>,</w:t>
            </w:r>
            <w:r w:rsidRPr="004E6172">
              <w:rPr>
                <w:rFonts w:ascii="Times New Roman" w:hAnsi="Times New Roman" w:cs="Times New Roman"/>
              </w:rPr>
              <w:t>045</w:t>
            </w:r>
            <w:r w:rsidR="008F543D">
              <w:rPr>
                <w:rFonts w:ascii="Times New Roman" w:hAnsi="Times New Roman" w:cs="Times New Roman"/>
              </w:rPr>
              <w:t>,</w:t>
            </w:r>
            <w:r w:rsidRPr="004E6172">
              <w:rPr>
                <w:rFonts w:ascii="Times New Roman" w:hAnsi="Times New Roman" w:cs="Times New Roman"/>
              </w:rPr>
              <w:t>293</w:t>
            </w:r>
          </w:p>
        </w:tc>
      </w:tr>
      <w:tr w:rsidR="00DC61C4" w:rsidRPr="004E6172" w:rsidTr="008368BF">
        <w:trPr>
          <w:trHeight w:val="300"/>
        </w:trPr>
        <w:tc>
          <w:tcPr>
            <w:tcW w:w="139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Russia</w:t>
            </w:r>
          </w:p>
        </w:tc>
        <w:tc>
          <w:tcPr>
            <w:tcW w:w="740"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2013</w:t>
            </w:r>
          </w:p>
        </w:tc>
        <w:tc>
          <w:tcPr>
            <w:tcW w:w="9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161</w:t>
            </w:r>
            <w:r w:rsidR="008F543D">
              <w:rPr>
                <w:rFonts w:ascii="Times New Roman" w:hAnsi="Times New Roman" w:cs="Times New Roman"/>
              </w:rPr>
              <w:t>,</w:t>
            </w:r>
            <w:r w:rsidRPr="004E6172">
              <w:rPr>
                <w:rFonts w:ascii="Times New Roman" w:hAnsi="Times New Roman" w:cs="Times New Roman"/>
              </w:rPr>
              <w:t>876</w:t>
            </w:r>
          </w:p>
        </w:tc>
        <w:tc>
          <w:tcPr>
            <w:tcW w:w="886"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8</w:t>
            </w:r>
            <w:r w:rsidR="008F543D">
              <w:rPr>
                <w:rFonts w:ascii="Times New Roman" w:hAnsi="Times New Roman" w:cs="Times New Roman"/>
              </w:rPr>
              <w:t>,</w:t>
            </w:r>
            <w:r w:rsidRPr="004E6172">
              <w:rPr>
                <w:rFonts w:ascii="Times New Roman" w:hAnsi="Times New Roman" w:cs="Times New Roman"/>
              </w:rPr>
              <w:t>706</w:t>
            </w:r>
          </w:p>
        </w:tc>
        <w:tc>
          <w:tcPr>
            <w:tcW w:w="8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529</w:t>
            </w:r>
            <w:r w:rsidR="008F543D">
              <w:rPr>
                <w:rFonts w:ascii="Times New Roman" w:hAnsi="Times New Roman" w:cs="Times New Roman"/>
              </w:rPr>
              <w:t>,</w:t>
            </w:r>
            <w:r w:rsidRPr="004E6172">
              <w:rPr>
                <w:rFonts w:ascii="Times New Roman" w:hAnsi="Times New Roman" w:cs="Times New Roman"/>
              </w:rPr>
              <w:t>974</w:t>
            </w:r>
          </w:p>
        </w:tc>
        <w:tc>
          <w:tcPr>
            <w:tcW w:w="104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37</w:t>
            </w:r>
          </w:p>
        </w:tc>
        <w:tc>
          <w:tcPr>
            <w:tcW w:w="78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w:t>
            </w:r>
            <w:r w:rsidR="008F543D">
              <w:rPr>
                <w:rFonts w:ascii="Times New Roman" w:hAnsi="Times New Roman" w:cs="Times New Roman"/>
              </w:rPr>
              <w:t>,</w:t>
            </w:r>
            <w:r w:rsidRPr="004E6172">
              <w:rPr>
                <w:rFonts w:ascii="Times New Roman" w:hAnsi="Times New Roman" w:cs="Times New Roman"/>
              </w:rPr>
              <w:t>888</w:t>
            </w:r>
          </w:p>
        </w:tc>
        <w:tc>
          <w:tcPr>
            <w:tcW w:w="113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172</w:t>
            </w:r>
            <w:r w:rsidR="008F543D">
              <w:rPr>
                <w:rFonts w:ascii="Times New Roman" w:hAnsi="Times New Roman" w:cs="Times New Roman"/>
              </w:rPr>
              <w:t>,</w:t>
            </w:r>
            <w:r w:rsidRPr="004E6172">
              <w:rPr>
                <w:rFonts w:ascii="Times New Roman" w:hAnsi="Times New Roman" w:cs="Times New Roman"/>
              </w:rPr>
              <w:t>508</w:t>
            </w:r>
          </w:p>
        </w:tc>
        <w:tc>
          <w:tcPr>
            <w:tcW w:w="105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182</w:t>
            </w:r>
            <w:r w:rsidR="008F543D">
              <w:rPr>
                <w:rFonts w:ascii="Times New Roman" w:hAnsi="Times New Roman" w:cs="Times New Roman"/>
              </w:rPr>
              <w:t>,</w:t>
            </w:r>
            <w:r w:rsidRPr="004E6172">
              <w:rPr>
                <w:rFonts w:ascii="Times New Roman" w:hAnsi="Times New Roman" w:cs="Times New Roman"/>
              </w:rPr>
              <w:t>654</w:t>
            </w:r>
          </w:p>
        </w:tc>
        <w:tc>
          <w:tcPr>
            <w:tcW w:w="128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444</w:t>
            </w:r>
          </w:p>
        </w:tc>
        <w:tc>
          <w:tcPr>
            <w:tcW w:w="774"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886"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5</w:t>
            </w:r>
          </w:p>
        </w:tc>
        <w:tc>
          <w:tcPr>
            <w:tcW w:w="78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73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9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w:t>
            </w:r>
            <w:r w:rsidR="008F543D">
              <w:rPr>
                <w:rFonts w:ascii="Times New Roman" w:hAnsi="Times New Roman" w:cs="Times New Roman"/>
              </w:rPr>
              <w:t>,</w:t>
            </w:r>
            <w:r w:rsidRPr="004E6172">
              <w:rPr>
                <w:rFonts w:ascii="Times New Roman" w:hAnsi="Times New Roman" w:cs="Times New Roman"/>
              </w:rPr>
              <w:t>059</w:t>
            </w:r>
            <w:r w:rsidR="008F543D">
              <w:rPr>
                <w:rFonts w:ascii="Times New Roman" w:hAnsi="Times New Roman" w:cs="Times New Roman"/>
              </w:rPr>
              <w:t>,</w:t>
            </w:r>
            <w:r w:rsidRPr="004E6172">
              <w:rPr>
                <w:rFonts w:ascii="Times New Roman" w:hAnsi="Times New Roman" w:cs="Times New Roman"/>
              </w:rPr>
              <w:t>092</w:t>
            </w:r>
          </w:p>
        </w:tc>
      </w:tr>
      <w:tr w:rsidR="00DC61C4" w:rsidRPr="004E6172" w:rsidTr="008368BF">
        <w:trPr>
          <w:trHeight w:val="300"/>
        </w:trPr>
        <w:tc>
          <w:tcPr>
            <w:tcW w:w="139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Norway</w:t>
            </w:r>
          </w:p>
        </w:tc>
        <w:tc>
          <w:tcPr>
            <w:tcW w:w="740"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2013</w:t>
            </w:r>
          </w:p>
        </w:tc>
        <w:tc>
          <w:tcPr>
            <w:tcW w:w="9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138</w:t>
            </w:r>
          </w:p>
        </w:tc>
        <w:tc>
          <w:tcPr>
            <w:tcW w:w="886"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31</w:t>
            </w:r>
          </w:p>
        </w:tc>
        <w:tc>
          <w:tcPr>
            <w:tcW w:w="8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w:t>
            </w:r>
            <w:r w:rsidR="008F543D">
              <w:rPr>
                <w:rFonts w:ascii="Times New Roman" w:hAnsi="Times New Roman" w:cs="Times New Roman"/>
              </w:rPr>
              <w:t>,</w:t>
            </w:r>
            <w:r w:rsidRPr="004E6172">
              <w:rPr>
                <w:rFonts w:ascii="Times New Roman" w:hAnsi="Times New Roman" w:cs="Times New Roman"/>
              </w:rPr>
              <w:t>452</w:t>
            </w:r>
          </w:p>
        </w:tc>
        <w:tc>
          <w:tcPr>
            <w:tcW w:w="104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211</w:t>
            </w:r>
          </w:p>
        </w:tc>
        <w:tc>
          <w:tcPr>
            <w:tcW w:w="78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342</w:t>
            </w:r>
          </w:p>
        </w:tc>
        <w:tc>
          <w:tcPr>
            <w:tcW w:w="113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105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129</w:t>
            </w:r>
            <w:r w:rsidR="008F543D">
              <w:rPr>
                <w:rFonts w:ascii="Times New Roman" w:hAnsi="Times New Roman" w:cs="Times New Roman"/>
              </w:rPr>
              <w:t>,</w:t>
            </w:r>
            <w:r w:rsidRPr="004E6172">
              <w:rPr>
                <w:rFonts w:ascii="Times New Roman" w:hAnsi="Times New Roman" w:cs="Times New Roman"/>
              </w:rPr>
              <w:t>022</w:t>
            </w:r>
          </w:p>
        </w:tc>
        <w:tc>
          <w:tcPr>
            <w:tcW w:w="128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774"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886"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w:t>
            </w:r>
            <w:r w:rsidR="008F543D">
              <w:rPr>
                <w:rFonts w:ascii="Times New Roman" w:hAnsi="Times New Roman" w:cs="Times New Roman"/>
              </w:rPr>
              <w:t>,</w:t>
            </w:r>
            <w:r w:rsidRPr="004E6172">
              <w:rPr>
                <w:rFonts w:ascii="Times New Roman" w:hAnsi="Times New Roman" w:cs="Times New Roman"/>
              </w:rPr>
              <w:t>894</w:t>
            </w:r>
          </w:p>
        </w:tc>
        <w:tc>
          <w:tcPr>
            <w:tcW w:w="781"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0</w:t>
            </w:r>
          </w:p>
        </w:tc>
        <w:tc>
          <w:tcPr>
            <w:tcW w:w="738"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150</w:t>
            </w:r>
          </w:p>
        </w:tc>
        <w:tc>
          <w:tcPr>
            <w:tcW w:w="997" w:type="dxa"/>
            <w:noWrap/>
            <w:hideMark/>
          </w:tcPr>
          <w:p w:rsidR="00DC61C4" w:rsidRPr="004E6172" w:rsidRDefault="00DC61C4" w:rsidP="008368BF">
            <w:pPr>
              <w:pStyle w:val="TableofTables"/>
              <w:jc w:val="center"/>
              <w:rPr>
                <w:rFonts w:ascii="Times New Roman" w:hAnsi="Times New Roman" w:cs="Times New Roman"/>
              </w:rPr>
            </w:pPr>
            <w:r w:rsidRPr="004E6172">
              <w:rPr>
                <w:rFonts w:ascii="Times New Roman" w:hAnsi="Times New Roman" w:cs="Times New Roman"/>
              </w:rPr>
              <w:t>134</w:t>
            </w:r>
            <w:r w:rsidR="008F543D">
              <w:rPr>
                <w:rFonts w:ascii="Times New Roman" w:hAnsi="Times New Roman" w:cs="Times New Roman"/>
              </w:rPr>
              <w:t>,</w:t>
            </w:r>
            <w:r w:rsidRPr="004E6172">
              <w:rPr>
                <w:rFonts w:ascii="Times New Roman" w:hAnsi="Times New Roman" w:cs="Times New Roman"/>
              </w:rPr>
              <w:t>240</w:t>
            </w:r>
          </w:p>
        </w:tc>
      </w:tr>
    </w:tbl>
    <w:p w:rsidR="00DC61C4" w:rsidRPr="00A1085C" w:rsidRDefault="00DC61C4" w:rsidP="000B7C8E">
      <w:pPr>
        <w:jc w:val="both"/>
        <w:rPr>
          <w:rFonts w:ascii="Times New Roman" w:eastAsia="Calibri" w:hAnsi="Times New Roman" w:cs="Times New Roman"/>
        </w:rPr>
      </w:pPr>
      <w:bookmarkStart w:id="82" w:name="_Ref473312605"/>
      <w:bookmarkStart w:id="83" w:name="_Toc474486527"/>
      <w:bookmarkStart w:id="84" w:name="_Toc495852697"/>
      <w:r w:rsidRPr="00A1085C">
        <w:rPr>
          <w:rFonts w:ascii="Times New Roman" w:hAnsi="Times New Roman" w:cs="Times New Roman"/>
        </w:rPr>
        <w:t xml:space="preserve">Table </w:t>
      </w:r>
      <w:r w:rsidR="009A0ED7" w:rsidRPr="00A1085C">
        <w:rPr>
          <w:rFonts w:ascii="Times New Roman" w:hAnsi="Times New Roman" w:cs="Times New Roman"/>
        </w:rPr>
        <w:fldChar w:fldCharType="begin"/>
      </w:r>
      <w:r w:rsidRPr="00A1085C">
        <w:rPr>
          <w:rFonts w:ascii="Times New Roman" w:hAnsi="Times New Roman" w:cs="Times New Roman"/>
        </w:rPr>
        <w:instrText xml:space="preserve"> SEQ Table \* ARABIC </w:instrText>
      </w:r>
      <w:r w:rsidR="009A0ED7" w:rsidRPr="00A1085C">
        <w:rPr>
          <w:rFonts w:ascii="Times New Roman" w:hAnsi="Times New Roman" w:cs="Times New Roman"/>
        </w:rPr>
        <w:fldChar w:fldCharType="separate"/>
      </w:r>
      <w:r w:rsidR="009F5483">
        <w:rPr>
          <w:rFonts w:ascii="Times New Roman" w:hAnsi="Times New Roman" w:cs="Times New Roman"/>
          <w:noProof/>
        </w:rPr>
        <w:t>19</w:t>
      </w:r>
      <w:r w:rsidR="009A0ED7" w:rsidRPr="00A1085C">
        <w:rPr>
          <w:rFonts w:ascii="Times New Roman" w:hAnsi="Times New Roman" w:cs="Times New Roman"/>
        </w:rPr>
        <w:fldChar w:fldCharType="end"/>
      </w:r>
      <w:bookmarkEnd w:id="82"/>
      <w:r w:rsidRPr="00A1085C">
        <w:rPr>
          <w:rFonts w:ascii="Times New Roman" w:hAnsi="Times New Roman" w:cs="Times New Roman"/>
        </w:rPr>
        <w:t xml:space="preserve">. </w:t>
      </w:r>
      <w:r w:rsidRPr="00A1085C">
        <w:rPr>
          <w:rFonts w:ascii="Times New Roman" w:eastAsia="Calibri" w:hAnsi="Times New Roman" w:cs="Times New Roman"/>
        </w:rPr>
        <w:t>Breakdown of electricity by energy source (%) for ferro-alloy making countries of interest.</w:t>
      </w:r>
      <w:bookmarkEnd w:id="83"/>
      <w:bookmarkEnd w:id="84"/>
      <w:r w:rsidRPr="00A1085C">
        <w:rPr>
          <w:rFonts w:ascii="Times New Roman" w:eastAsia="Calibri" w:hAnsi="Times New Roman" w:cs="Times New Roman"/>
        </w:rPr>
        <w:t xml:space="preserve"> </w:t>
      </w:r>
    </w:p>
    <w:tbl>
      <w:tblPr>
        <w:tblStyle w:val="TableGrid"/>
        <w:tblW w:w="14693" w:type="dxa"/>
        <w:tblLook w:val="04A0" w:firstRow="1" w:lastRow="0" w:firstColumn="1" w:lastColumn="0" w:noHBand="0" w:noVBand="1"/>
      </w:tblPr>
      <w:tblGrid>
        <w:gridCol w:w="1398"/>
        <w:gridCol w:w="740"/>
        <w:gridCol w:w="834"/>
        <w:gridCol w:w="851"/>
        <w:gridCol w:w="876"/>
        <w:gridCol w:w="962"/>
        <w:gridCol w:w="1138"/>
        <w:gridCol w:w="993"/>
        <w:gridCol w:w="992"/>
        <w:gridCol w:w="1255"/>
        <w:gridCol w:w="1155"/>
        <w:gridCol w:w="1134"/>
        <w:gridCol w:w="1134"/>
        <w:gridCol w:w="1231"/>
      </w:tblGrid>
      <w:tr w:rsidR="00BF57EB" w:rsidRPr="004E6172" w:rsidTr="00BF57EB">
        <w:trPr>
          <w:trHeight w:val="300"/>
        </w:trPr>
        <w:tc>
          <w:tcPr>
            <w:tcW w:w="1398" w:type="dxa"/>
            <w:noWrap/>
            <w:hideMark/>
          </w:tcPr>
          <w:p w:rsidR="00BF57EB" w:rsidRPr="004E6172" w:rsidRDefault="00BF57EB" w:rsidP="008368BF">
            <w:pPr>
              <w:jc w:val="center"/>
              <w:rPr>
                <w:rFonts w:ascii="Times New Roman" w:eastAsia="Times New Roman" w:hAnsi="Times New Roman" w:cs="Times New Roman"/>
                <w:color w:val="000000"/>
              </w:rPr>
            </w:pPr>
          </w:p>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Country</w:t>
            </w:r>
          </w:p>
        </w:tc>
        <w:tc>
          <w:tcPr>
            <w:tcW w:w="740" w:type="dxa"/>
            <w:noWrap/>
            <w:hideMark/>
          </w:tcPr>
          <w:p w:rsidR="00BF57EB" w:rsidRPr="004E6172" w:rsidRDefault="00BF57EB" w:rsidP="008368BF">
            <w:pPr>
              <w:jc w:val="center"/>
              <w:rPr>
                <w:rFonts w:ascii="Times New Roman" w:eastAsia="Times New Roman" w:hAnsi="Times New Roman" w:cs="Times New Roman"/>
                <w:color w:val="000000"/>
              </w:rPr>
            </w:pPr>
          </w:p>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Year</w:t>
            </w:r>
          </w:p>
        </w:tc>
        <w:tc>
          <w:tcPr>
            <w:tcW w:w="834" w:type="dxa"/>
            <w:noWrap/>
            <w:hideMark/>
          </w:tcPr>
          <w:p w:rsidR="00BF57EB" w:rsidRPr="004E6172" w:rsidRDefault="00BF57EB" w:rsidP="008368BF">
            <w:pPr>
              <w:jc w:val="center"/>
              <w:rPr>
                <w:rFonts w:ascii="Times New Roman" w:eastAsia="Times New Roman" w:hAnsi="Times New Roman" w:cs="Times New Roman"/>
                <w:color w:val="000000"/>
              </w:rPr>
            </w:pPr>
          </w:p>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Coal</w:t>
            </w:r>
          </w:p>
        </w:tc>
        <w:tc>
          <w:tcPr>
            <w:tcW w:w="851" w:type="dxa"/>
            <w:noWrap/>
            <w:hideMark/>
          </w:tcPr>
          <w:p w:rsidR="00BF57EB" w:rsidRPr="004E6172" w:rsidRDefault="00BF57EB" w:rsidP="008368BF">
            <w:pPr>
              <w:jc w:val="center"/>
              <w:rPr>
                <w:rFonts w:ascii="Times New Roman" w:eastAsia="Times New Roman" w:hAnsi="Times New Roman" w:cs="Times New Roman"/>
                <w:color w:val="000000"/>
              </w:rPr>
            </w:pPr>
          </w:p>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Oil</w:t>
            </w:r>
          </w:p>
        </w:tc>
        <w:tc>
          <w:tcPr>
            <w:tcW w:w="876"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Natural Gas</w:t>
            </w:r>
          </w:p>
        </w:tc>
        <w:tc>
          <w:tcPr>
            <w:tcW w:w="962" w:type="dxa"/>
            <w:noWrap/>
            <w:hideMark/>
          </w:tcPr>
          <w:p w:rsidR="00BF57EB" w:rsidRPr="004E6172" w:rsidRDefault="00BF57EB" w:rsidP="008368BF">
            <w:pPr>
              <w:jc w:val="center"/>
              <w:rPr>
                <w:rFonts w:ascii="Times New Roman" w:eastAsia="Times New Roman" w:hAnsi="Times New Roman" w:cs="Times New Roman"/>
                <w:color w:val="000000"/>
              </w:rPr>
            </w:pPr>
          </w:p>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Biofuels</w:t>
            </w:r>
          </w:p>
        </w:tc>
        <w:tc>
          <w:tcPr>
            <w:tcW w:w="1138" w:type="dxa"/>
            <w:noWrap/>
            <w:hideMark/>
          </w:tcPr>
          <w:p w:rsidR="00BF57EB" w:rsidRPr="004E6172" w:rsidRDefault="00BF57EB" w:rsidP="008368BF">
            <w:pPr>
              <w:jc w:val="center"/>
              <w:rPr>
                <w:rFonts w:ascii="Times New Roman" w:eastAsia="Times New Roman" w:hAnsi="Times New Roman" w:cs="Times New Roman"/>
                <w:color w:val="000000"/>
              </w:rPr>
            </w:pPr>
          </w:p>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Waste</w:t>
            </w:r>
          </w:p>
        </w:tc>
        <w:tc>
          <w:tcPr>
            <w:tcW w:w="993"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Nuclear Energy</w:t>
            </w:r>
          </w:p>
        </w:tc>
        <w:tc>
          <w:tcPr>
            <w:tcW w:w="99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Hydro Electric</w:t>
            </w:r>
          </w:p>
        </w:tc>
        <w:tc>
          <w:tcPr>
            <w:tcW w:w="1255" w:type="dxa"/>
            <w:noWrap/>
            <w:hideMark/>
          </w:tcPr>
          <w:p w:rsidR="00BF57EB" w:rsidRPr="004E6172" w:rsidRDefault="00BF57EB" w:rsidP="008368BF">
            <w:pPr>
              <w:jc w:val="center"/>
              <w:rPr>
                <w:rFonts w:ascii="Times New Roman" w:eastAsia="Times New Roman" w:hAnsi="Times New Roman" w:cs="Times New Roman"/>
                <w:color w:val="000000"/>
              </w:rPr>
            </w:pPr>
          </w:p>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Geothermal</w:t>
            </w:r>
          </w:p>
        </w:tc>
        <w:tc>
          <w:tcPr>
            <w:tcW w:w="1155" w:type="dxa"/>
            <w:noWrap/>
            <w:hideMark/>
          </w:tcPr>
          <w:p w:rsidR="00BF57EB" w:rsidRPr="004E6172" w:rsidRDefault="00BF57EB" w:rsidP="008368BF">
            <w:pPr>
              <w:jc w:val="center"/>
              <w:rPr>
                <w:rFonts w:ascii="Times New Roman" w:eastAsia="Times New Roman" w:hAnsi="Times New Roman" w:cs="Times New Roman"/>
                <w:color w:val="000000"/>
              </w:rPr>
            </w:pPr>
          </w:p>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Solar</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p>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Wind</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p>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Tide</w:t>
            </w:r>
          </w:p>
        </w:tc>
        <w:tc>
          <w:tcPr>
            <w:tcW w:w="1231" w:type="dxa"/>
            <w:noWrap/>
            <w:hideMark/>
          </w:tcPr>
          <w:p w:rsidR="00BF57EB" w:rsidRPr="004E6172" w:rsidRDefault="00BF57EB" w:rsidP="008368BF">
            <w:pPr>
              <w:jc w:val="center"/>
              <w:rPr>
                <w:rFonts w:ascii="Times New Roman" w:eastAsia="Times New Roman" w:hAnsi="Times New Roman" w:cs="Times New Roman"/>
                <w:color w:val="000000"/>
              </w:rPr>
            </w:pPr>
          </w:p>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Total</w:t>
            </w:r>
          </w:p>
        </w:tc>
      </w:tr>
      <w:tr w:rsidR="00BF57EB" w:rsidRPr="004E6172" w:rsidTr="00BF57EB">
        <w:trPr>
          <w:trHeight w:val="300"/>
        </w:trPr>
        <w:tc>
          <w:tcPr>
            <w:tcW w:w="1398"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China</w:t>
            </w:r>
          </w:p>
        </w:tc>
        <w:tc>
          <w:tcPr>
            <w:tcW w:w="740"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2013</w:t>
            </w:r>
          </w:p>
        </w:tc>
        <w:tc>
          <w:tcPr>
            <w:tcW w:w="8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75.47</w:t>
            </w:r>
          </w:p>
        </w:tc>
        <w:tc>
          <w:tcPr>
            <w:tcW w:w="851"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0.12</w:t>
            </w:r>
          </w:p>
        </w:tc>
        <w:tc>
          <w:tcPr>
            <w:tcW w:w="876"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1.66</w:t>
            </w:r>
          </w:p>
        </w:tc>
        <w:tc>
          <w:tcPr>
            <w:tcW w:w="96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0.70</w:t>
            </w:r>
          </w:p>
        </w:tc>
        <w:tc>
          <w:tcPr>
            <w:tcW w:w="1138"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0.23</w:t>
            </w:r>
          </w:p>
        </w:tc>
        <w:tc>
          <w:tcPr>
            <w:tcW w:w="993"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2.05</w:t>
            </w:r>
          </w:p>
        </w:tc>
        <w:tc>
          <w:tcPr>
            <w:tcW w:w="99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16.89</w:t>
            </w:r>
          </w:p>
        </w:tc>
        <w:tc>
          <w:tcPr>
            <w:tcW w:w="1255"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2.00E-03</w:t>
            </w:r>
          </w:p>
        </w:tc>
        <w:tc>
          <w:tcPr>
            <w:tcW w:w="1155"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0.28</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2.59</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1.47E-04</w:t>
            </w:r>
          </w:p>
        </w:tc>
        <w:tc>
          <w:tcPr>
            <w:tcW w:w="1231" w:type="dxa"/>
            <w:noWrap/>
            <w:hideMark/>
          </w:tcPr>
          <w:p w:rsidR="00BF57EB" w:rsidRPr="004E6172" w:rsidRDefault="00BF57EB" w:rsidP="008368BF">
            <w:pPr>
              <w:jc w:val="center"/>
              <w:rPr>
                <w:rFonts w:ascii="Times New Roman" w:eastAsia="Times New Roman" w:hAnsi="Times New Roman" w:cs="Times New Roman"/>
              </w:rPr>
            </w:pPr>
            <w:r w:rsidRPr="004E6172">
              <w:rPr>
                <w:rFonts w:ascii="Times New Roman" w:eastAsia="Times New Roman" w:hAnsi="Times New Roman" w:cs="Times New Roman"/>
              </w:rPr>
              <w:t>100.00</w:t>
            </w:r>
          </w:p>
        </w:tc>
      </w:tr>
      <w:tr w:rsidR="00BF57EB" w:rsidRPr="004E6172" w:rsidTr="00BF57EB">
        <w:trPr>
          <w:trHeight w:val="300"/>
        </w:trPr>
        <w:tc>
          <w:tcPr>
            <w:tcW w:w="1398"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India</w:t>
            </w:r>
          </w:p>
        </w:tc>
        <w:tc>
          <w:tcPr>
            <w:tcW w:w="740"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2013</w:t>
            </w:r>
          </w:p>
        </w:tc>
        <w:tc>
          <w:tcPr>
            <w:tcW w:w="8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72.83</w:t>
            </w:r>
          </w:p>
        </w:tc>
        <w:tc>
          <w:tcPr>
            <w:tcW w:w="851"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1.94</w:t>
            </w:r>
          </w:p>
        </w:tc>
        <w:tc>
          <w:tcPr>
            <w:tcW w:w="876"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5.45</w:t>
            </w:r>
          </w:p>
        </w:tc>
        <w:tc>
          <w:tcPr>
            <w:tcW w:w="96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1.83</w:t>
            </w:r>
          </w:p>
        </w:tc>
        <w:tc>
          <w:tcPr>
            <w:tcW w:w="1138"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0.02</w:t>
            </w:r>
          </w:p>
        </w:tc>
        <w:tc>
          <w:tcPr>
            <w:tcW w:w="993"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2.87</w:t>
            </w:r>
          </w:p>
        </w:tc>
        <w:tc>
          <w:tcPr>
            <w:tcW w:w="99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11.87</w:t>
            </w:r>
          </w:p>
        </w:tc>
        <w:tc>
          <w:tcPr>
            <w:tcW w:w="1255"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1155"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0.29</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2.81</w:t>
            </w:r>
          </w:p>
        </w:tc>
        <w:tc>
          <w:tcPr>
            <w:tcW w:w="1231" w:type="dxa"/>
            <w:noWrap/>
            <w:hideMark/>
          </w:tcPr>
          <w:p w:rsidR="00BF57EB" w:rsidRPr="004E6172" w:rsidRDefault="00BF57EB" w:rsidP="008368BF">
            <w:pPr>
              <w:jc w:val="center"/>
              <w:rPr>
                <w:rFonts w:ascii="Times New Roman" w:eastAsia="Times New Roman" w:hAnsi="Times New Roman" w:cs="Times New Roman"/>
              </w:rPr>
            </w:pPr>
            <w:r w:rsidRPr="004E6172">
              <w:rPr>
                <w:rFonts w:ascii="Times New Roman" w:eastAsia="Times New Roman" w:hAnsi="Times New Roman" w:cs="Times New Roman"/>
              </w:rPr>
              <w:t>99.91</w:t>
            </w:r>
          </w:p>
        </w:tc>
      </w:tr>
      <w:tr w:rsidR="00BF57EB" w:rsidRPr="004E6172" w:rsidTr="00BF57EB">
        <w:trPr>
          <w:trHeight w:val="300"/>
        </w:trPr>
        <w:tc>
          <w:tcPr>
            <w:tcW w:w="1398"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South Africa</w:t>
            </w:r>
          </w:p>
        </w:tc>
        <w:tc>
          <w:tcPr>
            <w:tcW w:w="740"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2013</w:t>
            </w:r>
          </w:p>
        </w:tc>
        <w:tc>
          <w:tcPr>
            <w:tcW w:w="8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92.61</w:t>
            </w:r>
          </w:p>
        </w:tc>
        <w:tc>
          <w:tcPr>
            <w:tcW w:w="851"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0.07</w:t>
            </w:r>
          </w:p>
        </w:tc>
        <w:tc>
          <w:tcPr>
            <w:tcW w:w="876"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96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0.12</w:t>
            </w:r>
          </w:p>
        </w:tc>
        <w:tc>
          <w:tcPr>
            <w:tcW w:w="1138"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993"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5.51</w:t>
            </w:r>
          </w:p>
        </w:tc>
        <w:tc>
          <w:tcPr>
            <w:tcW w:w="99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1.58</w:t>
            </w:r>
          </w:p>
        </w:tc>
        <w:tc>
          <w:tcPr>
            <w:tcW w:w="1255"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1155"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0.09</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1.44E-02</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1231" w:type="dxa"/>
            <w:noWrap/>
            <w:hideMark/>
          </w:tcPr>
          <w:p w:rsidR="00BF57EB" w:rsidRPr="004E6172" w:rsidRDefault="00BF57EB" w:rsidP="008368BF">
            <w:pPr>
              <w:jc w:val="center"/>
              <w:rPr>
                <w:rFonts w:ascii="Times New Roman" w:eastAsia="Times New Roman" w:hAnsi="Times New Roman" w:cs="Times New Roman"/>
              </w:rPr>
            </w:pPr>
            <w:r w:rsidRPr="004E6172">
              <w:rPr>
                <w:rFonts w:ascii="Times New Roman" w:eastAsia="Times New Roman" w:hAnsi="Times New Roman" w:cs="Times New Roman"/>
              </w:rPr>
              <w:t>100.00</w:t>
            </w:r>
          </w:p>
        </w:tc>
      </w:tr>
      <w:tr w:rsidR="00BF57EB" w:rsidRPr="004E6172" w:rsidTr="00BF57EB">
        <w:trPr>
          <w:trHeight w:val="300"/>
        </w:trPr>
        <w:tc>
          <w:tcPr>
            <w:tcW w:w="1398"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Kazakhstan</w:t>
            </w:r>
          </w:p>
        </w:tc>
        <w:tc>
          <w:tcPr>
            <w:tcW w:w="740"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2013</w:t>
            </w:r>
          </w:p>
        </w:tc>
        <w:tc>
          <w:tcPr>
            <w:tcW w:w="8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81.28</w:t>
            </w:r>
          </w:p>
        </w:tc>
        <w:tc>
          <w:tcPr>
            <w:tcW w:w="851"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0.63</w:t>
            </w:r>
          </w:p>
        </w:tc>
        <w:tc>
          <w:tcPr>
            <w:tcW w:w="876"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9.98</w:t>
            </w:r>
          </w:p>
        </w:tc>
        <w:tc>
          <w:tcPr>
            <w:tcW w:w="96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1138"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993"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99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8.11</w:t>
            </w:r>
          </w:p>
        </w:tc>
        <w:tc>
          <w:tcPr>
            <w:tcW w:w="1255"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1155"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1.05E-03</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5.24E-03</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1231" w:type="dxa"/>
            <w:noWrap/>
            <w:hideMark/>
          </w:tcPr>
          <w:p w:rsidR="00BF57EB" w:rsidRPr="004E6172" w:rsidRDefault="00BF57EB" w:rsidP="008368BF">
            <w:pPr>
              <w:jc w:val="center"/>
              <w:rPr>
                <w:rFonts w:ascii="Times New Roman" w:eastAsia="Times New Roman" w:hAnsi="Times New Roman" w:cs="Times New Roman"/>
              </w:rPr>
            </w:pPr>
            <w:r w:rsidRPr="004E6172">
              <w:rPr>
                <w:rFonts w:ascii="Times New Roman" w:eastAsia="Times New Roman" w:hAnsi="Times New Roman" w:cs="Times New Roman"/>
              </w:rPr>
              <w:t>100.00</w:t>
            </w:r>
          </w:p>
        </w:tc>
      </w:tr>
      <w:tr w:rsidR="00BF57EB" w:rsidRPr="004E6172" w:rsidTr="00BF57EB">
        <w:trPr>
          <w:trHeight w:val="300"/>
        </w:trPr>
        <w:tc>
          <w:tcPr>
            <w:tcW w:w="1398"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Ukraine</w:t>
            </w:r>
          </w:p>
        </w:tc>
        <w:tc>
          <w:tcPr>
            <w:tcW w:w="740"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2013</w:t>
            </w:r>
          </w:p>
        </w:tc>
        <w:tc>
          <w:tcPr>
            <w:tcW w:w="8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41.68</w:t>
            </w:r>
          </w:p>
        </w:tc>
        <w:tc>
          <w:tcPr>
            <w:tcW w:w="851"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0.20</w:t>
            </w:r>
          </w:p>
        </w:tc>
        <w:tc>
          <w:tcPr>
            <w:tcW w:w="876"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7.19</w:t>
            </w:r>
          </w:p>
        </w:tc>
        <w:tc>
          <w:tcPr>
            <w:tcW w:w="96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0.05</w:t>
            </w:r>
          </w:p>
        </w:tc>
        <w:tc>
          <w:tcPr>
            <w:tcW w:w="1138"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993"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42.81</w:t>
            </w:r>
          </w:p>
        </w:tc>
        <w:tc>
          <w:tcPr>
            <w:tcW w:w="99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7.45</w:t>
            </w:r>
          </w:p>
        </w:tc>
        <w:tc>
          <w:tcPr>
            <w:tcW w:w="1255"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1155"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0.29</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0.33</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1231" w:type="dxa"/>
            <w:noWrap/>
            <w:hideMark/>
          </w:tcPr>
          <w:p w:rsidR="00BF57EB" w:rsidRPr="004E6172" w:rsidRDefault="00BF57EB" w:rsidP="008368BF">
            <w:pPr>
              <w:jc w:val="center"/>
              <w:rPr>
                <w:rFonts w:ascii="Times New Roman" w:eastAsia="Times New Roman" w:hAnsi="Times New Roman" w:cs="Times New Roman"/>
              </w:rPr>
            </w:pPr>
            <w:r w:rsidRPr="004E6172">
              <w:rPr>
                <w:rFonts w:ascii="Times New Roman" w:eastAsia="Times New Roman" w:hAnsi="Times New Roman" w:cs="Times New Roman"/>
              </w:rPr>
              <w:t>100.00</w:t>
            </w:r>
          </w:p>
        </w:tc>
      </w:tr>
      <w:tr w:rsidR="00BF57EB" w:rsidRPr="004E6172" w:rsidTr="00BF57EB">
        <w:trPr>
          <w:trHeight w:val="300"/>
        </w:trPr>
        <w:tc>
          <w:tcPr>
            <w:tcW w:w="1398"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Japan</w:t>
            </w:r>
          </w:p>
        </w:tc>
        <w:tc>
          <w:tcPr>
            <w:tcW w:w="740"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2013</w:t>
            </w:r>
          </w:p>
        </w:tc>
        <w:tc>
          <w:tcPr>
            <w:tcW w:w="8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32.21</w:t>
            </w:r>
          </w:p>
        </w:tc>
        <w:tc>
          <w:tcPr>
            <w:tcW w:w="851"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14.34</w:t>
            </w:r>
          </w:p>
        </w:tc>
        <w:tc>
          <w:tcPr>
            <w:tcW w:w="876"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38.43</w:t>
            </w:r>
          </w:p>
        </w:tc>
        <w:tc>
          <w:tcPr>
            <w:tcW w:w="96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3.07</w:t>
            </w:r>
          </w:p>
        </w:tc>
        <w:tc>
          <w:tcPr>
            <w:tcW w:w="1138"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1.57E-01</w:t>
            </w:r>
          </w:p>
        </w:tc>
        <w:tc>
          <w:tcPr>
            <w:tcW w:w="993"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0.89</w:t>
            </w:r>
          </w:p>
        </w:tc>
        <w:tc>
          <w:tcPr>
            <w:tcW w:w="99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8.12</w:t>
            </w:r>
          </w:p>
        </w:tc>
        <w:tc>
          <w:tcPr>
            <w:tcW w:w="1255"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0.25</w:t>
            </w:r>
          </w:p>
        </w:tc>
        <w:tc>
          <w:tcPr>
            <w:tcW w:w="1155"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1.37</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0.50</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1231" w:type="dxa"/>
            <w:noWrap/>
            <w:hideMark/>
          </w:tcPr>
          <w:p w:rsidR="00BF57EB" w:rsidRPr="004E6172" w:rsidRDefault="00BF57EB" w:rsidP="008368BF">
            <w:pPr>
              <w:jc w:val="center"/>
              <w:rPr>
                <w:rFonts w:ascii="Times New Roman" w:eastAsia="Times New Roman" w:hAnsi="Times New Roman" w:cs="Times New Roman"/>
              </w:rPr>
            </w:pPr>
            <w:r w:rsidRPr="004E6172">
              <w:rPr>
                <w:rFonts w:ascii="Times New Roman" w:eastAsia="Times New Roman" w:hAnsi="Times New Roman" w:cs="Times New Roman"/>
              </w:rPr>
              <w:t>99.34</w:t>
            </w:r>
          </w:p>
        </w:tc>
      </w:tr>
      <w:tr w:rsidR="00BF57EB" w:rsidRPr="004E6172" w:rsidTr="00BF57EB">
        <w:trPr>
          <w:trHeight w:val="300"/>
        </w:trPr>
        <w:tc>
          <w:tcPr>
            <w:tcW w:w="1398"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Russia</w:t>
            </w:r>
          </w:p>
        </w:tc>
        <w:tc>
          <w:tcPr>
            <w:tcW w:w="740"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2013</w:t>
            </w:r>
          </w:p>
        </w:tc>
        <w:tc>
          <w:tcPr>
            <w:tcW w:w="8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15.28</w:t>
            </w:r>
          </w:p>
        </w:tc>
        <w:tc>
          <w:tcPr>
            <w:tcW w:w="851"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0.82</w:t>
            </w:r>
          </w:p>
        </w:tc>
        <w:tc>
          <w:tcPr>
            <w:tcW w:w="876"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50.04</w:t>
            </w:r>
          </w:p>
        </w:tc>
        <w:tc>
          <w:tcPr>
            <w:tcW w:w="96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1138"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5.30E-02</w:t>
            </w:r>
          </w:p>
        </w:tc>
        <w:tc>
          <w:tcPr>
            <w:tcW w:w="993"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16.29</w:t>
            </w:r>
          </w:p>
        </w:tc>
        <w:tc>
          <w:tcPr>
            <w:tcW w:w="99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17.25</w:t>
            </w:r>
          </w:p>
        </w:tc>
        <w:tc>
          <w:tcPr>
            <w:tcW w:w="1255"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0.04</w:t>
            </w:r>
          </w:p>
        </w:tc>
        <w:tc>
          <w:tcPr>
            <w:tcW w:w="1155"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4.72E-04</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1231" w:type="dxa"/>
            <w:noWrap/>
            <w:hideMark/>
          </w:tcPr>
          <w:p w:rsidR="00BF57EB" w:rsidRPr="004E6172" w:rsidRDefault="00BF57EB" w:rsidP="008368BF">
            <w:pPr>
              <w:jc w:val="center"/>
              <w:rPr>
                <w:rFonts w:ascii="Times New Roman" w:eastAsia="Times New Roman" w:hAnsi="Times New Roman" w:cs="Times New Roman"/>
              </w:rPr>
            </w:pPr>
            <w:r w:rsidRPr="004E6172">
              <w:rPr>
                <w:rFonts w:ascii="Times New Roman" w:eastAsia="Times New Roman" w:hAnsi="Times New Roman" w:cs="Times New Roman"/>
              </w:rPr>
              <w:t>99.78</w:t>
            </w:r>
          </w:p>
        </w:tc>
      </w:tr>
      <w:tr w:rsidR="00BF57EB" w:rsidRPr="004E6172" w:rsidTr="00BF57EB">
        <w:trPr>
          <w:trHeight w:val="300"/>
        </w:trPr>
        <w:tc>
          <w:tcPr>
            <w:tcW w:w="1398"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Norway</w:t>
            </w:r>
          </w:p>
        </w:tc>
        <w:tc>
          <w:tcPr>
            <w:tcW w:w="740"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2013</w:t>
            </w:r>
          </w:p>
        </w:tc>
        <w:tc>
          <w:tcPr>
            <w:tcW w:w="8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0.10</w:t>
            </w:r>
          </w:p>
        </w:tc>
        <w:tc>
          <w:tcPr>
            <w:tcW w:w="851"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0.02</w:t>
            </w:r>
          </w:p>
        </w:tc>
        <w:tc>
          <w:tcPr>
            <w:tcW w:w="876"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1.83</w:t>
            </w:r>
          </w:p>
        </w:tc>
        <w:tc>
          <w:tcPr>
            <w:tcW w:w="96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0.16</w:t>
            </w:r>
          </w:p>
        </w:tc>
        <w:tc>
          <w:tcPr>
            <w:tcW w:w="1138"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6.28E-03</w:t>
            </w:r>
          </w:p>
        </w:tc>
        <w:tc>
          <w:tcPr>
            <w:tcW w:w="993"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992"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96.11</w:t>
            </w:r>
          </w:p>
        </w:tc>
        <w:tc>
          <w:tcPr>
            <w:tcW w:w="1255"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1155"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1.41</w:t>
            </w:r>
          </w:p>
        </w:tc>
        <w:tc>
          <w:tcPr>
            <w:tcW w:w="1134" w:type="dxa"/>
            <w:noWrap/>
            <w:hideMark/>
          </w:tcPr>
          <w:p w:rsidR="00BF57EB" w:rsidRPr="004E6172" w:rsidRDefault="00BF57EB" w:rsidP="008368BF">
            <w:pPr>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0.00</w:t>
            </w:r>
          </w:p>
        </w:tc>
        <w:tc>
          <w:tcPr>
            <w:tcW w:w="1231" w:type="dxa"/>
            <w:noWrap/>
            <w:hideMark/>
          </w:tcPr>
          <w:p w:rsidR="00BF57EB" w:rsidRPr="004E6172" w:rsidRDefault="00BF57EB" w:rsidP="008368BF">
            <w:pPr>
              <w:jc w:val="center"/>
              <w:rPr>
                <w:rFonts w:ascii="Times New Roman" w:eastAsia="Times New Roman" w:hAnsi="Times New Roman" w:cs="Times New Roman"/>
              </w:rPr>
            </w:pPr>
            <w:r w:rsidRPr="004E6172">
              <w:rPr>
                <w:rFonts w:ascii="Times New Roman" w:eastAsia="Times New Roman" w:hAnsi="Times New Roman" w:cs="Times New Roman"/>
              </w:rPr>
              <w:t>99.75</w:t>
            </w:r>
          </w:p>
        </w:tc>
      </w:tr>
    </w:tbl>
    <w:p w:rsidR="00DC61C4" w:rsidRPr="00A1085C" w:rsidRDefault="00DC61C4" w:rsidP="00DC61C4">
      <w:pPr>
        <w:spacing w:after="0" w:line="360" w:lineRule="auto"/>
        <w:rPr>
          <w:rFonts w:ascii="Times New Roman" w:eastAsia="Calibri" w:hAnsi="Times New Roman" w:cs="Times New Roman"/>
        </w:rPr>
      </w:pPr>
    </w:p>
    <w:p w:rsidR="00DC61C4" w:rsidRPr="00A1085C" w:rsidRDefault="00DC61C4" w:rsidP="000B7C8E">
      <w:pPr>
        <w:jc w:val="both"/>
        <w:rPr>
          <w:rFonts w:ascii="Times New Roman" w:eastAsia="Calibri" w:hAnsi="Times New Roman" w:cs="Times New Roman"/>
        </w:rPr>
      </w:pPr>
      <w:bookmarkStart w:id="85" w:name="_Ref473366452"/>
      <w:bookmarkStart w:id="86" w:name="_Toc474486528"/>
      <w:bookmarkStart w:id="87" w:name="_Toc495852698"/>
      <w:r w:rsidRPr="00A1085C">
        <w:rPr>
          <w:rFonts w:ascii="Times New Roman" w:hAnsi="Times New Roman" w:cs="Times New Roman"/>
        </w:rPr>
        <w:t xml:space="preserve">Table </w:t>
      </w:r>
      <w:r w:rsidR="009A0ED7" w:rsidRPr="00A1085C">
        <w:rPr>
          <w:rFonts w:ascii="Times New Roman" w:hAnsi="Times New Roman" w:cs="Times New Roman"/>
        </w:rPr>
        <w:fldChar w:fldCharType="begin"/>
      </w:r>
      <w:r w:rsidRPr="00A1085C">
        <w:rPr>
          <w:rFonts w:ascii="Times New Roman" w:hAnsi="Times New Roman" w:cs="Times New Roman"/>
        </w:rPr>
        <w:instrText xml:space="preserve"> SEQ Table \* ARABIC </w:instrText>
      </w:r>
      <w:r w:rsidR="009A0ED7" w:rsidRPr="00A1085C">
        <w:rPr>
          <w:rFonts w:ascii="Times New Roman" w:hAnsi="Times New Roman" w:cs="Times New Roman"/>
        </w:rPr>
        <w:fldChar w:fldCharType="separate"/>
      </w:r>
      <w:r w:rsidR="009F5483">
        <w:rPr>
          <w:rFonts w:ascii="Times New Roman" w:hAnsi="Times New Roman" w:cs="Times New Roman"/>
          <w:noProof/>
        </w:rPr>
        <w:t>20</w:t>
      </w:r>
      <w:r w:rsidR="009A0ED7" w:rsidRPr="00A1085C">
        <w:rPr>
          <w:rFonts w:ascii="Times New Roman" w:hAnsi="Times New Roman" w:cs="Times New Roman"/>
        </w:rPr>
        <w:fldChar w:fldCharType="end"/>
      </w:r>
      <w:bookmarkEnd w:id="85"/>
      <w:r w:rsidRPr="00A1085C">
        <w:rPr>
          <w:rFonts w:ascii="Times New Roman" w:hAnsi="Times New Roman" w:cs="Times New Roman"/>
        </w:rPr>
        <w:t xml:space="preserve">. </w:t>
      </w:r>
      <w:r w:rsidRPr="00A1085C">
        <w:rPr>
          <w:rFonts w:ascii="Times New Roman" w:eastAsia="Calibri" w:hAnsi="Times New Roman" w:cs="Times New Roman"/>
        </w:rPr>
        <w:t xml:space="preserve">Breakdown of electricity by energy source (%) for </w:t>
      </w:r>
      <w:r w:rsidR="000B7C8E" w:rsidRPr="00A1085C">
        <w:rPr>
          <w:rFonts w:ascii="Times New Roman" w:eastAsia="Calibri" w:hAnsi="Times New Roman" w:cs="Times New Roman"/>
        </w:rPr>
        <w:t>New Caledonia for the year 2012 [N/A</w:t>
      </w:r>
      <w:r w:rsidRPr="00A1085C">
        <w:rPr>
          <w:rFonts w:ascii="Times New Roman" w:eastAsia="Calibri" w:hAnsi="Times New Roman" w:cs="Times New Roman"/>
        </w:rPr>
        <w:t xml:space="preserve"> = not available]</w:t>
      </w:r>
      <w:r w:rsidR="000B7C8E" w:rsidRPr="00A1085C">
        <w:rPr>
          <w:rFonts w:ascii="Times New Roman" w:eastAsia="Calibri" w:hAnsi="Times New Roman" w:cs="Times New Roman"/>
        </w:rPr>
        <w:t>.</w:t>
      </w:r>
      <w:bookmarkEnd w:id="86"/>
      <w:bookmarkEnd w:id="87"/>
    </w:p>
    <w:tbl>
      <w:tblPr>
        <w:tblW w:w="11239" w:type="dxa"/>
        <w:tblLook w:val="04A0" w:firstRow="1" w:lastRow="0" w:firstColumn="1" w:lastColumn="0" w:noHBand="0" w:noVBand="1"/>
      </w:tblPr>
      <w:tblGrid>
        <w:gridCol w:w="1696"/>
        <w:gridCol w:w="718"/>
        <w:gridCol w:w="1301"/>
        <w:gridCol w:w="719"/>
        <w:gridCol w:w="1691"/>
        <w:gridCol w:w="1559"/>
        <w:gridCol w:w="1295"/>
        <w:gridCol w:w="973"/>
        <w:gridCol w:w="1287"/>
      </w:tblGrid>
      <w:tr w:rsidR="00DC61C4" w:rsidRPr="004E6172" w:rsidTr="008368BF">
        <w:trPr>
          <w:trHeight w:val="300"/>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1C4" w:rsidRPr="004E6172" w:rsidRDefault="00DC61C4" w:rsidP="008368BF">
            <w:pPr>
              <w:spacing w:after="0" w:line="240" w:lineRule="auto"/>
              <w:rPr>
                <w:rFonts w:ascii="Times New Roman" w:eastAsia="Times New Roman" w:hAnsi="Times New Roman" w:cs="Times New Roman"/>
                <w:color w:val="000000"/>
              </w:rPr>
            </w:pPr>
            <w:r w:rsidRPr="004E6172">
              <w:rPr>
                <w:rFonts w:ascii="Times New Roman" w:eastAsia="Times New Roman" w:hAnsi="Times New Roman" w:cs="Times New Roman"/>
                <w:color w:val="000000"/>
              </w:rPr>
              <w:t> </w:t>
            </w:r>
          </w:p>
        </w:tc>
        <w:tc>
          <w:tcPr>
            <w:tcW w:w="718" w:type="dxa"/>
            <w:tcBorders>
              <w:top w:val="single" w:sz="4" w:space="0" w:color="auto"/>
              <w:left w:val="nil"/>
              <w:bottom w:val="single" w:sz="4" w:space="0" w:color="auto"/>
              <w:right w:val="single" w:sz="4" w:space="0" w:color="auto"/>
            </w:tcBorders>
            <w:shd w:val="clear" w:color="auto" w:fill="auto"/>
            <w:noWrap/>
            <w:vAlign w:val="bottom"/>
            <w:hideMark/>
          </w:tcPr>
          <w:p w:rsidR="00DC61C4" w:rsidRPr="004E6172" w:rsidRDefault="00DC61C4" w:rsidP="008368B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Oil</w:t>
            </w:r>
          </w:p>
        </w:tc>
        <w:tc>
          <w:tcPr>
            <w:tcW w:w="1301" w:type="dxa"/>
            <w:tcBorders>
              <w:top w:val="single" w:sz="4" w:space="0" w:color="auto"/>
              <w:left w:val="nil"/>
              <w:bottom w:val="single" w:sz="4" w:space="0" w:color="auto"/>
              <w:right w:val="single" w:sz="4" w:space="0" w:color="auto"/>
            </w:tcBorders>
            <w:shd w:val="clear" w:color="auto" w:fill="auto"/>
            <w:noWrap/>
            <w:vAlign w:val="bottom"/>
            <w:hideMark/>
          </w:tcPr>
          <w:p w:rsidR="00DC61C4" w:rsidRPr="004E6172" w:rsidRDefault="00DC61C4" w:rsidP="008368B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Natural Gas</w:t>
            </w:r>
          </w:p>
        </w:tc>
        <w:tc>
          <w:tcPr>
            <w:tcW w:w="719" w:type="dxa"/>
            <w:tcBorders>
              <w:top w:val="single" w:sz="4" w:space="0" w:color="auto"/>
              <w:left w:val="nil"/>
              <w:bottom w:val="single" w:sz="4" w:space="0" w:color="auto"/>
              <w:right w:val="single" w:sz="4" w:space="0" w:color="auto"/>
            </w:tcBorders>
            <w:shd w:val="clear" w:color="auto" w:fill="auto"/>
            <w:noWrap/>
            <w:vAlign w:val="bottom"/>
            <w:hideMark/>
          </w:tcPr>
          <w:p w:rsidR="00DC61C4" w:rsidRPr="004E6172" w:rsidRDefault="00DC61C4" w:rsidP="008368B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Coal</w:t>
            </w:r>
          </w:p>
        </w:tc>
        <w:tc>
          <w:tcPr>
            <w:tcW w:w="1691" w:type="dxa"/>
            <w:tcBorders>
              <w:top w:val="single" w:sz="4" w:space="0" w:color="auto"/>
              <w:left w:val="nil"/>
              <w:bottom w:val="single" w:sz="4" w:space="0" w:color="auto"/>
              <w:right w:val="single" w:sz="4" w:space="0" w:color="auto"/>
            </w:tcBorders>
            <w:shd w:val="clear" w:color="auto" w:fill="auto"/>
            <w:noWrap/>
            <w:vAlign w:val="bottom"/>
            <w:hideMark/>
          </w:tcPr>
          <w:p w:rsidR="00DC61C4" w:rsidRPr="004E6172" w:rsidRDefault="00DC61C4" w:rsidP="008368B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Nuclear Energy</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DC61C4" w:rsidRPr="004E6172" w:rsidRDefault="00DC61C4" w:rsidP="008368B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Hydro Electric</w:t>
            </w:r>
          </w:p>
        </w:tc>
        <w:tc>
          <w:tcPr>
            <w:tcW w:w="1295" w:type="dxa"/>
            <w:tcBorders>
              <w:top w:val="single" w:sz="4" w:space="0" w:color="auto"/>
              <w:left w:val="nil"/>
              <w:bottom w:val="single" w:sz="4" w:space="0" w:color="auto"/>
              <w:right w:val="single" w:sz="4" w:space="0" w:color="auto"/>
            </w:tcBorders>
            <w:shd w:val="clear" w:color="auto" w:fill="auto"/>
            <w:noWrap/>
            <w:vAlign w:val="bottom"/>
            <w:hideMark/>
          </w:tcPr>
          <w:p w:rsidR="00DC61C4" w:rsidRPr="004E6172" w:rsidRDefault="00DC61C4" w:rsidP="008368B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Renewables</w:t>
            </w:r>
          </w:p>
        </w:tc>
        <w:tc>
          <w:tcPr>
            <w:tcW w:w="973" w:type="dxa"/>
            <w:tcBorders>
              <w:top w:val="single" w:sz="4" w:space="0" w:color="auto"/>
              <w:left w:val="nil"/>
              <w:bottom w:val="single" w:sz="4" w:space="0" w:color="auto"/>
              <w:right w:val="single" w:sz="4" w:space="0" w:color="auto"/>
            </w:tcBorders>
            <w:shd w:val="clear" w:color="auto" w:fill="auto"/>
            <w:noWrap/>
            <w:vAlign w:val="bottom"/>
            <w:hideMark/>
          </w:tcPr>
          <w:p w:rsidR="00DC61C4" w:rsidRPr="004E6172" w:rsidRDefault="00DC61C4" w:rsidP="008368B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Other</w:t>
            </w:r>
          </w:p>
        </w:tc>
        <w:tc>
          <w:tcPr>
            <w:tcW w:w="1287" w:type="dxa"/>
            <w:tcBorders>
              <w:top w:val="single" w:sz="4" w:space="0" w:color="auto"/>
              <w:left w:val="nil"/>
              <w:bottom w:val="single" w:sz="4" w:space="0" w:color="auto"/>
              <w:right w:val="single" w:sz="4" w:space="0" w:color="auto"/>
            </w:tcBorders>
            <w:shd w:val="clear" w:color="auto" w:fill="auto"/>
            <w:noWrap/>
            <w:vAlign w:val="bottom"/>
            <w:hideMark/>
          </w:tcPr>
          <w:p w:rsidR="00DC61C4" w:rsidRPr="004E6172" w:rsidRDefault="00DC61C4" w:rsidP="008368B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Total</w:t>
            </w:r>
          </w:p>
        </w:tc>
      </w:tr>
      <w:tr w:rsidR="00DC61C4" w:rsidRPr="004E6172" w:rsidTr="008368BF">
        <w:trPr>
          <w:trHeight w:val="300"/>
        </w:trPr>
        <w:tc>
          <w:tcPr>
            <w:tcW w:w="1696" w:type="dxa"/>
            <w:tcBorders>
              <w:top w:val="nil"/>
              <w:left w:val="single" w:sz="4" w:space="0" w:color="auto"/>
              <w:bottom w:val="single" w:sz="4" w:space="0" w:color="auto"/>
              <w:right w:val="single" w:sz="4" w:space="0" w:color="auto"/>
            </w:tcBorders>
            <w:shd w:val="clear" w:color="000000" w:fill="FFFFFF"/>
            <w:noWrap/>
            <w:vAlign w:val="bottom"/>
            <w:hideMark/>
          </w:tcPr>
          <w:p w:rsidR="00DC61C4" w:rsidRPr="004E6172" w:rsidRDefault="00DC61C4" w:rsidP="008368BF">
            <w:pPr>
              <w:spacing w:after="0" w:line="240" w:lineRule="auto"/>
              <w:jc w:val="center"/>
              <w:rPr>
                <w:rFonts w:ascii="Times New Roman" w:eastAsia="Times New Roman" w:hAnsi="Times New Roman" w:cs="Times New Roman"/>
              </w:rPr>
            </w:pPr>
            <w:r w:rsidRPr="004E6172">
              <w:rPr>
                <w:rFonts w:ascii="Times New Roman" w:eastAsia="Times New Roman" w:hAnsi="Times New Roman" w:cs="Times New Roman"/>
              </w:rPr>
              <w:t>New Caledonia</w:t>
            </w:r>
          </w:p>
        </w:tc>
        <w:tc>
          <w:tcPr>
            <w:tcW w:w="718" w:type="dxa"/>
            <w:tcBorders>
              <w:top w:val="nil"/>
              <w:left w:val="nil"/>
              <w:bottom w:val="single" w:sz="4" w:space="0" w:color="auto"/>
              <w:right w:val="single" w:sz="4" w:space="0" w:color="auto"/>
            </w:tcBorders>
            <w:shd w:val="clear" w:color="auto" w:fill="auto"/>
            <w:noWrap/>
            <w:vAlign w:val="bottom"/>
            <w:hideMark/>
          </w:tcPr>
          <w:p w:rsidR="00DC61C4" w:rsidRPr="004E6172" w:rsidRDefault="00DC61C4" w:rsidP="008368B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54.30</w:t>
            </w:r>
          </w:p>
        </w:tc>
        <w:tc>
          <w:tcPr>
            <w:tcW w:w="1301" w:type="dxa"/>
            <w:tcBorders>
              <w:top w:val="nil"/>
              <w:left w:val="nil"/>
              <w:bottom w:val="single" w:sz="4" w:space="0" w:color="auto"/>
              <w:right w:val="single" w:sz="4" w:space="0" w:color="auto"/>
            </w:tcBorders>
            <w:shd w:val="clear" w:color="auto" w:fill="auto"/>
            <w:noWrap/>
            <w:vAlign w:val="bottom"/>
            <w:hideMark/>
          </w:tcPr>
          <w:p w:rsidR="00DC61C4" w:rsidRPr="004E6172" w:rsidRDefault="000B7C8E" w:rsidP="008368B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N/A</w:t>
            </w:r>
          </w:p>
        </w:tc>
        <w:tc>
          <w:tcPr>
            <w:tcW w:w="719" w:type="dxa"/>
            <w:tcBorders>
              <w:top w:val="nil"/>
              <w:left w:val="nil"/>
              <w:bottom w:val="single" w:sz="4" w:space="0" w:color="auto"/>
              <w:right w:val="single" w:sz="4" w:space="0" w:color="auto"/>
            </w:tcBorders>
            <w:shd w:val="clear" w:color="auto" w:fill="auto"/>
            <w:noWrap/>
            <w:vAlign w:val="bottom"/>
            <w:hideMark/>
          </w:tcPr>
          <w:p w:rsidR="00DC61C4" w:rsidRPr="004E6172" w:rsidRDefault="00DC61C4" w:rsidP="008368B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24.10</w:t>
            </w:r>
          </w:p>
        </w:tc>
        <w:tc>
          <w:tcPr>
            <w:tcW w:w="1691" w:type="dxa"/>
            <w:tcBorders>
              <w:top w:val="nil"/>
              <w:left w:val="nil"/>
              <w:bottom w:val="single" w:sz="4" w:space="0" w:color="auto"/>
              <w:right w:val="single" w:sz="4" w:space="0" w:color="auto"/>
            </w:tcBorders>
            <w:shd w:val="clear" w:color="auto" w:fill="auto"/>
            <w:noWrap/>
            <w:vAlign w:val="bottom"/>
            <w:hideMark/>
          </w:tcPr>
          <w:p w:rsidR="00DC61C4" w:rsidRPr="004E6172" w:rsidRDefault="000B7C8E" w:rsidP="000B7C8E">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N/A</w:t>
            </w:r>
          </w:p>
        </w:tc>
        <w:tc>
          <w:tcPr>
            <w:tcW w:w="1559" w:type="dxa"/>
            <w:tcBorders>
              <w:top w:val="nil"/>
              <w:left w:val="nil"/>
              <w:bottom w:val="single" w:sz="4" w:space="0" w:color="auto"/>
              <w:right w:val="single" w:sz="4" w:space="0" w:color="auto"/>
            </w:tcBorders>
            <w:shd w:val="clear" w:color="auto" w:fill="auto"/>
            <w:noWrap/>
            <w:vAlign w:val="bottom"/>
            <w:hideMark/>
          </w:tcPr>
          <w:p w:rsidR="00DC61C4" w:rsidRPr="004E6172" w:rsidRDefault="00DC61C4" w:rsidP="008368B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17.40</w:t>
            </w:r>
          </w:p>
        </w:tc>
        <w:tc>
          <w:tcPr>
            <w:tcW w:w="1295" w:type="dxa"/>
            <w:tcBorders>
              <w:top w:val="nil"/>
              <w:left w:val="nil"/>
              <w:bottom w:val="single" w:sz="4" w:space="0" w:color="auto"/>
              <w:right w:val="single" w:sz="4" w:space="0" w:color="auto"/>
            </w:tcBorders>
            <w:shd w:val="clear" w:color="auto" w:fill="auto"/>
            <w:noWrap/>
            <w:vAlign w:val="bottom"/>
            <w:hideMark/>
          </w:tcPr>
          <w:p w:rsidR="00DC61C4" w:rsidRPr="004E6172" w:rsidRDefault="00DC61C4" w:rsidP="008368B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2.70</w:t>
            </w:r>
          </w:p>
        </w:tc>
        <w:tc>
          <w:tcPr>
            <w:tcW w:w="973" w:type="dxa"/>
            <w:tcBorders>
              <w:top w:val="nil"/>
              <w:left w:val="nil"/>
              <w:bottom w:val="single" w:sz="4" w:space="0" w:color="auto"/>
              <w:right w:val="single" w:sz="4" w:space="0" w:color="auto"/>
            </w:tcBorders>
            <w:shd w:val="clear" w:color="auto" w:fill="auto"/>
            <w:noWrap/>
            <w:vAlign w:val="bottom"/>
            <w:hideMark/>
          </w:tcPr>
          <w:p w:rsidR="00DC61C4" w:rsidRPr="004E6172" w:rsidRDefault="00DC61C4" w:rsidP="008368B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1.50</w:t>
            </w:r>
          </w:p>
        </w:tc>
        <w:tc>
          <w:tcPr>
            <w:tcW w:w="1287" w:type="dxa"/>
            <w:tcBorders>
              <w:top w:val="nil"/>
              <w:left w:val="nil"/>
              <w:bottom w:val="single" w:sz="4" w:space="0" w:color="auto"/>
              <w:right w:val="single" w:sz="4" w:space="0" w:color="auto"/>
            </w:tcBorders>
            <w:shd w:val="clear" w:color="auto" w:fill="auto"/>
            <w:noWrap/>
            <w:vAlign w:val="bottom"/>
            <w:hideMark/>
          </w:tcPr>
          <w:p w:rsidR="00DC61C4" w:rsidRPr="004E6172" w:rsidRDefault="00DC61C4" w:rsidP="008368BF">
            <w:pPr>
              <w:spacing w:after="0" w:line="240" w:lineRule="auto"/>
              <w:jc w:val="center"/>
              <w:rPr>
                <w:rFonts w:ascii="Times New Roman" w:eastAsia="Times New Roman" w:hAnsi="Times New Roman" w:cs="Times New Roman"/>
                <w:color w:val="000000"/>
              </w:rPr>
            </w:pPr>
            <w:r w:rsidRPr="004E6172">
              <w:rPr>
                <w:rFonts w:ascii="Times New Roman" w:eastAsia="Times New Roman" w:hAnsi="Times New Roman" w:cs="Times New Roman"/>
                <w:color w:val="000000"/>
              </w:rPr>
              <w:t>100.00</w:t>
            </w:r>
          </w:p>
        </w:tc>
      </w:tr>
    </w:tbl>
    <w:p w:rsidR="00DC61C4" w:rsidRPr="00A1085C" w:rsidRDefault="00DC61C4" w:rsidP="007C666E">
      <w:pPr>
        <w:spacing w:line="360" w:lineRule="auto"/>
        <w:jc w:val="both"/>
        <w:rPr>
          <w:rFonts w:ascii="Times New Roman" w:eastAsia="Calibri" w:hAnsi="Times New Roman" w:cs="Times New Roman"/>
          <w:color w:val="000000"/>
          <w:shd w:val="clear" w:color="auto" w:fill="FFFFFF"/>
        </w:rPr>
        <w:sectPr w:rsidR="00DC61C4" w:rsidRPr="00A1085C" w:rsidSect="009D6ACF">
          <w:headerReference w:type="default" r:id="rId29"/>
          <w:pgSz w:w="16838" w:h="11906" w:orient="landscape"/>
          <w:pgMar w:top="1440" w:right="1440" w:bottom="1440" w:left="1440" w:header="708" w:footer="708" w:gutter="0"/>
          <w:cols w:space="708"/>
          <w:titlePg/>
          <w:docGrid w:linePitch="360"/>
        </w:sectPr>
      </w:pPr>
    </w:p>
    <w:p w:rsidR="006E0549" w:rsidRPr="0094697E" w:rsidRDefault="00A6415F" w:rsidP="00B3348D">
      <w:pPr>
        <w:spacing w:after="0" w:line="360" w:lineRule="auto"/>
        <w:ind w:firstLine="720"/>
        <w:jc w:val="both"/>
        <w:rPr>
          <w:rFonts w:ascii="Times New Roman" w:eastAsia="Calibri" w:hAnsi="Times New Roman" w:cs="Times New Roman"/>
        </w:rPr>
      </w:pPr>
      <w:r w:rsidRPr="0094697E">
        <w:lastRenderedPageBreak/>
        <w:fldChar w:fldCharType="begin"/>
      </w:r>
      <w:r w:rsidRPr="0094697E">
        <w:instrText xml:space="preserve"> REF _Ref473312594 \h  \* MERGEFORMAT </w:instrText>
      </w:r>
      <w:r w:rsidRPr="0094697E">
        <w:fldChar w:fldCharType="separate"/>
      </w:r>
      <w:r w:rsidR="009F5483" w:rsidRPr="00A1085C">
        <w:rPr>
          <w:rFonts w:ascii="Times New Roman" w:hAnsi="Times New Roman" w:cs="Times New Roman"/>
        </w:rPr>
        <w:t>Table</w:t>
      </w:r>
      <w:r w:rsidR="006440B9">
        <w:rPr>
          <w:rFonts w:ascii="Times New Roman" w:hAnsi="Times New Roman" w:cs="Times New Roman"/>
        </w:rPr>
        <w:t>s</w:t>
      </w:r>
      <w:r w:rsidR="009F5483" w:rsidRPr="00A1085C">
        <w:rPr>
          <w:rFonts w:ascii="Times New Roman" w:hAnsi="Times New Roman" w:cs="Times New Roman"/>
        </w:rPr>
        <w:t xml:space="preserve"> </w:t>
      </w:r>
      <w:r w:rsidR="009F5483">
        <w:rPr>
          <w:rFonts w:ascii="Times New Roman" w:hAnsi="Times New Roman" w:cs="Times New Roman"/>
          <w:noProof/>
        </w:rPr>
        <w:t>18</w:t>
      </w:r>
      <w:r w:rsidRPr="0094697E">
        <w:fldChar w:fldCharType="end"/>
      </w:r>
      <w:r w:rsidR="007C666E" w:rsidRPr="0094697E">
        <w:rPr>
          <w:rFonts w:ascii="Times New Roman" w:eastAsia="Calibri" w:hAnsi="Times New Roman" w:cs="Times New Roman"/>
        </w:rPr>
        <w:t xml:space="preserve"> and </w:t>
      </w:r>
      <w:r w:rsidRPr="0094697E">
        <w:fldChar w:fldCharType="begin"/>
      </w:r>
      <w:r w:rsidRPr="0094697E">
        <w:instrText xml:space="preserve"> REF _Ref473312605 \h  \* MERGEFORMAT </w:instrText>
      </w:r>
      <w:r w:rsidRPr="0094697E">
        <w:fldChar w:fldCharType="separate"/>
      </w:r>
      <w:r w:rsidR="009F5483" w:rsidRPr="009F5483">
        <w:rPr>
          <w:rStyle w:val="FiguresChar"/>
          <w:color w:val="auto"/>
        </w:rPr>
        <w:t>Table</w:t>
      </w:r>
      <w:r w:rsidR="009F5483" w:rsidRPr="00A1085C">
        <w:rPr>
          <w:rFonts w:ascii="Times New Roman" w:hAnsi="Times New Roman" w:cs="Times New Roman"/>
        </w:rPr>
        <w:t xml:space="preserve"> </w:t>
      </w:r>
      <w:r w:rsidR="009F5483">
        <w:rPr>
          <w:rFonts w:ascii="Times New Roman" w:hAnsi="Times New Roman" w:cs="Times New Roman"/>
          <w:noProof/>
        </w:rPr>
        <w:t>19</w:t>
      </w:r>
      <w:r w:rsidRPr="0094697E">
        <w:fldChar w:fldCharType="end"/>
      </w:r>
      <w:r w:rsidR="007C666E" w:rsidRPr="0094697E">
        <w:rPr>
          <w:rFonts w:ascii="Times New Roman" w:eastAsia="Calibri" w:hAnsi="Times New Roman" w:cs="Times New Roman"/>
        </w:rPr>
        <w:t xml:space="preserve"> illustrate breakdown of electricity by fuel source</w:t>
      </w:r>
      <w:r w:rsidR="00B3348D" w:rsidRPr="0094697E">
        <w:rPr>
          <w:rFonts w:ascii="Times New Roman" w:eastAsia="Calibri" w:hAnsi="Times New Roman" w:cs="Times New Roman"/>
        </w:rPr>
        <w:t>,</w:t>
      </w:r>
      <w:r w:rsidR="007C666E" w:rsidRPr="0094697E">
        <w:rPr>
          <w:rFonts w:ascii="Times New Roman" w:eastAsia="Calibri" w:hAnsi="Times New Roman" w:cs="Times New Roman"/>
        </w:rPr>
        <w:t xml:space="preserve"> </w:t>
      </w:r>
      <w:r w:rsidR="00B3348D" w:rsidRPr="0094697E">
        <w:rPr>
          <w:rFonts w:ascii="Times New Roman" w:eastAsia="Calibri" w:hAnsi="Times New Roman" w:cs="Times New Roman"/>
        </w:rPr>
        <w:t>both in terms of energy (</w:t>
      </w:r>
      <w:proofErr w:type="spellStart"/>
      <w:r w:rsidR="00F6210A">
        <w:rPr>
          <w:rFonts w:ascii="Times New Roman" w:eastAsia="Calibri" w:hAnsi="Times New Roman" w:cs="Times New Roman"/>
        </w:rPr>
        <w:t>GWh</w:t>
      </w:r>
      <w:proofErr w:type="spellEnd"/>
      <w:r w:rsidR="00B3348D" w:rsidRPr="0094697E">
        <w:rPr>
          <w:rFonts w:ascii="Times New Roman" w:eastAsia="Calibri" w:hAnsi="Times New Roman" w:cs="Times New Roman"/>
        </w:rPr>
        <w:t xml:space="preserve">) and as a percentage value, </w:t>
      </w:r>
      <w:r w:rsidR="007C666E" w:rsidRPr="0094697E">
        <w:rPr>
          <w:rFonts w:ascii="Times New Roman" w:eastAsia="Calibri" w:hAnsi="Times New Roman" w:cs="Times New Roman"/>
        </w:rPr>
        <w:t>for 8 out of the 9 countries of interest</w:t>
      </w:r>
      <w:r w:rsidR="00B3348D" w:rsidRPr="0094697E">
        <w:rPr>
          <w:rFonts w:ascii="Times New Roman" w:eastAsia="Calibri" w:hAnsi="Times New Roman" w:cs="Times New Roman"/>
        </w:rPr>
        <w:t xml:space="preserve"> </w:t>
      </w:r>
      <w:r w:rsidR="007C666E" w:rsidRPr="0094697E">
        <w:rPr>
          <w:rFonts w:ascii="Times New Roman" w:eastAsia="Calibri" w:hAnsi="Times New Roman" w:cs="Times New Roman"/>
        </w:rPr>
        <w:t xml:space="preserve">for the year 2013. </w:t>
      </w:r>
      <w:r w:rsidR="00B3348D" w:rsidRPr="0094697E">
        <w:rPr>
          <w:rFonts w:ascii="Times New Roman" w:eastAsia="Calibri" w:hAnsi="Times New Roman" w:cs="Times New Roman"/>
        </w:rPr>
        <w:t>The majority of t</w:t>
      </w:r>
      <w:r w:rsidR="007C666E" w:rsidRPr="0094697E">
        <w:rPr>
          <w:rFonts w:ascii="Times New Roman" w:eastAsia="Calibri" w:hAnsi="Times New Roman" w:cs="Times New Roman"/>
        </w:rPr>
        <w:t>he data was obtained from the International Energy Agency (IEA)</w:t>
      </w:r>
      <w:r w:rsidR="00B3348D" w:rsidRPr="0094697E">
        <w:rPr>
          <w:rFonts w:ascii="Times New Roman" w:eastAsia="Calibri" w:hAnsi="Times New Roman" w:cs="Times New Roman"/>
        </w:rPr>
        <w:t>, although an alternative source</w:t>
      </w:r>
      <w:r w:rsidR="00442592" w:rsidRPr="0094697E">
        <w:rPr>
          <w:rFonts w:ascii="Times New Roman" w:eastAsia="Calibri" w:hAnsi="Times New Roman" w:cs="Times New Roman"/>
        </w:rPr>
        <w:t xml:space="preserve"> called</w:t>
      </w:r>
      <w:r w:rsidR="007C666E" w:rsidRPr="0094697E">
        <w:rPr>
          <w:rFonts w:ascii="Times New Roman" w:eastAsia="Calibri" w:hAnsi="Times New Roman" w:cs="Times New Roman"/>
        </w:rPr>
        <w:t xml:space="preserve"> </w:t>
      </w:r>
      <w:r w:rsidR="00442592" w:rsidRPr="0094697E">
        <w:rPr>
          <w:rFonts w:ascii="Times New Roman" w:eastAsia="Calibri" w:hAnsi="Times New Roman" w:cs="Times New Roman"/>
        </w:rPr>
        <w:t>The Shift Project Data Portal (TSPDP)</w:t>
      </w:r>
      <w:r w:rsidR="00B3348D" w:rsidRPr="0094697E">
        <w:rPr>
          <w:rFonts w:ascii="Times New Roman" w:eastAsia="Calibri" w:hAnsi="Times New Roman" w:cs="Times New Roman"/>
        </w:rPr>
        <w:t xml:space="preserve"> was available</w:t>
      </w:r>
      <w:r w:rsidR="00442592" w:rsidRPr="0094697E">
        <w:rPr>
          <w:rFonts w:ascii="Times New Roman" w:eastAsia="Calibri" w:hAnsi="Times New Roman" w:cs="Times New Roman"/>
        </w:rPr>
        <w:t>. H</w:t>
      </w:r>
      <w:r w:rsidR="007C666E" w:rsidRPr="0094697E">
        <w:rPr>
          <w:rFonts w:ascii="Times New Roman" w:eastAsia="Calibri" w:hAnsi="Times New Roman" w:cs="Times New Roman"/>
        </w:rPr>
        <w:t>owever</w:t>
      </w:r>
      <w:r w:rsidR="00B3348D" w:rsidRPr="0094697E">
        <w:rPr>
          <w:rFonts w:ascii="Times New Roman" w:eastAsia="Calibri" w:hAnsi="Times New Roman" w:cs="Times New Roman"/>
        </w:rPr>
        <w:t>, in-depth analysis of this</w:t>
      </w:r>
      <w:r w:rsidR="006E0549" w:rsidRPr="0094697E">
        <w:rPr>
          <w:rFonts w:ascii="Times New Roman" w:eastAsia="Calibri" w:hAnsi="Times New Roman" w:cs="Times New Roman"/>
        </w:rPr>
        <w:t xml:space="preserve"> data source</w:t>
      </w:r>
      <w:r w:rsidR="00442592" w:rsidRPr="0094697E">
        <w:rPr>
          <w:rFonts w:ascii="Times New Roman" w:eastAsia="Calibri" w:hAnsi="Times New Roman" w:cs="Times New Roman"/>
        </w:rPr>
        <w:t>, revealed the use of IEA as a</w:t>
      </w:r>
      <w:r w:rsidR="00B3348D" w:rsidRPr="0094697E">
        <w:rPr>
          <w:rFonts w:ascii="Times New Roman" w:eastAsia="Calibri" w:hAnsi="Times New Roman" w:cs="Times New Roman"/>
        </w:rPr>
        <w:t>n</w:t>
      </w:r>
      <w:r w:rsidR="00442592" w:rsidRPr="0094697E">
        <w:rPr>
          <w:rFonts w:ascii="Times New Roman" w:eastAsia="Calibri" w:hAnsi="Times New Roman" w:cs="Times New Roman"/>
        </w:rPr>
        <w:t xml:space="preserve"> </w:t>
      </w:r>
      <w:r w:rsidR="00B3348D" w:rsidRPr="0094697E">
        <w:rPr>
          <w:rFonts w:ascii="Times New Roman" w:eastAsia="Calibri" w:hAnsi="Times New Roman" w:cs="Times New Roman"/>
        </w:rPr>
        <w:t xml:space="preserve">internal </w:t>
      </w:r>
      <w:r w:rsidR="00442592" w:rsidRPr="0094697E">
        <w:rPr>
          <w:rFonts w:ascii="Times New Roman" w:eastAsia="Calibri" w:hAnsi="Times New Roman" w:cs="Times New Roman"/>
        </w:rPr>
        <w:t xml:space="preserve">data source and so </w:t>
      </w:r>
      <w:r w:rsidR="006E0549" w:rsidRPr="0094697E">
        <w:rPr>
          <w:rFonts w:ascii="Times New Roman" w:eastAsia="Calibri" w:hAnsi="Times New Roman" w:cs="Times New Roman"/>
        </w:rPr>
        <w:t>direct use of IEA was preferred.</w:t>
      </w:r>
    </w:p>
    <w:p w:rsidR="004A6BC9" w:rsidRPr="0094697E" w:rsidRDefault="001E18F6" w:rsidP="00B3348D">
      <w:pPr>
        <w:spacing w:after="0" w:line="360" w:lineRule="auto"/>
        <w:ind w:firstLine="720"/>
        <w:jc w:val="both"/>
        <w:rPr>
          <w:rFonts w:ascii="Times New Roman" w:eastAsia="Calibri" w:hAnsi="Times New Roman" w:cs="Times New Roman"/>
        </w:rPr>
      </w:pPr>
      <w:r>
        <w:rPr>
          <w:rFonts w:ascii="Times New Roman" w:eastAsia="Calibri" w:hAnsi="Times New Roman" w:cs="Times New Roman"/>
        </w:rPr>
        <w:t>The notable o</w:t>
      </w:r>
      <w:r w:rsidR="000A7050" w:rsidRPr="0094697E">
        <w:rPr>
          <w:rFonts w:ascii="Times New Roman" w:eastAsia="Calibri" w:hAnsi="Times New Roman" w:cs="Times New Roman"/>
        </w:rPr>
        <w:t>mission</w:t>
      </w:r>
      <w:r w:rsidR="006E0549" w:rsidRPr="0094697E">
        <w:rPr>
          <w:rFonts w:ascii="Times New Roman" w:eastAsia="Calibri" w:hAnsi="Times New Roman" w:cs="Times New Roman"/>
        </w:rPr>
        <w:t xml:space="preserve"> from the IEA</w:t>
      </w:r>
      <w:r w:rsidR="000A7050" w:rsidRPr="0094697E">
        <w:rPr>
          <w:rFonts w:ascii="Times New Roman" w:eastAsia="Calibri" w:hAnsi="Times New Roman" w:cs="Times New Roman"/>
        </w:rPr>
        <w:t xml:space="preserve"> was the country New Caledonia</w:t>
      </w:r>
      <w:r w:rsidR="008B503E" w:rsidRPr="0094697E">
        <w:rPr>
          <w:rFonts w:ascii="Times New Roman" w:eastAsia="Calibri" w:hAnsi="Times New Roman" w:cs="Times New Roman"/>
        </w:rPr>
        <w:t>,</w:t>
      </w:r>
      <w:r w:rsidR="000A7050" w:rsidRPr="0094697E">
        <w:rPr>
          <w:rFonts w:ascii="Times New Roman" w:eastAsia="Calibri" w:hAnsi="Times New Roman" w:cs="Times New Roman"/>
        </w:rPr>
        <w:t xml:space="preserve"> from which </w:t>
      </w:r>
      <w:r w:rsidR="006E0549" w:rsidRPr="0094697E">
        <w:rPr>
          <w:rFonts w:ascii="Times New Roman" w:eastAsia="Calibri" w:hAnsi="Times New Roman" w:cs="Times New Roman"/>
        </w:rPr>
        <w:t xml:space="preserve">data was </w:t>
      </w:r>
      <w:r w:rsidR="00F94770" w:rsidRPr="0094697E">
        <w:rPr>
          <w:rFonts w:ascii="Times New Roman" w:eastAsia="Calibri" w:hAnsi="Times New Roman" w:cs="Times New Roman"/>
        </w:rPr>
        <w:t>alternatively obtained from</w:t>
      </w:r>
      <w:r w:rsidR="008B503E" w:rsidRPr="0094697E">
        <w:rPr>
          <w:rFonts w:ascii="Times New Roman" w:eastAsia="Calibri" w:hAnsi="Times New Roman" w:cs="Times New Roman"/>
        </w:rPr>
        <w:t xml:space="preserve"> the</w:t>
      </w:r>
      <w:r w:rsidR="00F94770" w:rsidRPr="0094697E">
        <w:rPr>
          <w:rFonts w:ascii="Times New Roman" w:eastAsia="Calibri" w:hAnsi="Times New Roman" w:cs="Times New Roman"/>
        </w:rPr>
        <w:t xml:space="preserve"> P</w:t>
      </w:r>
      <w:r w:rsidR="00E04C5C" w:rsidRPr="0094697E">
        <w:rPr>
          <w:rFonts w:ascii="Times New Roman" w:eastAsia="Calibri" w:hAnsi="Times New Roman" w:cs="Times New Roman"/>
        </w:rPr>
        <w:t xml:space="preserve">acific </w:t>
      </w:r>
      <w:r w:rsidR="00F94770" w:rsidRPr="0094697E">
        <w:rPr>
          <w:rFonts w:ascii="Times New Roman" w:eastAsia="Calibri" w:hAnsi="Times New Roman" w:cs="Times New Roman"/>
        </w:rPr>
        <w:t>E</w:t>
      </w:r>
      <w:r w:rsidR="00E04C5C" w:rsidRPr="0094697E">
        <w:rPr>
          <w:rFonts w:ascii="Times New Roman" w:eastAsia="Calibri" w:hAnsi="Times New Roman" w:cs="Times New Roman"/>
        </w:rPr>
        <w:t xml:space="preserve">conomic </w:t>
      </w:r>
      <w:r w:rsidR="00F94770" w:rsidRPr="0094697E">
        <w:rPr>
          <w:rFonts w:ascii="Times New Roman" w:eastAsia="Calibri" w:hAnsi="Times New Roman" w:cs="Times New Roman"/>
        </w:rPr>
        <w:t>C</w:t>
      </w:r>
      <w:r w:rsidR="00E04C5C" w:rsidRPr="0094697E">
        <w:rPr>
          <w:rFonts w:ascii="Times New Roman" w:eastAsia="Calibri" w:hAnsi="Times New Roman" w:cs="Times New Roman"/>
        </w:rPr>
        <w:t xml:space="preserve">ooperation </w:t>
      </w:r>
      <w:r w:rsidR="00F94770" w:rsidRPr="0094697E">
        <w:rPr>
          <w:rFonts w:ascii="Times New Roman" w:eastAsia="Calibri" w:hAnsi="Times New Roman" w:cs="Times New Roman"/>
        </w:rPr>
        <w:t>C</w:t>
      </w:r>
      <w:r w:rsidR="00E04C5C" w:rsidRPr="0094697E">
        <w:rPr>
          <w:rFonts w:ascii="Times New Roman" w:eastAsia="Calibri" w:hAnsi="Times New Roman" w:cs="Times New Roman"/>
        </w:rPr>
        <w:t>ouncil</w:t>
      </w:r>
      <w:r w:rsidR="00F94770" w:rsidRPr="0094697E">
        <w:rPr>
          <w:rFonts w:ascii="Times New Roman" w:eastAsia="Calibri" w:hAnsi="Times New Roman" w:cs="Times New Roman"/>
        </w:rPr>
        <w:t xml:space="preserve"> </w:t>
      </w:r>
      <w:r w:rsidR="00E04C5C" w:rsidRPr="0094697E">
        <w:rPr>
          <w:rFonts w:ascii="Times New Roman" w:eastAsia="Calibri" w:hAnsi="Times New Roman" w:cs="Times New Roman"/>
          <w:noProof/>
        </w:rPr>
        <w:t>(PECC 2013)</w:t>
      </w:r>
      <w:r w:rsidR="00F94770" w:rsidRPr="0094697E">
        <w:rPr>
          <w:rFonts w:ascii="Times New Roman" w:eastAsia="Calibri" w:hAnsi="Times New Roman" w:cs="Times New Roman"/>
        </w:rPr>
        <w:t xml:space="preserve"> and compared against a secondary data source</w:t>
      </w:r>
      <w:r w:rsidR="004A6BC9" w:rsidRPr="0094697E">
        <w:rPr>
          <w:rFonts w:ascii="Times New Roman" w:eastAsia="Calibri" w:hAnsi="Times New Roman" w:cs="Times New Roman"/>
        </w:rPr>
        <w:t xml:space="preserve"> from the US Energy Information Administration </w:t>
      </w:r>
      <w:r w:rsidR="004A6BC9" w:rsidRPr="0094697E">
        <w:rPr>
          <w:rFonts w:ascii="Times New Roman" w:eastAsia="Calibri" w:hAnsi="Times New Roman" w:cs="Times New Roman"/>
          <w:noProof/>
        </w:rPr>
        <w:t>(US EIA 2015)</w:t>
      </w:r>
      <w:r w:rsidR="00F94770" w:rsidRPr="0094697E">
        <w:rPr>
          <w:rFonts w:ascii="Times New Roman" w:eastAsia="Calibri" w:hAnsi="Times New Roman" w:cs="Times New Roman"/>
        </w:rPr>
        <w:t>.</w:t>
      </w:r>
      <w:r w:rsidR="00E04C5C" w:rsidRPr="0094697E">
        <w:rPr>
          <w:rFonts w:ascii="Times New Roman" w:eastAsia="Calibri" w:hAnsi="Times New Roman" w:cs="Times New Roman"/>
        </w:rPr>
        <w:t xml:space="preserve"> Data from both sources was for the year (2012), and illustrated a higher percentage of fossil fuels (85%) from US EIA compared to (78%) for PECC. Similarly, the percentage of renewables was lower for the US EIA (15%) in comparison to (20%) for PECC. Overall data from PECC</w:t>
      </w:r>
      <w:r w:rsidR="004A6BC9" w:rsidRPr="0094697E">
        <w:rPr>
          <w:rFonts w:ascii="Times New Roman" w:eastAsia="Calibri" w:hAnsi="Times New Roman" w:cs="Times New Roman"/>
        </w:rPr>
        <w:t xml:space="preserve"> (see </w:t>
      </w:r>
      <w:r w:rsidR="00A6415F" w:rsidRPr="0094697E">
        <w:fldChar w:fldCharType="begin"/>
      </w:r>
      <w:r w:rsidR="00A6415F" w:rsidRPr="0094697E">
        <w:instrText xml:space="preserve"> REF _Ref473366452 \h  \* MERGEFORMAT </w:instrText>
      </w:r>
      <w:r w:rsidR="00A6415F" w:rsidRPr="0094697E">
        <w:fldChar w:fldCharType="separate"/>
      </w:r>
      <w:r w:rsidR="009F5483" w:rsidRPr="00A1085C">
        <w:rPr>
          <w:rFonts w:ascii="Times New Roman" w:hAnsi="Times New Roman" w:cs="Times New Roman"/>
        </w:rPr>
        <w:t xml:space="preserve">Table </w:t>
      </w:r>
      <w:r w:rsidR="009F5483">
        <w:rPr>
          <w:rFonts w:ascii="Times New Roman" w:hAnsi="Times New Roman" w:cs="Times New Roman"/>
          <w:noProof/>
        </w:rPr>
        <w:t>20</w:t>
      </w:r>
      <w:r w:rsidR="00A6415F" w:rsidRPr="0094697E">
        <w:fldChar w:fldCharType="end"/>
      </w:r>
      <w:r w:rsidR="004A6BC9" w:rsidRPr="0094697E">
        <w:rPr>
          <w:rFonts w:ascii="Times New Roman" w:eastAsia="Calibri" w:hAnsi="Times New Roman" w:cs="Times New Roman"/>
        </w:rPr>
        <w:t>)</w:t>
      </w:r>
      <w:r w:rsidR="00E04C5C" w:rsidRPr="0094697E">
        <w:rPr>
          <w:rFonts w:ascii="Times New Roman" w:eastAsia="Calibri" w:hAnsi="Times New Roman" w:cs="Times New Roman"/>
        </w:rPr>
        <w:t xml:space="preserve"> was selected over US EIA since it gave a more comprehensive breakdown of electricity by fuel source. However, obtaining data for cou</w:t>
      </w:r>
      <w:r w:rsidR="006E0549" w:rsidRPr="0094697E">
        <w:rPr>
          <w:rFonts w:ascii="Times New Roman" w:eastAsia="Calibri" w:hAnsi="Times New Roman" w:cs="Times New Roman"/>
        </w:rPr>
        <w:t>ntries such as New Caledonia are</w:t>
      </w:r>
      <w:r w:rsidR="00E04C5C" w:rsidRPr="0094697E">
        <w:rPr>
          <w:rFonts w:ascii="Times New Roman" w:eastAsia="Calibri" w:hAnsi="Times New Roman" w:cs="Times New Roman"/>
        </w:rPr>
        <w:t xml:space="preserve"> difficult and these percentages have been taken has worst case scenarios.</w:t>
      </w:r>
    </w:p>
    <w:p w:rsidR="00DC61C4" w:rsidRPr="0094697E" w:rsidRDefault="00DC61C4" w:rsidP="00732420">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Although </w:t>
      </w:r>
      <w:r w:rsidR="004A6BC9" w:rsidRPr="0094697E">
        <w:rPr>
          <w:rFonts w:ascii="Times New Roman" w:eastAsia="Calibri" w:hAnsi="Times New Roman" w:cs="Times New Roman"/>
        </w:rPr>
        <w:t>percentage data highlighting the breakdown of electricity grid mixes for the 9</w:t>
      </w:r>
      <w:r w:rsidR="00120F76" w:rsidRPr="0094697E">
        <w:rPr>
          <w:rFonts w:ascii="Times New Roman" w:eastAsia="Calibri" w:hAnsi="Times New Roman" w:cs="Times New Roman"/>
        </w:rPr>
        <w:t xml:space="preserve"> countries of interest was</w:t>
      </w:r>
      <w:r w:rsidR="004A6BC9" w:rsidRPr="0094697E">
        <w:rPr>
          <w:rFonts w:ascii="Times New Roman" w:eastAsia="Calibri" w:hAnsi="Times New Roman" w:cs="Times New Roman"/>
        </w:rPr>
        <w:t xml:space="preserve"> obtained; </w:t>
      </w:r>
      <w:r w:rsidR="006E0549" w:rsidRPr="0094697E">
        <w:rPr>
          <w:rFonts w:ascii="Times New Roman" w:eastAsia="Calibri" w:hAnsi="Times New Roman" w:cs="Times New Roman"/>
        </w:rPr>
        <w:t>the re</w:t>
      </w:r>
      <w:r w:rsidR="00120F76" w:rsidRPr="0094697E">
        <w:rPr>
          <w:rFonts w:ascii="Times New Roman" w:eastAsia="Calibri" w:hAnsi="Times New Roman" w:cs="Times New Roman"/>
        </w:rPr>
        <w:t>levant processes depicting the individual</w:t>
      </w:r>
      <w:r w:rsidR="006E0549" w:rsidRPr="0094697E">
        <w:rPr>
          <w:rFonts w:ascii="Times New Roman" w:eastAsia="Calibri" w:hAnsi="Times New Roman" w:cs="Times New Roman"/>
        </w:rPr>
        <w:t xml:space="preserve"> fuel sources</w:t>
      </w:r>
      <w:r w:rsidR="00120F76" w:rsidRPr="0094697E">
        <w:rPr>
          <w:rFonts w:ascii="Times New Roman" w:eastAsia="Calibri" w:hAnsi="Times New Roman" w:cs="Times New Roman"/>
        </w:rPr>
        <w:t xml:space="preserve"> and thus required to create a model was limited in </w:t>
      </w:r>
      <w:r w:rsidR="004D2D91" w:rsidRPr="0094697E">
        <w:rPr>
          <w:rFonts w:ascii="Times New Roman" w:eastAsia="Calibri" w:hAnsi="Times New Roman" w:cs="Times New Roman"/>
        </w:rPr>
        <w:t>GaBi</w:t>
      </w:r>
      <w:r w:rsidR="00120F76" w:rsidRPr="0094697E">
        <w:rPr>
          <w:rFonts w:ascii="Times New Roman" w:eastAsia="Calibri" w:hAnsi="Times New Roman" w:cs="Times New Roman"/>
        </w:rPr>
        <w:t xml:space="preserve">. From the 9 countries, only India, Japan and Norway had individual processes for each fuel source within </w:t>
      </w:r>
      <w:r w:rsidR="004D2D91" w:rsidRPr="0094697E">
        <w:rPr>
          <w:rFonts w:ascii="Times New Roman" w:eastAsia="Calibri" w:hAnsi="Times New Roman" w:cs="Times New Roman"/>
        </w:rPr>
        <w:t>GaBi</w:t>
      </w:r>
      <w:r w:rsidR="00120F76" w:rsidRPr="0094697E">
        <w:rPr>
          <w:rFonts w:ascii="Times New Roman" w:eastAsia="Calibri" w:hAnsi="Times New Roman" w:cs="Times New Roman"/>
        </w:rPr>
        <w:t xml:space="preserve">. </w:t>
      </w:r>
      <w:r w:rsidR="001E18F6">
        <w:rPr>
          <w:rFonts w:ascii="Times New Roman" w:eastAsia="Calibri" w:hAnsi="Times New Roman" w:cs="Times New Roman"/>
        </w:rPr>
        <w:t>The only notable o</w:t>
      </w:r>
      <w:r w:rsidR="00DB7D8A" w:rsidRPr="0094697E">
        <w:rPr>
          <w:rFonts w:ascii="Times New Roman" w:eastAsia="Calibri" w:hAnsi="Times New Roman" w:cs="Times New Roman"/>
        </w:rPr>
        <w:t>missions were 2 fuel sources (photovoltaic and waste) from India which had to utilise processes from another country. For the remaining countries namely; China, New Caledonia, Kazakhstan, Russia, South Africa and Ukraine, alternative individual processes had to b</w:t>
      </w:r>
      <w:r w:rsidR="00732420" w:rsidRPr="0094697E">
        <w:rPr>
          <w:rFonts w:ascii="Times New Roman" w:eastAsia="Calibri" w:hAnsi="Times New Roman" w:cs="Times New Roman"/>
        </w:rPr>
        <w:t>e used and are explained below.</w:t>
      </w:r>
    </w:p>
    <w:p w:rsidR="00732420" w:rsidRPr="0094697E" w:rsidRDefault="00732420" w:rsidP="00732420">
      <w:pPr>
        <w:spacing w:after="0" w:line="360" w:lineRule="auto"/>
        <w:ind w:firstLine="720"/>
        <w:jc w:val="both"/>
        <w:rPr>
          <w:rFonts w:ascii="Times New Roman" w:eastAsia="Calibri" w:hAnsi="Times New Roman" w:cs="Times New Roman"/>
        </w:rPr>
      </w:pPr>
    </w:p>
    <w:p w:rsidR="00DC61C4" w:rsidRPr="0094697E" w:rsidRDefault="0065500E" w:rsidP="0065500E">
      <w:pPr>
        <w:rPr>
          <w:rFonts w:ascii="Times New Roman" w:eastAsia="Calibri Light" w:hAnsi="Times New Roman" w:cs="Times New Roman"/>
          <w:b/>
        </w:rPr>
      </w:pPr>
      <w:proofErr w:type="spellStart"/>
      <w:r w:rsidRPr="0094697E">
        <w:rPr>
          <w:rFonts w:ascii="Times New Roman" w:eastAsia="Calibri Light" w:hAnsi="Times New Roman" w:cs="Times New Roman"/>
          <w:b/>
        </w:rPr>
        <w:t>i</w:t>
      </w:r>
      <w:proofErr w:type="spellEnd"/>
      <w:r w:rsidRPr="0094697E">
        <w:rPr>
          <w:rFonts w:ascii="Times New Roman" w:eastAsia="Calibri Light" w:hAnsi="Times New Roman" w:cs="Times New Roman"/>
          <w:b/>
        </w:rPr>
        <w:t xml:space="preserve">) </w:t>
      </w:r>
      <w:r w:rsidR="00DC61C4" w:rsidRPr="0094697E">
        <w:rPr>
          <w:rFonts w:ascii="Times New Roman" w:eastAsia="Calibri Light" w:hAnsi="Times New Roman" w:cs="Times New Roman"/>
          <w:b/>
        </w:rPr>
        <w:t>Selection of electricity process for coal</w:t>
      </w:r>
    </w:p>
    <w:p w:rsidR="007517A0" w:rsidRPr="0094697E" w:rsidRDefault="00AC581D" w:rsidP="007517A0">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E</w:t>
      </w:r>
      <w:r w:rsidR="007517A0" w:rsidRPr="0094697E">
        <w:rPr>
          <w:rFonts w:ascii="Times New Roman" w:eastAsia="Calibri" w:hAnsi="Times New Roman" w:cs="Times New Roman"/>
        </w:rPr>
        <w:t>lectricity process</w:t>
      </w:r>
      <w:r w:rsidRPr="0094697E">
        <w:rPr>
          <w:rFonts w:ascii="Times New Roman" w:eastAsia="Calibri" w:hAnsi="Times New Roman" w:cs="Times New Roman"/>
        </w:rPr>
        <w:t>es</w:t>
      </w:r>
      <w:r w:rsidR="007517A0" w:rsidRPr="0094697E">
        <w:rPr>
          <w:rFonts w:ascii="Times New Roman" w:eastAsia="Calibri" w:hAnsi="Times New Roman" w:cs="Times New Roman"/>
        </w:rPr>
        <w:t xml:space="preserve"> for countries including China, Kazakhstan and South Africa were </w:t>
      </w:r>
      <w:r w:rsidRPr="0094697E">
        <w:rPr>
          <w:rFonts w:ascii="Times New Roman" w:eastAsia="Calibri" w:hAnsi="Times New Roman" w:cs="Times New Roman"/>
        </w:rPr>
        <w:t>unavailable</w:t>
      </w:r>
      <w:r w:rsidR="007517A0" w:rsidRPr="0094697E">
        <w:rPr>
          <w:rFonts w:ascii="Times New Roman" w:eastAsia="Calibri" w:hAnsi="Times New Roman" w:cs="Times New Roman"/>
        </w:rPr>
        <w:t xml:space="preserve"> in </w:t>
      </w:r>
      <w:r w:rsidR="004D2D91" w:rsidRPr="0094697E">
        <w:rPr>
          <w:rFonts w:ascii="Times New Roman" w:eastAsia="Calibri" w:hAnsi="Times New Roman" w:cs="Times New Roman"/>
        </w:rPr>
        <w:t>GaBi</w:t>
      </w:r>
      <w:r w:rsidR="007517A0" w:rsidRPr="0094697E">
        <w:rPr>
          <w:rFonts w:ascii="Times New Roman" w:eastAsia="Calibri" w:hAnsi="Times New Roman" w:cs="Times New Roman"/>
        </w:rPr>
        <w:t xml:space="preserve"> </w:t>
      </w:r>
      <w:r w:rsidR="004A241A" w:rsidRPr="0094697E">
        <w:rPr>
          <w:rFonts w:ascii="Times New Roman" w:eastAsia="Calibri" w:hAnsi="Times New Roman" w:cs="Times New Roman"/>
        </w:rPr>
        <w:t xml:space="preserve">and so the process from India was selected </w:t>
      </w:r>
      <w:r w:rsidR="00D5109A" w:rsidRPr="0094697E">
        <w:rPr>
          <w:rFonts w:ascii="Times New Roman" w:eastAsia="Calibri" w:hAnsi="Times New Roman" w:cs="Times New Roman"/>
        </w:rPr>
        <w:t xml:space="preserve">due to a number of reasons. </w:t>
      </w:r>
      <w:r w:rsidR="00DC61C4" w:rsidRPr="0094697E">
        <w:rPr>
          <w:rFonts w:ascii="Times New Roman" w:eastAsia="Calibri" w:hAnsi="Times New Roman" w:cs="Times New Roman"/>
        </w:rPr>
        <w:t>Firstl</w:t>
      </w:r>
      <w:r w:rsidR="00D5109A" w:rsidRPr="0094697E">
        <w:rPr>
          <w:rFonts w:ascii="Times New Roman" w:eastAsia="Calibri" w:hAnsi="Times New Roman" w:cs="Times New Roman"/>
        </w:rPr>
        <w:t>y, the type of coal used by these 4</w:t>
      </w:r>
      <w:r w:rsidR="007517A0" w:rsidRPr="0094697E">
        <w:rPr>
          <w:rFonts w:ascii="Times New Roman" w:eastAsia="Calibri" w:hAnsi="Times New Roman" w:cs="Times New Roman"/>
        </w:rPr>
        <w:t xml:space="preserve"> countries was</w:t>
      </w:r>
      <w:r w:rsidR="00DC61C4" w:rsidRPr="0094697E">
        <w:rPr>
          <w:rFonts w:ascii="Times New Roman" w:eastAsia="Calibri" w:hAnsi="Times New Roman" w:cs="Times New Roman"/>
        </w:rPr>
        <w:t xml:space="preserve"> b</w:t>
      </w:r>
      <w:r w:rsidR="007517A0" w:rsidRPr="0094697E">
        <w:rPr>
          <w:rFonts w:ascii="Times New Roman" w:eastAsia="Calibri" w:hAnsi="Times New Roman" w:cs="Times New Roman"/>
        </w:rPr>
        <w:t xml:space="preserve">ituminous including anthracite. </w:t>
      </w:r>
      <w:r w:rsidR="00DC61C4" w:rsidRPr="0094697E">
        <w:rPr>
          <w:rFonts w:ascii="Times New Roman" w:eastAsia="Calibri" w:hAnsi="Times New Roman" w:cs="Times New Roman"/>
        </w:rPr>
        <w:t>Secondl</w:t>
      </w:r>
      <w:r w:rsidR="00D5109A" w:rsidRPr="0094697E">
        <w:rPr>
          <w:rFonts w:ascii="Times New Roman" w:eastAsia="Calibri" w:hAnsi="Times New Roman" w:cs="Times New Roman"/>
        </w:rPr>
        <w:t xml:space="preserve">y, South Africa (93%), Kazakhstan (81%), </w:t>
      </w:r>
      <w:r w:rsidR="007517A0" w:rsidRPr="0094697E">
        <w:rPr>
          <w:rFonts w:ascii="Times New Roman" w:eastAsia="Calibri" w:hAnsi="Times New Roman" w:cs="Times New Roman"/>
        </w:rPr>
        <w:t>China (75</w:t>
      </w:r>
      <w:r w:rsidR="00DC61C4" w:rsidRPr="0094697E">
        <w:rPr>
          <w:rFonts w:ascii="Times New Roman" w:eastAsia="Calibri" w:hAnsi="Times New Roman" w:cs="Times New Roman"/>
        </w:rPr>
        <w:t>%) an</w:t>
      </w:r>
      <w:r w:rsidR="007517A0" w:rsidRPr="0094697E">
        <w:rPr>
          <w:rFonts w:ascii="Times New Roman" w:eastAsia="Calibri" w:hAnsi="Times New Roman" w:cs="Times New Roman"/>
        </w:rPr>
        <w:t>d India (73%) all had</w:t>
      </w:r>
      <w:r w:rsidR="00DC61C4" w:rsidRPr="0094697E">
        <w:rPr>
          <w:rFonts w:ascii="Times New Roman" w:eastAsia="Calibri" w:hAnsi="Times New Roman" w:cs="Times New Roman"/>
        </w:rPr>
        <w:t xml:space="preserve"> relatively high percentages of coal as the main electricity source</w:t>
      </w:r>
      <w:r w:rsidR="00D5109A" w:rsidRPr="0094697E">
        <w:rPr>
          <w:rFonts w:ascii="Times New Roman" w:eastAsia="Calibri" w:hAnsi="Times New Roman" w:cs="Times New Roman"/>
        </w:rPr>
        <w:t xml:space="preserve"> accord</w:t>
      </w:r>
      <w:r w:rsidR="007517A0" w:rsidRPr="0094697E">
        <w:rPr>
          <w:rFonts w:ascii="Times New Roman" w:eastAsia="Calibri" w:hAnsi="Times New Roman" w:cs="Times New Roman"/>
        </w:rPr>
        <w:t xml:space="preserve">ing to the IEA (see </w:t>
      </w:r>
      <w:r w:rsidR="00A6415F" w:rsidRPr="0094697E">
        <w:fldChar w:fldCharType="begin"/>
      </w:r>
      <w:r w:rsidR="00A6415F" w:rsidRPr="0094697E">
        <w:instrText xml:space="preserve"> REF _Ref473312605 \h  \* MERGEFORMAT </w:instrText>
      </w:r>
      <w:r w:rsidR="00A6415F" w:rsidRPr="0094697E">
        <w:fldChar w:fldCharType="separate"/>
      </w:r>
      <w:r w:rsidR="009F5483" w:rsidRPr="00A1085C">
        <w:rPr>
          <w:rFonts w:ascii="Times New Roman" w:hAnsi="Times New Roman" w:cs="Times New Roman"/>
        </w:rPr>
        <w:t xml:space="preserve">Table </w:t>
      </w:r>
      <w:r w:rsidR="009F5483">
        <w:rPr>
          <w:rFonts w:ascii="Times New Roman" w:hAnsi="Times New Roman" w:cs="Times New Roman"/>
          <w:noProof/>
        </w:rPr>
        <w:t>19</w:t>
      </w:r>
      <w:r w:rsidR="00A6415F" w:rsidRPr="0094697E">
        <w:fldChar w:fldCharType="end"/>
      </w:r>
      <w:r w:rsidR="007517A0" w:rsidRPr="0094697E">
        <w:rPr>
          <w:rFonts w:ascii="Times New Roman" w:eastAsia="Calibri" w:hAnsi="Times New Roman" w:cs="Times New Roman"/>
        </w:rPr>
        <w:t xml:space="preserve">). </w:t>
      </w:r>
      <w:r w:rsidR="00DC61C4" w:rsidRPr="0094697E">
        <w:rPr>
          <w:rFonts w:ascii="Times New Roman" w:eastAsia="Calibri" w:hAnsi="Times New Roman" w:cs="Times New Roman"/>
        </w:rPr>
        <w:t xml:space="preserve">Thirdly, the coal efficiencies for China (33%), India </w:t>
      </w:r>
      <w:r w:rsidR="007517A0" w:rsidRPr="0094697E">
        <w:rPr>
          <w:rFonts w:ascii="Times New Roman" w:eastAsia="Calibri" w:hAnsi="Times New Roman" w:cs="Times New Roman"/>
        </w:rPr>
        <w:t>(31%) and South Africa (35%) were</w:t>
      </w:r>
      <w:r w:rsidR="00DC61C4" w:rsidRPr="0094697E">
        <w:rPr>
          <w:rFonts w:ascii="Times New Roman" w:eastAsia="Calibri" w:hAnsi="Times New Roman" w:cs="Times New Roman"/>
        </w:rPr>
        <w:t xml:space="preserve"> also </w:t>
      </w:r>
      <w:r w:rsidR="007517A0" w:rsidRPr="0094697E">
        <w:rPr>
          <w:rFonts w:ascii="Times New Roman" w:eastAsia="Calibri" w:hAnsi="Times New Roman" w:cs="Times New Roman"/>
        </w:rPr>
        <w:t xml:space="preserve">identical </w:t>
      </w:r>
      <w:r w:rsidR="007517A0" w:rsidRPr="0094697E">
        <w:rPr>
          <w:rFonts w:ascii="Times New Roman" w:eastAsia="Calibri" w:hAnsi="Times New Roman" w:cs="Times New Roman"/>
          <w:noProof/>
        </w:rPr>
        <w:t>(WCA 2011b)</w:t>
      </w:r>
      <w:r w:rsidR="00DC61C4" w:rsidRPr="0094697E">
        <w:rPr>
          <w:rFonts w:ascii="Times New Roman" w:eastAsia="Calibri" w:hAnsi="Times New Roman" w:cs="Times New Roman"/>
        </w:rPr>
        <w:t xml:space="preserve">. The average efficiency of coal fired </w:t>
      </w:r>
      <w:r w:rsidR="007517A0" w:rsidRPr="0094697E">
        <w:rPr>
          <w:rFonts w:ascii="Times New Roman" w:eastAsia="Calibri" w:hAnsi="Times New Roman" w:cs="Times New Roman"/>
        </w:rPr>
        <w:t>power plants around the world was around</w:t>
      </w:r>
      <w:r w:rsidR="00DC61C4" w:rsidRPr="0094697E">
        <w:rPr>
          <w:rFonts w:ascii="Times New Roman" w:eastAsia="Calibri" w:hAnsi="Times New Roman" w:cs="Times New Roman"/>
        </w:rPr>
        <w:t xml:space="preserve"> 34%, which is well below the state of the art rate of 45%. Furth</w:t>
      </w:r>
      <w:r w:rsidR="007517A0" w:rsidRPr="0094697E">
        <w:rPr>
          <w:rFonts w:ascii="Times New Roman" w:eastAsia="Calibri" w:hAnsi="Times New Roman" w:cs="Times New Roman"/>
        </w:rPr>
        <w:t>ermore China and India also had</w:t>
      </w:r>
      <w:r w:rsidR="00DC61C4" w:rsidRPr="0094697E">
        <w:rPr>
          <w:rFonts w:ascii="Times New Roman" w:eastAsia="Calibri" w:hAnsi="Times New Roman" w:cs="Times New Roman"/>
        </w:rPr>
        <w:t xml:space="preserve"> very similar end industry uses, particularly in iron and steel, non-ferrous metals, non-metallic minerals and paper, pulp and printing</w:t>
      </w:r>
      <w:r w:rsidR="007517A0" w:rsidRPr="0094697E">
        <w:rPr>
          <w:rFonts w:ascii="Times New Roman" w:eastAsia="Calibri" w:hAnsi="Times New Roman" w:cs="Times New Roman"/>
        </w:rPr>
        <w:t xml:space="preserve"> </w:t>
      </w:r>
      <w:r w:rsidR="007517A0" w:rsidRPr="0094697E">
        <w:rPr>
          <w:rFonts w:ascii="Times New Roman" w:eastAsia="Calibri" w:hAnsi="Times New Roman" w:cs="Times New Roman"/>
          <w:noProof/>
        </w:rPr>
        <w:t>(WCA 2011a)</w:t>
      </w:r>
      <w:r w:rsidR="00DC61C4" w:rsidRPr="0094697E">
        <w:rPr>
          <w:rFonts w:ascii="Times New Roman" w:eastAsia="Calibri" w:hAnsi="Times New Roman" w:cs="Times New Roman"/>
        </w:rPr>
        <w:t xml:space="preserve">. </w:t>
      </w:r>
    </w:p>
    <w:p w:rsidR="00A0067F" w:rsidRPr="0094697E" w:rsidRDefault="00DC61C4" w:rsidP="00A0067F">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Apart from current trends, the future</w:t>
      </w:r>
      <w:r w:rsidR="00AC581D" w:rsidRPr="0094697E">
        <w:rPr>
          <w:rFonts w:ascii="Times New Roman" w:eastAsia="Calibri" w:hAnsi="Times New Roman" w:cs="Times New Roman"/>
        </w:rPr>
        <w:t xml:space="preserve"> strategies of these nations were</w:t>
      </w:r>
      <w:r w:rsidRPr="0094697E">
        <w:rPr>
          <w:rFonts w:ascii="Times New Roman" w:eastAsia="Calibri" w:hAnsi="Times New Roman" w:cs="Times New Roman"/>
        </w:rPr>
        <w:t xml:space="preserve"> also alike. China, India and South Africa are all developing UCG (Underground Coal Gasification) techniques. China has about 30 projects using UCG in different phases of preparation. </w:t>
      </w:r>
      <w:r w:rsidR="00AC581D" w:rsidRPr="0094697E">
        <w:rPr>
          <w:rFonts w:ascii="Times New Roman" w:eastAsia="Calibri" w:hAnsi="Times New Roman" w:cs="Times New Roman"/>
        </w:rPr>
        <w:t xml:space="preserve">Whereas </w:t>
      </w:r>
      <w:r w:rsidRPr="0094697E">
        <w:rPr>
          <w:rFonts w:ascii="Times New Roman" w:eastAsia="Calibri" w:hAnsi="Times New Roman" w:cs="Times New Roman"/>
        </w:rPr>
        <w:t xml:space="preserve">India plans to use underground </w:t>
      </w:r>
      <w:r w:rsidRPr="0094697E">
        <w:rPr>
          <w:rFonts w:ascii="Times New Roman" w:eastAsia="Calibri" w:hAnsi="Times New Roman" w:cs="Times New Roman"/>
        </w:rPr>
        <w:lastRenderedPageBreak/>
        <w:t>gasification to access an estima</w:t>
      </w:r>
      <w:r w:rsidR="00AC581D" w:rsidRPr="0094697E">
        <w:rPr>
          <w:rFonts w:ascii="Times New Roman" w:eastAsia="Calibri" w:hAnsi="Times New Roman" w:cs="Times New Roman"/>
        </w:rPr>
        <w:t xml:space="preserve">ted 350 billion tonnes of coal and </w:t>
      </w:r>
      <w:r w:rsidRPr="0094697E">
        <w:rPr>
          <w:rFonts w:ascii="Times New Roman" w:eastAsia="Calibri" w:hAnsi="Times New Roman" w:cs="Times New Roman"/>
        </w:rPr>
        <w:t>South African companies Sasol and Eskom both have</w:t>
      </w:r>
      <w:r w:rsidR="007517A0" w:rsidRPr="0094697E">
        <w:rPr>
          <w:rFonts w:ascii="Times New Roman" w:eastAsia="Calibri" w:hAnsi="Times New Roman" w:cs="Times New Roman"/>
        </w:rPr>
        <w:t xml:space="preserve"> UCG pilot facilities </w:t>
      </w:r>
      <w:r w:rsidR="007517A0" w:rsidRPr="0094697E">
        <w:rPr>
          <w:rFonts w:ascii="Times New Roman" w:eastAsia="Calibri" w:hAnsi="Times New Roman" w:cs="Times New Roman"/>
          <w:noProof/>
        </w:rPr>
        <w:t>(World Energy Council 2013)</w:t>
      </w:r>
      <w:r w:rsidR="00AC581D" w:rsidRPr="0094697E">
        <w:rPr>
          <w:rFonts w:ascii="Times New Roman" w:eastAsia="Calibri" w:hAnsi="Times New Roman" w:cs="Times New Roman"/>
        </w:rPr>
        <w:t>.</w:t>
      </w:r>
    </w:p>
    <w:p w:rsidR="00051771" w:rsidRPr="0094697E" w:rsidRDefault="00A56E8D" w:rsidP="00633C6B">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Similarly for Russia and Ukraine, individual electricity processes for coal were unavailable from </w:t>
      </w:r>
      <w:r w:rsidR="004D2D91" w:rsidRPr="0094697E">
        <w:rPr>
          <w:rFonts w:ascii="Times New Roman" w:eastAsia="Calibri" w:hAnsi="Times New Roman" w:cs="Times New Roman"/>
        </w:rPr>
        <w:t>GaBi</w:t>
      </w:r>
      <w:r w:rsidRPr="0094697E">
        <w:rPr>
          <w:rFonts w:ascii="Times New Roman" w:eastAsia="Calibri" w:hAnsi="Times New Roman" w:cs="Times New Roman"/>
        </w:rPr>
        <w:t xml:space="preserve">. Alternatives such as an average EU-27 process was considered but since </w:t>
      </w:r>
      <w:r w:rsidR="000217D9" w:rsidRPr="0094697E">
        <w:rPr>
          <w:rFonts w:ascii="Times New Roman" w:eastAsia="Calibri" w:hAnsi="Times New Roman" w:cs="Times New Roman"/>
        </w:rPr>
        <w:t>these were</w:t>
      </w:r>
      <w:r w:rsidRPr="0094697E">
        <w:rPr>
          <w:rFonts w:ascii="Times New Roman" w:eastAsia="Calibri" w:hAnsi="Times New Roman" w:cs="Times New Roman"/>
        </w:rPr>
        <w:t xml:space="preserve"> not obtainable, focus shifted to individual countries</w:t>
      </w:r>
      <w:r w:rsidR="00633C6B" w:rsidRPr="0094697E">
        <w:rPr>
          <w:rFonts w:ascii="Times New Roman" w:eastAsia="Calibri" w:hAnsi="Times New Roman" w:cs="Times New Roman"/>
        </w:rPr>
        <w:t>, such as Germany</w:t>
      </w:r>
      <w:r w:rsidRPr="0094697E">
        <w:rPr>
          <w:rFonts w:ascii="Times New Roman" w:eastAsia="Calibri" w:hAnsi="Times New Roman" w:cs="Times New Roman"/>
        </w:rPr>
        <w:t>.</w:t>
      </w:r>
      <w:r w:rsidR="00633C6B" w:rsidRPr="0094697E">
        <w:rPr>
          <w:rFonts w:ascii="Times New Roman" w:eastAsia="Calibri" w:hAnsi="Times New Roman" w:cs="Times New Roman"/>
        </w:rPr>
        <w:t xml:space="preserve"> Selection of Germany was </w:t>
      </w:r>
      <w:r w:rsidR="00FC536F" w:rsidRPr="0094697E">
        <w:rPr>
          <w:rFonts w:ascii="Times New Roman" w:eastAsia="Calibri" w:hAnsi="Times New Roman" w:cs="Times New Roman"/>
        </w:rPr>
        <w:t>firstly based on type of coal</w:t>
      </w:r>
      <w:r w:rsidR="00633C6B" w:rsidRPr="0094697E">
        <w:rPr>
          <w:rFonts w:ascii="Times New Roman" w:eastAsia="Calibri" w:hAnsi="Times New Roman" w:cs="Times New Roman"/>
        </w:rPr>
        <w:t>,</w:t>
      </w:r>
      <w:r w:rsidR="00FC536F" w:rsidRPr="0094697E">
        <w:rPr>
          <w:rFonts w:ascii="Times New Roman" w:eastAsia="Calibri" w:hAnsi="Times New Roman" w:cs="Times New Roman"/>
        </w:rPr>
        <w:t xml:space="preserve"> </w:t>
      </w:r>
      <w:r w:rsidR="00633C6B" w:rsidRPr="0094697E">
        <w:rPr>
          <w:rFonts w:ascii="Times New Roman" w:eastAsia="Calibri" w:hAnsi="Times New Roman" w:cs="Times New Roman"/>
        </w:rPr>
        <w:t>since Germany was</w:t>
      </w:r>
      <w:r w:rsidR="00A0067F" w:rsidRPr="0094697E">
        <w:rPr>
          <w:rFonts w:ascii="Times New Roman" w:eastAsia="Calibri" w:hAnsi="Times New Roman" w:cs="Times New Roman"/>
        </w:rPr>
        <w:t xml:space="preserve"> </w:t>
      </w:r>
      <w:r w:rsidR="00FC536F" w:rsidRPr="0094697E">
        <w:rPr>
          <w:rFonts w:ascii="Times New Roman" w:eastAsia="Calibri" w:hAnsi="Times New Roman" w:cs="Times New Roman"/>
        </w:rPr>
        <w:t>pre-dominantly lignite based (99.9%) compared to Russ</w:t>
      </w:r>
      <w:r w:rsidR="00051771" w:rsidRPr="0094697E">
        <w:rPr>
          <w:rFonts w:ascii="Times New Roman" w:eastAsia="Calibri" w:hAnsi="Times New Roman" w:cs="Times New Roman"/>
        </w:rPr>
        <w:t>ia (68.7% and Ukraine (54.7%)</w:t>
      </w:r>
      <w:r w:rsidR="00FC536F" w:rsidRPr="0094697E">
        <w:rPr>
          <w:rFonts w:ascii="Times New Roman" w:eastAsia="Calibri" w:hAnsi="Times New Roman" w:cs="Times New Roman"/>
        </w:rPr>
        <w:t xml:space="preserve"> </w:t>
      </w:r>
      <w:r w:rsidR="00FC536F" w:rsidRPr="0094697E">
        <w:rPr>
          <w:rFonts w:ascii="Times New Roman" w:eastAsia="Calibri" w:hAnsi="Times New Roman" w:cs="Times New Roman"/>
          <w:noProof/>
        </w:rPr>
        <w:t>(World Energy Council 2013)</w:t>
      </w:r>
      <w:r w:rsidR="00FC536F" w:rsidRPr="0094697E">
        <w:rPr>
          <w:rFonts w:ascii="Times New Roman" w:eastAsia="Calibri" w:hAnsi="Times New Roman" w:cs="Times New Roman"/>
        </w:rPr>
        <w:t>. Secondly, both Germany and Ukraine use coal as the major fuel</w:t>
      </w:r>
      <w:r w:rsidR="00051771" w:rsidRPr="0094697E">
        <w:rPr>
          <w:rFonts w:ascii="Times New Roman" w:eastAsia="Calibri" w:hAnsi="Times New Roman" w:cs="Times New Roman"/>
        </w:rPr>
        <w:t xml:space="preserve"> source for </w:t>
      </w:r>
      <w:r w:rsidR="00FC536F" w:rsidRPr="0094697E">
        <w:rPr>
          <w:rFonts w:ascii="Times New Roman" w:eastAsia="Calibri" w:hAnsi="Times New Roman" w:cs="Times New Roman"/>
        </w:rPr>
        <w:t>electricity</w:t>
      </w:r>
      <w:r w:rsidR="00051771" w:rsidRPr="0094697E">
        <w:rPr>
          <w:rFonts w:ascii="Times New Roman" w:eastAsia="Calibri" w:hAnsi="Times New Roman" w:cs="Times New Roman"/>
        </w:rPr>
        <w:t xml:space="preserve"> production contributing 46% and 42% respectively. On the other hand, coal only contributes 15% of Russian electricity production which is primarily from nuclear energy. H</w:t>
      </w:r>
      <w:r w:rsidR="00633C6B" w:rsidRPr="0094697E">
        <w:rPr>
          <w:rFonts w:ascii="Times New Roman" w:eastAsia="Calibri" w:hAnsi="Times New Roman" w:cs="Times New Roman"/>
        </w:rPr>
        <w:t>owever, with a lack of alternative countries</w:t>
      </w:r>
      <w:r w:rsidR="00051771" w:rsidRPr="0094697E">
        <w:rPr>
          <w:rFonts w:ascii="Times New Roman" w:eastAsia="Calibri" w:hAnsi="Times New Roman" w:cs="Times New Roman"/>
        </w:rPr>
        <w:t xml:space="preserve"> in </w:t>
      </w:r>
      <w:r w:rsidR="004D2D91" w:rsidRPr="0094697E">
        <w:rPr>
          <w:rFonts w:ascii="Times New Roman" w:eastAsia="Calibri" w:hAnsi="Times New Roman" w:cs="Times New Roman"/>
        </w:rPr>
        <w:t>GaBi</w:t>
      </w:r>
      <w:r w:rsidR="00051771" w:rsidRPr="0094697E">
        <w:rPr>
          <w:rFonts w:ascii="Times New Roman" w:eastAsia="Calibri" w:hAnsi="Times New Roman" w:cs="Times New Roman"/>
        </w:rPr>
        <w:t>, Germany was selected has the only representative process.</w:t>
      </w:r>
    </w:p>
    <w:p w:rsidR="00DC61C4" w:rsidRPr="0094697E" w:rsidRDefault="00051771" w:rsidP="00357DC1">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As regards to </w:t>
      </w:r>
      <w:r w:rsidR="00DC61C4" w:rsidRPr="0094697E">
        <w:rPr>
          <w:rFonts w:ascii="Times New Roman" w:eastAsia="Calibri" w:hAnsi="Times New Roman" w:cs="Times New Roman"/>
        </w:rPr>
        <w:t>New Caledonia</w:t>
      </w:r>
      <w:r w:rsidRPr="0094697E">
        <w:rPr>
          <w:rFonts w:ascii="Times New Roman" w:eastAsia="Calibri" w:hAnsi="Times New Roman" w:cs="Times New Roman"/>
        </w:rPr>
        <w:t>, this was</w:t>
      </w:r>
      <w:r w:rsidR="00DC61C4" w:rsidRPr="0094697E">
        <w:rPr>
          <w:rFonts w:ascii="Times New Roman" w:eastAsia="Calibri" w:hAnsi="Times New Roman" w:cs="Times New Roman"/>
        </w:rPr>
        <w:t xml:space="preserve"> unique to model</w:t>
      </w:r>
      <w:r w:rsidR="00633C6B" w:rsidRPr="0094697E">
        <w:rPr>
          <w:rFonts w:ascii="Times New Roman" w:eastAsia="Calibri" w:hAnsi="Times New Roman" w:cs="Times New Roman"/>
        </w:rPr>
        <w:t xml:space="preserve"> because of its size, geography and being the </w:t>
      </w:r>
      <w:r w:rsidR="00DC61C4" w:rsidRPr="0094697E">
        <w:rPr>
          <w:rFonts w:ascii="Times New Roman" w:eastAsia="Calibri" w:hAnsi="Times New Roman" w:cs="Times New Roman"/>
        </w:rPr>
        <w:t xml:space="preserve">world’s third largest </w:t>
      </w:r>
      <w:r w:rsidR="00633C6B" w:rsidRPr="0094697E">
        <w:rPr>
          <w:rFonts w:ascii="Times New Roman" w:eastAsia="Calibri" w:hAnsi="Times New Roman" w:cs="Times New Roman"/>
        </w:rPr>
        <w:t>ferro-nickel producer. There were</w:t>
      </w:r>
      <w:r w:rsidR="00DC61C4" w:rsidRPr="0094697E">
        <w:rPr>
          <w:rFonts w:ascii="Times New Roman" w:eastAsia="Calibri" w:hAnsi="Times New Roman" w:cs="Times New Roman"/>
        </w:rPr>
        <w:t xml:space="preserve"> no other islands or similar countries to which New Caledonia co</w:t>
      </w:r>
      <w:r w:rsidRPr="0094697E">
        <w:rPr>
          <w:rFonts w:ascii="Times New Roman" w:eastAsia="Calibri" w:hAnsi="Times New Roman" w:cs="Times New Roman"/>
        </w:rPr>
        <w:t>uld be based upon. For these reasons</w:t>
      </w:r>
      <w:r w:rsidR="00DC61C4" w:rsidRPr="0094697E">
        <w:rPr>
          <w:rFonts w:ascii="Times New Roman" w:eastAsia="Calibri" w:hAnsi="Times New Roman" w:cs="Times New Roman"/>
        </w:rPr>
        <w:t>, Australia was chosen</w:t>
      </w:r>
      <w:r w:rsidRPr="0094697E">
        <w:rPr>
          <w:rFonts w:ascii="Times New Roman" w:eastAsia="Calibri" w:hAnsi="Times New Roman" w:cs="Times New Roman"/>
        </w:rPr>
        <w:t xml:space="preserve"> principally</w:t>
      </w:r>
      <w:r w:rsidR="00DC61C4" w:rsidRPr="0094697E">
        <w:rPr>
          <w:rFonts w:ascii="Times New Roman" w:eastAsia="Calibri" w:hAnsi="Times New Roman" w:cs="Times New Roman"/>
        </w:rPr>
        <w:t xml:space="preserve"> based on geographical location </w:t>
      </w:r>
      <w:r w:rsidRPr="0094697E">
        <w:rPr>
          <w:rFonts w:ascii="Times New Roman" w:eastAsia="Calibri" w:hAnsi="Times New Roman" w:cs="Times New Roman"/>
        </w:rPr>
        <w:t xml:space="preserve">but is a </w:t>
      </w:r>
      <w:r w:rsidR="00DC61C4" w:rsidRPr="0094697E">
        <w:rPr>
          <w:rFonts w:ascii="Times New Roman" w:eastAsia="Calibri" w:hAnsi="Times New Roman" w:cs="Times New Roman"/>
        </w:rPr>
        <w:t>worst case scenario.</w:t>
      </w:r>
    </w:p>
    <w:p w:rsidR="00357DC1" w:rsidRPr="0094697E" w:rsidRDefault="00357DC1" w:rsidP="00357DC1">
      <w:pPr>
        <w:spacing w:after="0" w:line="360" w:lineRule="auto"/>
        <w:ind w:firstLine="720"/>
        <w:jc w:val="both"/>
        <w:rPr>
          <w:rFonts w:ascii="Times New Roman" w:eastAsia="Calibri" w:hAnsi="Times New Roman" w:cs="Times New Roman"/>
        </w:rPr>
      </w:pPr>
    </w:p>
    <w:p w:rsidR="00C06930" w:rsidRPr="0094697E" w:rsidRDefault="0065500E" w:rsidP="00C06930">
      <w:pPr>
        <w:rPr>
          <w:rFonts w:ascii="Times New Roman" w:eastAsia="Calibri Light" w:hAnsi="Times New Roman" w:cs="Times New Roman"/>
          <w:b/>
        </w:rPr>
      </w:pPr>
      <w:r w:rsidRPr="0094697E">
        <w:rPr>
          <w:rFonts w:ascii="Times New Roman" w:eastAsia="Calibri Light" w:hAnsi="Times New Roman" w:cs="Times New Roman"/>
          <w:b/>
        </w:rPr>
        <w:t xml:space="preserve">ii) </w:t>
      </w:r>
      <w:r w:rsidR="00DC61C4" w:rsidRPr="0094697E">
        <w:rPr>
          <w:rFonts w:ascii="Times New Roman" w:eastAsia="Calibri Light" w:hAnsi="Times New Roman" w:cs="Times New Roman"/>
          <w:b/>
        </w:rPr>
        <w:t>Selection of electricity process for oil</w:t>
      </w:r>
      <w:r w:rsidR="00C06930" w:rsidRPr="0094697E">
        <w:rPr>
          <w:rFonts w:ascii="Times New Roman" w:eastAsia="Calibri Light" w:hAnsi="Times New Roman" w:cs="Times New Roman"/>
          <w:b/>
        </w:rPr>
        <w:t xml:space="preserve"> </w:t>
      </w:r>
    </w:p>
    <w:p w:rsidR="00373CDD" w:rsidRPr="0094697E" w:rsidRDefault="00DC61C4" w:rsidP="00373CDD">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For China, selection of electricity process for oil from India was nominated because both nations are emerging economies. China and India’s global ranking for consumption and imports are identical along with their trade patterns. Although India’s electricity generation by oil is </w:t>
      </w:r>
      <w:r w:rsidR="00C06930" w:rsidRPr="0094697E">
        <w:rPr>
          <w:rFonts w:ascii="Times New Roman" w:eastAsia="Calibri" w:hAnsi="Times New Roman" w:cs="Times New Roman"/>
        </w:rPr>
        <w:t>three times higher than China’s,</w:t>
      </w:r>
      <w:r w:rsidRPr="0094697E">
        <w:rPr>
          <w:rFonts w:ascii="Times New Roman" w:eastAsia="Calibri" w:hAnsi="Times New Roman" w:cs="Times New Roman"/>
        </w:rPr>
        <w:t xml:space="preserve"> oil is not a major fuel source for electricity generation for either nation </w:t>
      </w:r>
      <w:r w:rsidR="00EF5C49" w:rsidRPr="0094697E">
        <w:rPr>
          <w:rFonts w:ascii="Times New Roman" w:eastAsia="Calibri" w:hAnsi="Times New Roman" w:cs="Times New Roman"/>
          <w:noProof/>
        </w:rPr>
        <w:t>(IEA 2015</w:t>
      </w:r>
      <w:r w:rsidR="002C3E4A" w:rsidRPr="0094697E">
        <w:rPr>
          <w:rFonts w:ascii="Times New Roman" w:eastAsia="Calibri" w:hAnsi="Times New Roman" w:cs="Times New Roman"/>
          <w:noProof/>
        </w:rPr>
        <w:t>)</w:t>
      </w:r>
      <w:r w:rsidRPr="0094697E">
        <w:rPr>
          <w:rFonts w:ascii="Times New Roman" w:eastAsia="Calibri" w:hAnsi="Times New Roman" w:cs="Times New Roman"/>
        </w:rPr>
        <w:t>. Alternatively, Japan cou</w:t>
      </w:r>
      <w:r w:rsidR="00C06930" w:rsidRPr="0094697E">
        <w:rPr>
          <w:rFonts w:ascii="Times New Roman" w:eastAsia="Calibri" w:hAnsi="Times New Roman" w:cs="Times New Roman"/>
        </w:rPr>
        <w:t xml:space="preserve">ld have been picked since it </w:t>
      </w:r>
      <w:r w:rsidRPr="0094697E">
        <w:rPr>
          <w:rFonts w:ascii="Times New Roman" w:eastAsia="Calibri" w:hAnsi="Times New Roman" w:cs="Times New Roman"/>
        </w:rPr>
        <w:t>ranked similarly</w:t>
      </w:r>
      <w:r w:rsidR="00C06930" w:rsidRPr="0094697E">
        <w:rPr>
          <w:rFonts w:ascii="Times New Roman" w:eastAsia="Calibri" w:hAnsi="Times New Roman" w:cs="Times New Roman"/>
        </w:rPr>
        <w:t xml:space="preserve"> to China</w:t>
      </w:r>
      <w:r w:rsidRPr="0094697E">
        <w:rPr>
          <w:rFonts w:ascii="Times New Roman" w:eastAsia="Calibri" w:hAnsi="Times New Roman" w:cs="Times New Roman"/>
        </w:rPr>
        <w:t xml:space="preserve">, </w:t>
      </w:r>
      <w:r w:rsidR="00C06930" w:rsidRPr="0094697E">
        <w:rPr>
          <w:rFonts w:ascii="Times New Roman" w:eastAsia="Calibri" w:hAnsi="Times New Roman" w:cs="Times New Roman"/>
        </w:rPr>
        <w:t>in terms of</w:t>
      </w:r>
      <w:r w:rsidRPr="0094697E">
        <w:rPr>
          <w:rFonts w:ascii="Times New Roman" w:eastAsia="Calibri" w:hAnsi="Times New Roman" w:cs="Times New Roman"/>
        </w:rPr>
        <w:t xml:space="preserve"> </w:t>
      </w:r>
      <w:r w:rsidR="00C06930" w:rsidRPr="0094697E">
        <w:rPr>
          <w:rFonts w:ascii="Times New Roman" w:eastAsia="Calibri" w:hAnsi="Times New Roman" w:cs="Times New Roman"/>
        </w:rPr>
        <w:t>global consumption and imports, but India was the better choice particularly in terms of future development.</w:t>
      </w:r>
    </w:p>
    <w:p w:rsidR="00661591" w:rsidRPr="0094697E" w:rsidRDefault="00DC61C4" w:rsidP="00661591">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For</w:t>
      </w:r>
      <w:r w:rsidR="00373CDD" w:rsidRPr="0094697E">
        <w:rPr>
          <w:rFonts w:ascii="Times New Roman" w:eastAsia="Calibri" w:hAnsi="Times New Roman" w:cs="Times New Roman"/>
        </w:rPr>
        <w:t xml:space="preserve"> Russia, India was also selected</w:t>
      </w:r>
      <w:r w:rsidRPr="0094697E">
        <w:rPr>
          <w:rFonts w:ascii="Times New Roman" w:eastAsia="Calibri" w:hAnsi="Times New Roman" w:cs="Times New Roman"/>
        </w:rPr>
        <w:t xml:space="preserve"> because o</w:t>
      </w:r>
      <w:r w:rsidR="00373CDD" w:rsidRPr="0094697E">
        <w:rPr>
          <w:rFonts w:ascii="Times New Roman" w:eastAsia="Calibri" w:hAnsi="Times New Roman" w:cs="Times New Roman"/>
        </w:rPr>
        <w:t>f its emerging economy status, b</w:t>
      </w:r>
      <w:r w:rsidRPr="0094697E">
        <w:rPr>
          <w:rFonts w:ascii="Times New Roman" w:eastAsia="Calibri" w:hAnsi="Times New Roman" w:cs="Times New Roman"/>
        </w:rPr>
        <w:t>ut also due to lack of an appropriate process from an EU-27 country. In</w:t>
      </w:r>
      <w:r w:rsidR="00373CDD" w:rsidRPr="0094697E">
        <w:rPr>
          <w:rFonts w:ascii="Times New Roman" w:eastAsia="Calibri" w:hAnsi="Times New Roman" w:cs="Times New Roman"/>
        </w:rPr>
        <w:t xml:space="preserve"> terms of</w:t>
      </w:r>
      <w:r w:rsidRPr="0094697E">
        <w:rPr>
          <w:rFonts w:ascii="Times New Roman" w:eastAsia="Calibri" w:hAnsi="Times New Roman" w:cs="Times New Roman"/>
        </w:rPr>
        <w:t xml:space="preserve"> Europe, Russia dominates </w:t>
      </w:r>
      <w:r w:rsidR="00373CDD" w:rsidRPr="0094697E">
        <w:rPr>
          <w:rFonts w:ascii="Times New Roman" w:eastAsia="Calibri" w:hAnsi="Times New Roman" w:cs="Times New Roman"/>
        </w:rPr>
        <w:t xml:space="preserve">global production accounting for 12.9% followed by Norway </w:t>
      </w:r>
      <w:r w:rsidR="00C06930" w:rsidRPr="0094697E">
        <w:rPr>
          <w:rFonts w:ascii="Times New Roman" w:eastAsia="Calibri" w:hAnsi="Times New Roman" w:cs="Times New Roman"/>
        </w:rPr>
        <w:t>at 2% respectively</w:t>
      </w:r>
      <w:r w:rsidR="00373CDD" w:rsidRPr="0094697E">
        <w:rPr>
          <w:rFonts w:ascii="Times New Roman" w:eastAsia="Calibri" w:hAnsi="Times New Roman" w:cs="Times New Roman"/>
        </w:rPr>
        <w:t xml:space="preserve"> </w:t>
      </w:r>
      <w:r w:rsidR="00373CDD" w:rsidRPr="0094697E">
        <w:rPr>
          <w:rFonts w:ascii="Times New Roman" w:eastAsia="Calibri" w:hAnsi="Times New Roman" w:cs="Times New Roman"/>
          <w:noProof/>
        </w:rPr>
        <w:t>(</w:t>
      </w:r>
      <w:r w:rsidR="00DE0181" w:rsidRPr="0094697E">
        <w:rPr>
          <w:rFonts w:ascii="Times New Roman" w:eastAsia="Calibri" w:hAnsi="Times New Roman" w:cs="Times New Roman"/>
          <w:noProof/>
        </w:rPr>
        <w:t>Finley</w:t>
      </w:r>
      <w:r w:rsidR="009051E4" w:rsidRPr="0094697E">
        <w:rPr>
          <w:rFonts w:ascii="Times New Roman" w:eastAsia="Calibri" w:hAnsi="Times New Roman" w:cs="Times New Roman"/>
          <w:noProof/>
        </w:rPr>
        <w:t>,</w:t>
      </w:r>
      <w:r w:rsidR="00DE0181" w:rsidRPr="0094697E">
        <w:rPr>
          <w:rFonts w:ascii="Times New Roman" w:eastAsia="Calibri" w:hAnsi="Times New Roman" w:cs="Times New Roman"/>
          <w:noProof/>
        </w:rPr>
        <w:t xml:space="preserve"> 2013</w:t>
      </w:r>
      <w:r w:rsidR="00373CDD" w:rsidRPr="0094697E">
        <w:rPr>
          <w:rFonts w:ascii="Times New Roman" w:eastAsia="Calibri" w:hAnsi="Times New Roman" w:cs="Times New Roman"/>
          <w:noProof/>
        </w:rPr>
        <w:t>)</w:t>
      </w:r>
      <w:r w:rsidR="00C06930" w:rsidRPr="0094697E">
        <w:rPr>
          <w:rFonts w:ascii="Times New Roman" w:eastAsia="Calibri" w:hAnsi="Times New Roman" w:cs="Times New Roman"/>
        </w:rPr>
        <w:t>.</w:t>
      </w:r>
      <w:r w:rsidR="00373CDD" w:rsidRPr="0094697E">
        <w:rPr>
          <w:rFonts w:ascii="Times New Roman" w:eastAsia="Calibri" w:hAnsi="Times New Roman" w:cs="Times New Roman"/>
        </w:rPr>
        <w:t xml:space="preserve"> </w:t>
      </w:r>
      <w:r w:rsidRPr="0094697E">
        <w:rPr>
          <w:rFonts w:ascii="Times New Roman" w:eastAsia="Calibri" w:hAnsi="Times New Roman" w:cs="Times New Roman"/>
        </w:rPr>
        <w:t>The majority of Russi</w:t>
      </w:r>
      <w:r w:rsidR="00373CDD" w:rsidRPr="0094697E">
        <w:rPr>
          <w:rFonts w:ascii="Times New Roman" w:eastAsia="Calibri" w:hAnsi="Times New Roman" w:cs="Times New Roman"/>
        </w:rPr>
        <w:t>a's crude oil exports (79%) go</w:t>
      </w:r>
      <w:r w:rsidRPr="0094697E">
        <w:rPr>
          <w:rFonts w:ascii="Times New Roman" w:eastAsia="Calibri" w:hAnsi="Times New Roman" w:cs="Times New Roman"/>
        </w:rPr>
        <w:t xml:space="preserve"> to European countries (including Eastern Europe), particularly Germany, Netherlands, and Poland. Since the majority of European countries are importers of oil and not exporters, a European country was not selected. In addition Europe does not have the capacity that other countries have i.e. India, China that can represent modelling Russia.</w:t>
      </w:r>
    </w:p>
    <w:p w:rsidR="00661591" w:rsidRPr="0094697E" w:rsidRDefault="00DC61C4" w:rsidP="00661591">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Electricity generation </w:t>
      </w:r>
      <w:r w:rsidR="00373CDD" w:rsidRPr="0094697E">
        <w:rPr>
          <w:rFonts w:ascii="Times New Roman" w:eastAsia="Calibri" w:hAnsi="Times New Roman" w:cs="Times New Roman"/>
        </w:rPr>
        <w:t>from</w:t>
      </w:r>
      <w:r w:rsidR="00911673" w:rsidRPr="0094697E">
        <w:rPr>
          <w:rFonts w:ascii="Times New Roman" w:eastAsia="Calibri" w:hAnsi="Times New Roman" w:cs="Times New Roman"/>
        </w:rPr>
        <w:t xml:space="preserve"> oil was very low for Kazakhstan (0.63</w:t>
      </w:r>
      <w:r w:rsidRPr="0094697E">
        <w:rPr>
          <w:rFonts w:ascii="Times New Roman" w:eastAsia="Calibri" w:hAnsi="Times New Roman" w:cs="Times New Roman"/>
        </w:rPr>
        <w:t>%), South Afri</w:t>
      </w:r>
      <w:r w:rsidR="00911673" w:rsidRPr="0094697E">
        <w:rPr>
          <w:rFonts w:ascii="Times New Roman" w:eastAsia="Calibri" w:hAnsi="Times New Roman" w:cs="Times New Roman"/>
        </w:rPr>
        <w:t xml:space="preserve">ca (0.07%) and Ukraine (0.20%) </w:t>
      </w:r>
      <w:r w:rsidR="00EF5C49" w:rsidRPr="0094697E">
        <w:rPr>
          <w:rFonts w:ascii="Times New Roman" w:eastAsia="Calibri" w:hAnsi="Times New Roman" w:cs="Times New Roman"/>
          <w:noProof/>
        </w:rPr>
        <w:t>(IEA 2015</w:t>
      </w:r>
      <w:r w:rsidR="002C3E4A" w:rsidRPr="0094697E">
        <w:rPr>
          <w:rFonts w:ascii="Times New Roman" w:eastAsia="Calibri" w:hAnsi="Times New Roman" w:cs="Times New Roman"/>
          <w:noProof/>
        </w:rPr>
        <w:t>)</w:t>
      </w:r>
      <w:r w:rsidR="00661591" w:rsidRPr="0094697E">
        <w:rPr>
          <w:rFonts w:ascii="Times New Roman" w:eastAsia="Calibri" w:hAnsi="Times New Roman" w:cs="Times New Roman"/>
        </w:rPr>
        <w:t xml:space="preserve">.  For South Africa, a process from an African country would have been ideal to utilise but no such countries were present in </w:t>
      </w:r>
      <w:r w:rsidR="004D2D91" w:rsidRPr="0094697E">
        <w:rPr>
          <w:rFonts w:ascii="Times New Roman" w:eastAsia="Calibri" w:hAnsi="Times New Roman" w:cs="Times New Roman"/>
        </w:rPr>
        <w:t>GaBi</w:t>
      </w:r>
      <w:r w:rsidR="00661591" w:rsidRPr="0094697E">
        <w:rPr>
          <w:rFonts w:ascii="Times New Roman" w:eastAsia="Calibri" w:hAnsi="Times New Roman" w:cs="Times New Roman"/>
        </w:rPr>
        <w:t xml:space="preserve">. Thus the process from Germany was selected since it also had a very low percentage of electricity generation by oil (1.21%). </w:t>
      </w:r>
    </w:p>
    <w:p w:rsidR="00661591" w:rsidRPr="0094697E" w:rsidRDefault="00661591" w:rsidP="009C45EE">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For New Caledonia, Australia was chosen as a worst case scenario as well as based on nearest geographical location.</w:t>
      </w:r>
    </w:p>
    <w:p w:rsidR="00DC61C4" w:rsidRPr="0094697E" w:rsidRDefault="0065500E" w:rsidP="0065500E">
      <w:pPr>
        <w:rPr>
          <w:rFonts w:ascii="Times New Roman" w:eastAsia="Calibri Light" w:hAnsi="Times New Roman" w:cs="Times New Roman"/>
          <w:b/>
        </w:rPr>
      </w:pPr>
      <w:r w:rsidRPr="0094697E">
        <w:rPr>
          <w:rFonts w:ascii="Times New Roman" w:eastAsia="Calibri Light" w:hAnsi="Times New Roman" w:cs="Times New Roman"/>
          <w:b/>
        </w:rPr>
        <w:lastRenderedPageBreak/>
        <w:t xml:space="preserve">iii) </w:t>
      </w:r>
      <w:r w:rsidR="00DC61C4" w:rsidRPr="0094697E">
        <w:rPr>
          <w:rFonts w:ascii="Times New Roman" w:eastAsia="Calibri Light" w:hAnsi="Times New Roman" w:cs="Times New Roman"/>
          <w:b/>
        </w:rPr>
        <w:t>Selection of electricity process for natural gas</w:t>
      </w:r>
    </w:p>
    <w:p w:rsidR="00823311" w:rsidRPr="0094697E" w:rsidRDefault="00CF1C60" w:rsidP="00823311">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In terms of selection of an electricity process for natural gas, a process from China was unavailable and so an alternative had to be used. </w:t>
      </w:r>
      <w:r w:rsidR="00DC61C4" w:rsidRPr="0094697E">
        <w:rPr>
          <w:rFonts w:ascii="Times New Roman" w:eastAsia="Calibri" w:hAnsi="Times New Roman" w:cs="Times New Roman"/>
        </w:rPr>
        <w:t xml:space="preserve">Although natural gas </w:t>
      </w:r>
      <w:r w:rsidRPr="0094697E">
        <w:rPr>
          <w:rFonts w:ascii="Times New Roman" w:eastAsia="Calibri" w:hAnsi="Times New Roman" w:cs="Times New Roman"/>
        </w:rPr>
        <w:t>usage is</w:t>
      </w:r>
      <w:r w:rsidR="00DC61C4" w:rsidRPr="0094697E">
        <w:rPr>
          <w:rFonts w:ascii="Times New Roman" w:eastAsia="Calibri" w:hAnsi="Times New Roman" w:cs="Times New Roman"/>
        </w:rPr>
        <w:t xml:space="preserve"> </w:t>
      </w:r>
      <w:r w:rsidRPr="0094697E">
        <w:rPr>
          <w:rFonts w:ascii="Times New Roman" w:eastAsia="Calibri" w:hAnsi="Times New Roman" w:cs="Times New Roman"/>
        </w:rPr>
        <w:t>increasing in China, it only contributed</w:t>
      </w:r>
      <w:r w:rsidR="00DC61C4" w:rsidRPr="0094697E">
        <w:rPr>
          <w:rFonts w:ascii="Times New Roman" w:eastAsia="Calibri" w:hAnsi="Times New Roman" w:cs="Times New Roman"/>
        </w:rPr>
        <w:t xml:space="preserve"> 2% of the country's tota</w:t>
      </w:r>
      <w:r w:rsidRPr="0094697E">
        <w:rPr>
          <w:rFonts w:ascii="Times New Roman" w:eastAsia="Calibri" w:hAnsi="Times New Roman" w:cs="Times New Roman"/>
        </w:rPr>
        <w:t>l electricity generation in 2013</w:t>
      </w:r>
      <w:r w:rsidR="002C3E4A" w:rsidRPr="0094697E">
        <w:rPr>
          <w:rFonts w:ascii="Times New Roman" w:eastAsia="Calibri" w:hAnsi="Times New Roman" w:cs="Times New Roman"/>
          <w:noProof/>
        </w:rPr>
        <w:t>(IEA</w:t>
      </w:r>
      <w:r w:rsidR="00EF5C49" w:rsidRPr="0094697E">
        <w:rPr>
          <w:rFonts w:ascii="Times New Roman" w:eastAsia="Calibri" w:hAnsi="Times New Roman" w:cs="Times New Roman"/>
          <w:noProof/>
        </w:rPr>
        <w:t xml:space="preserve"> 2015</w:t>
      </w:r>
      <w:r w:rsidR="002C3E4A" w:rsidRPr="0094697E">
        <w:rPr>
          <w:rFonts w:ascii="Times New Roman" w:eastAsia="Calibri" w:hAnsi="Times New Roman" w:cs="Times New Roman"/>
          <w:noProof/>
        </w:rPr>
        <w:t>)</w:t>
      </w:r>
      <w:r w:rsidR="00DC61C4" w:rsidRPr="0094697E">
        <w:rPr>
          <w:rFonts w:ascii="Times New Roman" w:eastAsia="Calibri" w:hAnsi="Times New Roman" w:cs="Times New Roman"/>
        </w:rPr>
        <w:t xml:space="preserve">. </w:t>
      </w:r>
      <w:r w:rsidRPr="0094697E">
        <w:rPr>
          <w:rFonts w:ascii="Times New Roman" w:eastAsia="Calibri" w:hAnsi="Times New Roman" w:cs="Times New Roman"/>
        </w:rPr>
        <w:t xml:space="preserve">Alternatives such as India, Japan or South Korea were investigated to deduce a suitable substitute. The natural gas process for South Korea was disregarded due to its unavailability in </w:t>
      </w:r>
      <w:r w:rsidR="004D2D91" w:rsidRPr="0094697E">
        <w:rPr>
          <w:rFonts w:ascii="Times New Roman" w:eastAsia="Calibri" w:hAnsi="Times New Roman" w:cs="Times New Roman"/>
        </w:rPr>
        <w:t>GaBi</w:t>
      </w:r>
      <w:r w:rsidRPr="0094697E">
        <w:rPr>
          <w:rFonts w:ascii="Times New Roman" w:eastAsia="Calibri" w:hAnsi="Times New Roman" w:cs="Times New Roman"/>
        </w:rPr>
        <w:t>, leaving processes from either India or Japan.</w:t>
      </w:r>
      <w:r w:rsidR="00823311" w:rsidRPr="0094697E">
        <w:rPr>
          <w:rFonts w:ascii="Times New Roman" w:eastAsia="Calibri" w:hAnsi="Times New Roman" w:cs="Times New Roman"/>
        </w:rPr>
        <w:t xml:space="preserve"> Eventually India was selected due to more similarities with China particularly since natural gas is not the main source of fuel for electricity production whereas in Japan it is.</w:t>
      </w:r>
    </w:p>
    <w:p w:rsidR="00BD7BA4" w:rsidRPr="0094697E" w:rsidRDefault="00DC61C4" w:rsidP="00BD7BA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For Kazakhstan</w:t>
      </w:r>
      <w:r w:rsidR="00823311" w:rsidRPr="0094697E">
        <w:rPr>
          <w:rFonts w:ascii="Times New Roman" w:eastAsia="Calibri" w:hAnsi="Times New Roman" w:cs="Times New Roman"/>
        </w:rPr>
        <w:t xml:space="preserve"> and Ukraine, Germany was selected as a proportional representative</w:t>
      </w:r>
      <w:r w:rsidRPr="0094697E">
        <w:rPr>
          <w:rFonts w:ascii="Times New Roman" w:eastAsia="Calibri" w:hAnsi="Times New Roman" w:cs="Times New Roman"/>
        </w:rPr>
        <w:t xml:space="preserve"> </w:t>
      </w:r>
      <w:r w:rsidR="00823311" w:rsidRPr="0094697E">
        <w:rPr>
          <w:rFonts w:ascii="Times New Roman" w:eastAsia="Calibri" w:hAnsi="Times New Roman" w:cs="Times New Roman"/>
        </w:rPr>
        <w:t>since natural gas was</w:t>
      </w:r>
      <w:r w:rsidRPr="0094697E">
        <w:rPr>
          <w:rFonts w:ascii="Times New Roman" w:eastAsia="Calibri" w:hAnsi="Times New Roman" w:cs="Times New Roman"/>
        </w:rPr>
        <w:t xml:space="preserve"> not a significant fuel</w:t>
      </w:r>
      <w:r w:rsidR="00823311" w:rsidRPr="0094697E">
        <w:rPr>
          <w:rFonts w:ascii="Times New Roman" w:eastAsia="Calibri" w:hAnsi="Times New Roman" w:cs="Times New Roman"/>
        </w:rPr>
        <w:t xml:space="preserve"> in terms of electricity production,</w:t>
      </w:r>
      <w:r w:rsidRPr="0094697E">
        <w:rPr>
          <w:rFonts w:ascii="Times New Roman" w:eastAsia="Calibri" w:hAnsi="Times New Roman" w:cs="Times New Roman"/>
        </w:rPr>
        <w:t xml:space="preserve"> for any of these countries,</w:t>
      </w:r>
      <w:r w:rsidR="00823311" w:rsidRPr="0094697E">
        <w:rPr>
          <w:rFonts w:ascii="Times New Roman" w:eastAsia="Calibri" w:hAnsi="Times New Roman" w:cs="Times New Roman"/>
        </w:rPr>
        <w:t xml:space="preserve"> with percentage values of 12%</w:t>
      </w:r>
      <w:r w:rsidR="00BD7BA4" w:rsidRPr="0094697E">
        <w:rPr>
          <w:rFonts w:ascii="Times New Roman" w:eastAsia="Calibri" w:hAnsi="Times New Roman" w:cs="Times New Roman"/>
        </w:rPr>
        <w:t xml:space="preserve"> </w:t>
      </w:r>
      <w:r w:rsidR="00823311" w:rsidRPr="0094697E">
        <w:rPr>
          <w:rFonts w:ascii="Times New Roman" w:eastAsia="Calibri" w:hAnsi="Times New Roman" w:cs="Times New Roman"/>
        </w:rPr>
        <w:t>(Germany), 10%</w:t>
      </w:r>
      <w:r w:rsidR="00BD7BA4" w:rsidRPr="0094697E">
        <w:rPr>
          <w:rFonts w:ascii="Times New Roman" w:eastAsia="Calibri" w:hAnsi="Times New Roman" w:cs="Times New Roman"/>
        </w:rPr>
        <w:t xml:space="preserve"> </w:t>
      </w:r>
      <w:r w:rsidR="00823311" w:rsidRPr="0094697E">
        <w:rPr>
          <w:rFonts w:ascii="Times New Roman" w:eastAsia="Calibri" w:hAnsi="Times New Roman" w:cs="Times New Roman"/>
        </w:rPr>
        <w:t>(Kazakhstan) and 7</w:t>
      </w:r>
      <w:r w:rsidRPr="0094697E">
        <w:rPr>
          <w:rFonts w:ascii="Times New Roman" w:eastAsia="Calibri" w:hAnsi="Times New Roman" w:cs="Times New Roman"/>
        </w:rPr>
        <w:t>%</w:t>
      </w:r>
      <w:r w:rsidR="00BD7BA4" w:rsidRPr="0094697E">
        <w:rPr>
          <w:rFonts w:ascii="Times New Roman" w:eastAsia="Calibri" w:hAnsi="Times New Roman" w:cs="Times New Roman"/>
        </w:rPr>
        <w:t xml:space="preserve"> (Ukraine) </w:t>
      </w:r>
      <w:r w:rsidR="00EF5C49" w:rsidRPr="0094697E">
        <w:rPr>
          <w:rFonts w:ascii="Times New Roman" w:eastAsia="Calibri" w:hAnsi="Times New Roman" w:cs="Times New Roman"/>
          <w:noProof/>
        </w:rPr>
        <w:t>(IEA 2015</w:t>
      </w:r>
      <w:r w:rsidR="002C3E4A" w:rsidRPr="0094697E">
        <w:rPr>
          <w:rFonts w:ascii="Times New Roman" w:eastAsia="Calibri" w:hAnsi="Times New Roman" w:cs="Times New Roman"/>
          <w:noProof/>
        </w:rPr>
        <w:t>)</w:t>
      </w:r>
      <w:r w:rsidRPr="0094697E">
        <w:rPr>
          <w:rFonts w:ascii="Times New Roman" w:eastAsia="Calibri" w:hAnsi="Times New Roman" w:cs="Times New Roman"/>
        </w:rPr>
        <w:t>.</w:t>
      </w:r>
    </w:p>
    <w:p w:rsidR="00BD7BA4" w:rsidRPr="0094697E" w:rsidRDefault="00DC61C4" w:rsidP="00BD7BA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In terms of</w:t>
      </w:r>
      <w:r w:rsidR="00BD7BA4" w:rsidRPr="0094697E">
        <w:rPr>
          <w:rFonts w:ascii="Times New Roman" w:eastAsia="Calibri" w:hAnsi="Times New Roman" w:cs="Times New Roman"/>
        </w:rPr>
        <w:t xml:space="preserve"> Russia, natural gas process from Japan was selected since it also utilises a lot of natural gas (38.43%) for electricity generation. A process from a European country could have been used but would not have been representative. Alternatively processes from Middle Eastern countries could also have been used but were unavailable in </w:t>
      </w:r>
      <w:r w:rsidR="004D2D91" w:rsidRPr="0094697E">
        <w:rPr>
          <w:rFonts w:ascii="Times New Roman" w:eastAsia="Calibri" w:hAnsi="Times New Roman" w:cs="Times New Roman"/>
        </w:rPr>
        <w:t>GaBi</w:t>
      </w:r>
      <w:r w:rsidR="00BD7BA4" w:rsidRPr="0094697E">
        <w:rPr>
          <w:rFonts w:ascii="Times New Roman" w:eastAsia="Calibri" w:hAnsi="Times New Roman" w:cs="Times New Roman"/>
        </w:rPr>
        <w:t>.</w:t>
      </w:r>
    </w:p>
    <w:p w:rsidR="00BF09EE" w:rsidRPr="0094697E" w:rsidRDefault="00BF09EE" w:rsidP="00BF09EE">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For</w:t>
      </w:r>
      <w:r w:rsidR="00CF3D5E" w:rsidRPr="0094697E">
        <w:rPr>
          <w:rFonts w:ascii="Times New Roman" w:eastAsia="Calibri" w:hAnsi="Times New Roman" w:cs="Times New Roman"/>
        </w:rPr>
        <w:t xml:space="preserve"> New Caledonia and</w:t>
      </w:r>
      <w:r w:rsidRPr="0094697E">
        <w:rPr>
          <w:rFonts w:ascii="Times New Roman" w:eastAsia="Calibri" w:hAnsi="Times New Roman" w:cs="Times New Roman"/>
        </w:rPr>
        <w:t xml:space="preserve"> South Africa, no process was required since electricity production from natural gas was negligible.</w:t>
      </w:r>
    </w:p>
    <w:p w:rsidR="00DC61C4" w:rsidRPr="0094697E" w:rsidRDefault="00DC61C4" w:rsidP="00DC61C4">
      <w:pPr>
        <w:spacing w:after="0" w:line="360" w:lineRule="auto"/>
        <w:ind w:firstLine="720"/>
        <w:jc w:val="both"/>
        <w:rPr>
          <w:rFonts w:ascii="Times New Roman" w:eastAsia="Calibri" w:hAnsi="Times New Roman" w:cs="Times New Roman"/>
        </w:rPr>
      </w:pPr>
    </w:p>
    <w:p w:rsidR="00DC61C4" w:rsidRPr="0094697E" w:rsidRDefault="0065500E" w:rsidP="0065500E">
      <w:pPr>
        <w:rPr>
          <w:rFonts w:ascii="Times New Roman" w:eastAsia="Calibri Light" w:hAnsi="Times New Roman" w:cs="Times New Roman"/>
          <w:b/>
        </w:rPr>
      </w:pPr>
      <w:proofErr w:type="gramStart"/>
      <w:r w:rsidRPr="0094697E">
        <w:rPr>
          <w:rFonts w:ascii="Times New Roman" w:eastAsia="Calibri Light" w:hAnsi="Times New Roman" w:cs="Times New Roman"/>
          <w:b/>
        </w:rPr>
        <w:t xml:space="preserve">iv) </w:t>
      </w:r>
      <w:r w:rsidR="00DC61C4" w:rsidRPr="0094697E">
        <w:rPr>
          <w:rFonts w:ascii="Times New Roman" w:eastAsia="Calibri Light" w:hAnsi="Times New Roman" w:cs="Times New Roman"/>
          <w:b/>
        </w:rPr>
        <w:t>Selection</w:t>
      </w:r>
      <w:proofErr w:type="gramEnd"/>
      <w:r w:rsidR="00DC61C4" w:rsidRPr="0094697E">
        <w:rPr>
          <w:rFonts w:ascii="Times New Roman" w:eastAsia="Calibri Light" w:hAnsi="Times New Roman" w:cs="Times New Roman"/>
          <w:b/>
        </w:rPr>
        <w:t xml:space="preserve"> of electricity process for bio-fuels</w:t>
      </w:r>
    </w:p>
    <w:p w:rsidR="00DC61C4" w:rsidRPr="0094697E" w:rsidRDefault="00D260A3" w:rsidP="00BF09EE">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There were a number of potential countries that could have been utilised to represent</w:t>
      </w:r>
      <w:r w:rsidR="00BF09EE" w:rsidRPr="0094697E">
        <w:rPr>
          <w:rFonts w:ascii="Times New Roman" w:eastAsia="Calibri" w:hAnsi="Times New Roman" w:cs="Times New Roman"/>
        </w:rPr>
        <w:t xml:space="preserve"> the</w:t>
      </w:r>
      <w:r w:rsidRPr="0094697E">
        <w:rPr>
          <w:rFonts w:ascii="Times New Roman" w:eastAsia="Calibri" w:hAnsi="Times New Roman" w:cs="Times New Roman"/>
        </w:rPr>
        <w:t xml:space="preserve"> bio-fuels process from China. </w:t>
      </w:r>
      <w:r w:rsidR="00BF09EE" w:rsidRPr="0094697E">
        <w:rPr>
          <w:rFonts w:ascii="Times New Roman" w:eastAsia="Calibri" w:hAnsi="Times New Roman" w:cs="Times New Roman"/>
        </w:rPr>
        <w:t>Japan was</w:t>
      </w:r>
      <w:r w:rsidRPr="0094697E">
        <w:rPr>
          <w:rFonts w:ascii="Times New Roman" w:eastAsia="Calibri" w:hAnsi="Times New Roman" w:cs="Times New Roman"/>
        </w:rPr>
        <w:t xml:space="preserve"> one of these countries however its biofuels industry is considerably less developed than that of Brazil, the USA and Europe. </w:t>
      </w:r>
      <w:r w:rsidR="00DC61C4" w:rsidRPr="0094697E">
        <w:rPr>
          <w:rFonts w:ascii="Times New Roman" w:eastAsia="Calibri" w:hAnsi="Times New Roman" w:cs="Times New Roman"/>
        </w:rPr>
        <w:t>Global biofuel production continues to be dominated by ethanol, and the US</w:t>
      </w:r>
      <w:r w:rsidR="00BF09EE" w:rsidRPr="0094697E">
        <w:rPr>
          <w:rFonts w:ascii="Times New Roman" w:eastAsia="Calibri" w:hAnsi="Times New Roman" w:cs="Times New Roman"/>
        </w:rPr>
        <w:t>A</w:t>
      </w:r>
      <w:r w:rsidR="00DC61C4" w:rsidRPr="0094697E">
        <w:rPr>
          <w:rFonts w:ascii="Times New Roman" w:eastAsia="Calibri" w:hAnsi="Times New Roman" w:cs="Times New Roman"/>
        </w:rPr>
        <w:t xml:space="preserve"> is the worl</w:t>
      </w:r>
      <w:r w:rsidRPr="0094697E">
        <w:rPr>
          <w:rFonts w:ascii="Times New Roman" w:eastAsia="Calibri" w:hAnsi="Times New Roman" w:cs="Times New Roman"/>
        </w:rPr>
        <w:t xml:space="preserve">d’s dominant biofuel producer, </w:t>
      </w:r>
      <w:r w:rsidR="00DC61C4" w:rsidRPr="0094697E">
        <w:rPr>
          <w:rFonts w:ascii="Times New Roman" w:eastAsia="Calibri" w:hAnsi="Times New Roman" w:cs="Times New Roman"/>
        </w:rPr>
        <w:t>leading in</w:t>
      </w:r>
      <w:r w:rsidR="006865D5" w:rsidRPr="0094697E">
        <w:rPr>
          <w:rFonts w:ascii="Times New Roman" w:eastAsia="Calibri" w:hAnsi="Times New Roman" w:cs="Times New Roman"/>
        </w:rPr>
        <w:t xml:space="preserve"> both ethanol and biodiesel. Hydro-treated Vegetable O</w:t>
      </w:r>
      <w:r w:rsidR="00BF09EE" w:rsidRPr="0094697E">
        <w:rPr>
          <w:rFonts w:ascii="Times New Roman" w:eastAsia="Calibri" w:hAnsi="Times New Roman" w:cs="Times New Roman"/>
        </w:rPr>
        <w:t xml:space="preserve">il (HVO), </w:t>
      </w:r>
      <w:r w:rsidR="00DC61C4" w:rsidRPr="0094697E">
        <w:rPr>
          <w:rFonts w:ascii="Times New Roman" w:eastAsia="Calibri" w:hAnsi="Times New Roman" w:cs="Times New Roman"/>
        </w:rPr>
        <w:t>is the world’s third largest volume biofuel and its production is growing at a faster pace than the more mature ethanol and biodiesel industries</w:t>
      </w:r>
      <w:r w:rsidR="006865D5" w:rsidRPr="0094697E">
        <w:rPr>
          <w:rFonts w:ascii="Times New Roman" w:eastAsia="Calibri" w:hAnsi="Times New Roman" w:cs="Times New Roman"/>
        </w:rPr>
        <w:t xml:space="preserve"> </w:t>
      </w:r>
      <w:r w:rsidR="006865D5" w:rsidRPr="0094697E">
        <w:rPr>
          <w:rFonts w:ascii="Times New Roman" w:eastAsia="Calibri" w:hAnsi="Times New Roman" w:cs="Times New Roman"/>
          <w:noProof/>
        </w:rPr>
        <w:t>(</w:t>
      </w:r>
      <w:r w:rsidR="00AB19C9" w:rsidRPr="0094697E">
        <w:rPr>
          <w:rFonts w:ascii="Times New Roman" w:eastAsia="Calibri" w:hAnsi="Times New Roman" w:cs="Times New Roman"/>
          <w:noProof/>
        </w:rPr>
        <w:t xml:space="preserve">Secretariat, R., </w:t>
      </w:r>
      <w:r w:rsidR="006865D5" w:rsidRPr="0094697E">
        <w:rPr>
          <w:rFonts w:ascii="Times New Roman" w:eastAsia="Calibri" w:hAnsi="Times New Roman" w:cs="Times New Roman"/>
          <w:noProof/>
        </w:rPr>
        <w:t>2014)</w:t>
      </w:r>
      <w:r w:rsidR="00DC61C4" w:rsidRPr="0094697E">
        <w:rPr>
          <w:rFonts w:ascii="Times New Roman" w:eastAsia="Calibri" w:hAnsi="Times New Roman" w:cs="Times New Roman"/>
        </w:rPr>
        <w:t>.</w:t>
      </w:r>
      <w:r w:rsidRPr="0094697E">
        <w:rPr>
          <w:rFonts w:ascii="Times New Roman" w:eastAsia="Calibri" w:hAnsi="Times New Roman" w:cs="Times New Roman"/>
        </w:rPr>
        <w:t xml:space="preserve"> </w:t>
      </w:r>
      <w:r w:rsidR="00BF09EE" w:rsidRPr="0094697E">
        <w:rPr>
          <w:rFonts w:ascii="Times New Roman" w:eastAsia="Calibri" w:hAnsi="Times New Roman" w:cs="Times New Roman"/>
        </w:rPr>
        <w:t>Alternatively</w:t>
      </w:r>
      <w:r w:rsidR="00DC61C4" w:rsidRPr="0094697E">
        <w:rPr>
          <w:rFonts w:ascii="Times New Roman" w:eastAsia="Calibri" w:hAnsi="Times New Roman" w:cs="Times New Roman"/>
        </w:rPr>
        <w:t xml:space="preserve"> India</w:t>
      </w:r>
      <w:r w:rsidR="00BF09EE" w:rsidRPr="0094697E">
        <w:rPr>
          <w:rFonts w:ascii="Times New Roman" w:eastAsia="Calibri" w:hAnsi="Times New Roman" w:cs="Times New Roman"/>
        </w:rPr>
        <w:t xml:space="preserve"> could have also been selected due to its increasing </w:t>
      </w:r>
      <w:r w:rsidR="00DC61C4" w:rsidRPr="0094697E">
        <w:rPr>
          <w:rFonts w:ascii="Times New Roman" w:eastAsia="Calibri" w:hAnsi="Times New Roman" w:cs="Times New Roman"/>
        </w:rPr>
        <w:t>use of biofuel production but its major feedstock is Jatropha oil compared to USA (Corn/Wheat), Brazil (Sugarcane) and China (C</w:t>
      </w:r>
      <w:r w:rsidRPr="0094697E">
        <w:rPr>
          <w:rFonts w:ascii="Times New Roman" w:eastAsia="Calibri" w:hAnsi="Times New Roman" w:cs="Times New Roman"/>
        </w:rPr>
        <w:t>orn/Cassava/Rice). Currently</w:t>
      </w:r>
      <w:r w:rsidR="00DC61C4" w:rsidRPr="0094697E">
        <w:rPr>
          <w:rFonts w:ascii="Times New Roman" w:eastAsia="Calibri" w:hAnsi="Times New Roman" w:cs="Times New Roman"/>
        </w:rPr>
        <w:t xml:space="preserve"> China’s biofuel industry is based on first generation technology, significantly behind the US</w:t>
      </w:r>
      <w:r w:rsidRPr="0094697E">
        <w:rPr>
          <w:rFonts w:ascii="Times New Roman" w:eastAsia="Calibri" w:hAnsi="Times New Roman" w:cs="Times New Roman"/>
        </w:rPr>
        <w:t>A</w:t>
      </w:r>
      <w:r w:rsidR="00DC61C4" w:rsidRPr="0094697E">
        <w:rPr>
          <w:rFonts w:ascii="Times New Roman" w:eastAsia="Calibri" w:hAnsi="Times New Roman" w:cs="Times New Roman"/>
        </w:rPr>
        <w:t>. On the other hand it has limited land resources when compared to Brazil and the US</w:t>
      </w:r>
      <w:r w:rsidRPr="0094697E">
        <w:rPr>
          <w:rFonts w:ascii="Times New Roman" w:eastAsia="Calibri" w:hAnsi="Times New Roman" w:cs="Times New Roman"/>
        </w:rPr>
        <w:t>A</w:t>
      </w:r>
      <w:r w:rsidR="00DC61C4" w:rsidRPr="0094697E">
        <w:rPr>
          <w:rFonts w:ascii="Times New Roman" w:eastAsia="Calibri" w:hAnsi="Times New Roman" w:cs="Times New Roman"/>
        </w:rPr>
        <w:t xml:space="preserve">. The bio-fuels process from the </w:t>
      </w:r>
      <w:r w:rsidRPr="0094697E">
        <w:rPr>
          <w:rFonts w:ascii="Times New Roman" w:eastAsia="Calibri" w:hAnsi="Times New Roman" w:cs="Times New Roman"/>
        </w:rPr>
        <w:t>USA was selected based on</w:t>
      </w:r>
      <w:r w:rsidR="00DC61C4" w:rsidRPr="0094697E">
        <w:rPr>
          <w:rFonts w:ascii="Times New Roman" w:eastAsia="Calibri" w:hAnsi="Times New Roman" w:cs="Times New Roman"/>
        </w:rPr>
        <w:t xml:space="preserve"> China</w:t>
      </w:r>
      <w:r w:rsidRPr="0094697E">
        <w:rPr>
          <w:rFonts w:ascii="Times New Roman" w:eastAsia="Calibri" w:hAnsi="Times New Roman" w:cs="Times New Roman"/>
        </w:rPr>
        <w:t>’s</w:t>
      </w:r>
      <w:r w:rsidR="00DC61C4" w:rsidRPr="0094697E">
        <w:rPr>
          <w:rFonts w:ascii="Times New Roman" w:eastAsia="Calibri" w:hAnsi="Times New Roman" w:cs="Times New Roman"/>
        </w:rPr>
        <w:t xml:space="preserve"> </w:t>
      </w:r>
      <w:r w:rsidRPr="0094697E">
        <w:rPr>
          <w:rFonts w:ascii="Times New Roman" w:eastAsia="Calibri" w:hAnsi="Times New Roman" w:cs="Times New Roman"/>
        </w:rPr>
        <w:t xml:space="preserve">progressive attitude of </w:t>
      </w:r>
      <w:r w:rsidR="00DC61C4" w:rsidRPr="0094697E">
        <w:rPr>
          <w:rFonts w:ascii="Times New Roman" w:eastAsia="Calibri" w:hAnsi="Times New Roman" w:cs="Times New Roman"/>
        </w:rPr>
        <w:t>significantly developing its seco</w:t>
      </w:r>
      <w:r w:rsidRPr="0094697E">
        <w:rPr>
          <w:rFonts w:ascii="Times New Roman" w:eastAsia="Calibri" w:hAnsi="Times New Roman" w:cs="Times New Roman"/>
        </w:rPr>
        <w:t xml:space="preserve">nd generation technology and </w:t>
      </w:r>
      <w:r w:rsidR="00DC61C4" w:rsidRPr="0094697E">
        <w:rPr>
          <w:rFonts w:ascii="Times New Roman" w:eastAsia="Calibri" w:hAnsi="Times New Roman" w:cs="Times New Roman"/>
        </w:rPr>
        <w:t>closing the gap on the top two global producers, the US</w:t>
      </w:r>
      <w:r w:rsidRPr="0094697E">
        <w:rPr>
          <w:rFonts w:ascii="Times New Roman" w:eastAsia="Calibri" w:hAnsi="Times New Roman" w:cs="Times New Roman"/>
        </w:rPr>
        <w:t>A</w:t>
      </w:r>
      <w:r w:rsidR="00DC61C4" w:rsidRPr="0094697E">
        <w:rPr>
          <w:rFonts w:ascii="Times New Roman" w:eastAsia="Calibri" w:hAnsi="Times New Roman" w:cs="Times New Roman"/>
        </w:rPr>
        <w:t xml:space="preserve"> and Brazil. In addition government led plans such as the 12</w:t>
      </w:r>
      <w:r w:rsidR="00DC61C4" w:rsidRPr="0094697E">
        <w:rPr>
          <w:rFonts w:ascii="Times New Roman" w:eastAsia="Calibri" w:hAnsi="Times New Roman" w:cs="Times New Roman"/>
          <w:vertAlign w:val="superscript"/>
        </w:rPr>
        <w:t>th</w:t>
      </w:r>
      <w:r w:rsidR="00DC61C4" w:rsidRPr="0094697E">
        <w:rPr>
          <w:rFonts w:ascii="Times New Roman" w:eastAsia="Calibri" w:hAnsi="Times New Roman" w:cs="Times New Roman"/>
        </w:rPr>
        <w:t xml:space="preserve"> Five year plan sets a target of renewable energy consumption of 11.4% by 2015.</w:t>
      </w:r>
      <w:r w:rsidR="006865D5" w:rsidRPr="0094697E">
        <w:rPr>
          <w:rFonts w:ascii="Times New Roman" w:eastAsia="Calibri" w:hAnsi="Times New Roman" w:cs="Times New Roman"/>
        </w:rPr>
        <w:t xml:space="preserve"> </w:t>
      </w:r>
    </w:p>
    <w:p w:rsidR="00DC61C4" w:rsidRPr="0094697E" w:rsidRDefault="00BF09EE"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For </w:t>
      </w:r>
      <w:r w:rsidR="00DC61C4" w:rsidRPr="0094697E">
        <w:rPr>
          <w:rFonts w:ascii="Times New Roman" w:eastAsia="Calibri" w:hAnsi="Times New Roman" w:cs="Times New Roman"/>
        </w:rPr>
        <w:t>South Africa and Ukraine, an alternative European nation, Switzerland,</w:t>
      </w:r>
      <w:r w:rsidR="00D260A3" w:rsidRPr="0094697E">
        <w:rPr>
          <w:rFonts w:ascii="Times New Roman" w:eastAsia="Calibri" w:hAnsi="Times New Roman" w:cs="Times New Roman"/>
        </w:rPr>
        <w:t xml:space="preserve"> was selected, since it had</w:t>
      </w:r>
      <w:r w:rsidR="00DC61C4" w:rsidRPr="0094697E">
        <w:rPr>
          <w:rFonts w:ascii="Times New Roman" w:eastAsia="Calibri" w:hAnsi="Times New Roman" w:cs="Times New Roman"/>
        </w:rPr>
        <w:t xml:space="preserve"> similar production and technology levels as these nations. Germany and France are the major </w:t>
      </w:r>
      <w:r w:rsidR="00DC61C4" w:rsidRPr="0094697E">
        <w:rPr>
          <w:rFonts w:ascii="Times New Roman" w:eastAsia="Calibri" w:hAnsi="Times New Roman" w:cs="Times New Roman"/>
        </w:rPr>
        <w:lastRenderedPageBreak/>
        <w:t>European producers but selection of either of them would not be characteristic since they have very developed bio-fuel sectors.</w:t>
      </w:r>
    </w:p>
    <w:p w:rsidR="00D260A3" w:rsidRPr="0094697E" w:rsidRDefault="00D260A3" w:rsidP="00D260A3">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For Kazakhstan</w:t>
      </w:r>
      <w:r w:rsidR="00BF09EE" w:rsidRPr="0094697E">
        <w:rPr>
          <w:rFonts w:ascii="Times New Roman" w:eastAsia="Calibri" w:hAnsi="Times New Roman" w:cs="Times New Roman"/>
        </w:rPr>
        <w:t>, Russia</w:t>
      </w:r>
      <w:r w:rsidRPr="0094697E">
        <w:rPr>
          <w:rFonts w:ascii="Times New Roman" w:eastAsia="Calibri" w:hAnsi="Times New Roman" w:cs="Times New Roman"/>
        </w:rPr>
        <w:t xml:space="preserve"> and New Caledonia, no process was required since electricity production from bio-fuels was negligible.</w:t>
      </w:r>
    </w:p>
    <w:p w:rsidR="00DC61C4" w:rsidRPr="0094697E" w:rsidRDefault="00DC61C4" w:rsidP="00BF09EE">
      <w:pPr>
        <w:spacing w:after="0" w:line="360" w:lineRule="auto"/>
        <w:jc w:val="both"/>
        <w:rPr>
          <w:rFonts w:ascii="Times New Roman" w:eastAsia="Calibri" w:hAnsi="Times New Roman" w:cs="Times New Roman"/>
        </w:rPr>
      </w:pPr>
    </w:p>
    <w:p w:rsidR="00DC61C4" w:rsidRPr="0094697E" w:rsidRDefault="0065500E" w:rsidP="0065500E">
      <w:pPr>
        <w:rPr>
          <w:rFonts w:ascii="Times New Roman" w:eastAsia="Calibri Light" w:hAnsi="Times New Roman" w:cs="Times New Roman"/>
          <w:b/>
        </w:rPr>
      </w:pPr>
      <w:r w:rsidRPr="0094697E">
        <w:rPr>
          <w:rFonts w:ascii="Times New Roman" w:eastAsia="Calibri Light" w:hAnsi="Times New Roman" w:cs="Times New Roman"/>
          <w:b/>
        </w:rPr>
        <w:t xml:space="preserve">v) </w:t>
      </w:r>
      <w:r w:rsidR="00DC61C4" w:rsidRPr="0094697E">
        <w:rPr>
          <w:rFonts w:ascii="Times New Roman" w:eastAsia="Calibri Light" w:hAnsi="Times New Roman" w:cs="Times New Roman"/>
          <w:b/>
        </w:rPr>
        <w:t>Selection of electricity process for waste</w:t>
      </w:r>
    </w:p>
    <w:p w:rsidR="00BF09EE" w:rsidRPr="0094697E" w:rsidRDefault="00DC61C4" w:rsidP="00BF09EE">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A</w:t>
      </w:r>
      <w:r w:rsidR="00BF09EE" w:rsidRPr="0094697E">
        <w:rPr>
          <w:rFonts w:ascii="Times New Roman" w:eastAsia="Calibri" w:hAnsi="Times New Roman" w:cs="Times New Roman"/>
        </w:rPr>
        <w:t xml:space="preserve">n electricity process for waste was available in </w:t>
      </w:r>
      <w:r w:rsidR="004D2D91" w:rsidRPr="0094697E">
        <w:rPr>
          <w:rFonts w:ascii="Times New Roman" w:eastAsia="Calibri" w:hAnsi="Times New Roman" w:cs="Times New Roman"/>
        </w:rPr>
        <w:t>GaBi</w:t>
      </w:r>
      <w:r w:rsidR="00BF09EE" w:rsidRPr="0094697E">
        <w:rPr>
          <w:rFonts w:ascii="Times New Roman" w:eastAsia="Calibri" w:hAnsi="Times New Roman" w:cs="Times New Roman"/>
        </w:rPr>
        <w:t xml:space="preserve"> for Chin</w:t>
      </w:r>
      <w:r w:rsidR="00D857E0" w:rsidRPr="0094697E">
        <w:rPr>
          <w:rFonts w:ascii="Times New Roman" w:eastAsia="Calibri" w:hAnsi="Times New Roman" w:cs="Times New Roman"/>
        </w:rPr>
        <w:t>a</w:t>
      </w:r>
      <w:r w:rsidR="00BF09EE" w:rsidRPr="0094697E">
        <w:rPr>
          <w:rFonts w:ascii="Times New Roman" w:eastAsia="Calibri" w:hAnsi="Times New Roman" w:cs="Times New Roman"/>
        </w:rPr>
        <w:t xml:space="preserve"> and so was selected.</w:t>
      </w:r>
    </w:p>
    <w:p w:rsidR="00BF09EE" w:rsidRPr="0094697E" w:rsidRDefault="00DC61C4" w:rsidP="00BF09EE">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In terms of Russia, </w:t>
      </w:r>
      <w:r w:rsidR="00D857E0" w:rsidRPr="0094697E">
        <w:rPr>
          <w:rFonts w:ascii="Times New Roman" w:eastAsia="Calibri" w:hAnsi="Times New Roman" w:cs="Times New Roman"/>
        </w:rPr>
        <w:t xml:space="preserve">there was no Russian </w:t>
      </w:r>
      <w:r w:rsidR="00BF09EE" w:rsidRPr="0094697E">
        <w:rPr>
          <w:rFonts w:ascii="Times New Roman" w:eastAsia="Calibri" w:hAnsi="Times New Roman" w:cs="Times New Roman"/>
        </w:rPr>
        <w:t>electricity process fro</w:t>
      </w:r>
      <w:r w:rsidR="00D857E0" w:rsidRPr="0094697E">
        <w:rPr>
          <w:rFonts w:ascii="Times New Roman" w:eastAsia="Calibri" w:hAnsi="Times New Roman" w:cs="Times New Roman"/>
        </w:rPr>
        <w:t xml:space="preserve">m waste available in </w:t>
      </w:r>
      <w:r w:rsidR="004D2D91" w:rsidRPr="0094697E">
        <w:rPr>
          <w:rFonts w:ascii="Times New Roman" w:eastAsia="Calibri" w:hAnsi="Times New Roman" w:cs="Times New Roman"/>
        </w:rPr>
        <w:t>GaBi</w:t>
      </w:r>
      <w:r w:rsidR="00D857E0" w:rsidRPr="0094697E">
        <w:rPr>
          <w:rFonts w:ascii="Times New Roman" w:eastAsia="Calibri" w:hAnsi="Times New Roman" w:cs="Times New Roman"/>
        </w:rPr>
        <w:t>. Since the Russian electricity from waste process is predominantly from industrial waste and the EU-27 process was available and representative of industrial waste, this was chosen. Similarly the same EU-27 process was also used to model for the country India.</w:t>
      </w:r>
    </w:p>
    <w:p w:rsidR="00DC61C4" w:rsidRDefault="00BF09EE" w:rsidP="00CA0F0C">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For Kazakhstan, South Africa, Ukraine and New Caledonia, no process was required since electricity produc</w:t>
      </w:r>
      <w:r w:rsidR="00CA0F0C">
        <w:rPr>
          <w:rFonts w:ascii="Times New Roman" w:eastAsia="Calibri" w:hAnsi="Times New Roman" w:cs="Times New Roman"/>
        </w:rPr>
        <w:t>tion from waste was negligible.</w:t>
      </w:r>
    </w:p>
    <w:p w:rsidR="00CA0F0C" w:rsidRPr="00CA0F0C" w:rsidRDefault="00CA0F0C" w:rsidP="00CA0F0C">
      <w:pPr>
        <w:spacing w:after="0" w:line="360" w:lineRule="auto"/>
        <w:ind w:firstLine="720"/>
        <w:jc w:val="both"/>
        <w:rPr>
          <w:rFonts w:ascii="Times New Roman" w:eastAsia="Calibri" w:hAnsi="Times New Roman" w:cs="Times New Roman"/>
        </w:rPr>
      </w:pPr>
    </w:p>
    <w:p w:rsidR="00DC61C4" w:rsidRPr="0094697E" w:rsidRDefault="0065500E" w:rsidP="0065500E">
      <w:pPr>
        <w:rPr>
          <w:rFonts w:ascii="Times New Roman" w:eastAsia="Calibri Light" w:hAnsi="Times New Roman" w:cs="Times New Roman"/>
          <w:b/>
        </w:rPr>
      </w:pPr>
      <w:proofErr w:type="gramStart"/>
      <w:r w:rsidRPr="0094697E">
        <w:rPr>
          <w:rFonts w:ascii="Times New Roman" w:eastAsia="Calibri Light" w:hAnsi="Times New Roman" w:cs="Times New Roman"/>
          <w:b/>
        </w:rPr>
        <w:t xml:space="preserve">vi) </w:t>
      </w:r>
      <w:r w:rsidR="00DC61C4" w:rsidRPr="0094697E">
        <w:rPr>
          <w:rFonts w:ascii="Times New Roman" w:eastAsia="Calibri Light" w:hAnsi="Times New Roman" w:cs="Times New Roman"/>
          <w:b/>
        </w:rPr>
        <w:t>Selection</w:t>
      </w:r>
      <w:proofErr w:type="gramEnd"/>
      <w:r w:rsidR="00DC61C4" w:rsidRPr="0094697E">
        <w:rPr>
          <w:rFonts w:ascii="Times New Roman" w:eastAsia="Calibri Light" w:hAnsi="Times New Roman" w:cs="Times New Roman"/>
          <w:b/>
        </w:rPr>
        <w:t xml:space="preserve"> of electricity process for nuclear energy</w:t>
      </w:r>
    </w:p>
    <w:p w:rsidR="00FC395B" w:rsidRPr="0094697E" w:rsidRDefault="00DC61C4" w:rsidP="00FC395B">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The </w:t>
      </w:r>
      <w:r w:rsidR="006E0B9D" w:rsidRPr="0094697E">
        <w:rPr>
          <w:rFonts w:ascii="Times New Roman" w:eastAsia="Calibri" w:hAnsi="Times New Roman" w:cs="Times New Roman"/>
        </w:rPr>
        <w:t>electricity process for nuclear energy from the USA was</w:t>
      </w:r>
      <w:r w:rsidRPr="0094697E">
        <w:rPr>
          <w:rFonts w:ascii="Times New Roman" w:eastAsia="Calibri" w:hAnsi="Times New Roman" w:cs="Times New Roman"/>
        </w:rPr>
        <w:t xml:space="preserve"> selected to represent China, based on a number of facts. In terms of geographical location, Japan or South Korea could have been selected. South Korea is the leading Asian nation in nuclear power howe</w:t>
      </w:r>
      <w:r w:rsidR="006E0B9D" w:rsidRPr="0094697E">
        <w:rPr>
          <w:rFonts w:ascii="Times New Roman" w:eastAsia="Calibri" w:hAnsi="Times New Roman" w:cs="Times New Roman"/>
        </w:rPr>
        <w:t xml:space="preserve">ver the electricity process for nuclear energy was unavailable in </w:t>
      </w:r>
      <w:r w:rsidR="004D2D91" w:rsidRPr="0094697E">
        <w:rPr>
          <w:rFonts w:ascii="Times New Roman" w:eastAsia="Calibri" w:hAnsi="Times New Roman" w:cs="Times New Roman"/>
        </w:rPr>
        <w:t>GaBi</w:t>
      </w:r>
      <w:r w:rsidR="006E0B9D" w:rsidRPr="0094697E">
        <w:rPr>
          <w:rFonts w:ascii="Times New Roman" w:eastAsia="Calibri" w:hAnsi="Times New Roman" w:cs="Times New Roman"/>
        </w:rPr>
        <w:t xml:space="preserve"> for this country.</w:t>
      </w:r>
      <w:r w:rsidR="00FC395B" w:rsidRPr="0094697E">
        <w:rPr>
          <w:rFonts w:ascii="Times New Roman" w:eastAsia="Calibri" w:hAnsi="Times New Roman" w:cs="Times New Roman"/>
        </w:rPr>
        <w:t xml:space="preserve"> </w:t>
      </w:r>
      <w:r w:rsidR="006E0B9D" w:rsidRPr="0094697E">
        <w:rPr>
          <w:rFonts w:ascii="Times New Roman" w:eastAsia="Calibri" w:hAnsi="Times New Roman" w:cs="Times New Roman"/>
        </w:rPr>
        <w:t xml:space="preserve">Besides, </w:t>
      </w:r>
      <w:r w:rsidRPr="0094697E">
        <w:rPr>
          <w:rFonts w:ascii="Times New Roman" w:eastAsia="Calibri" w:hAnsi="Times New Roman" w:cs="Times New Roman"/>
        </w:rPr>
        <w:t xml:space="preserve">Japan could </w:t>
      </w:r>
      <w:r w:rsidR="006E0B9D" w:rsidRPr="0094697E">
        <w:rPr>
          <w:rFonts w:ascii="Times New Roman" w:eastAsia="Calibri" w:hAnsi="Times New Roman" w:cs="Times New Roman"/>
        </w:rPr>
        <w:t>have also have been selected but was</w:t>
      </w:r>
      <w:r w:rsidRPr="0094697E">
        <w:rPr>
          <w:rFonts w:ascii="Times New Roman" w:eastAsia="Calibri" w:hAnsi="Times New Roman" w:cs="Times New Roman"/>
        </w:rPr>
        <w:t xml:space="preserve"> more</w:t>
      </w:r>
      <w:r w:rsidR="006E0B9D" w:rsidRPr="0094697E">
        <w:rPr>
          <w:rFonts w:ascii="Times New Roman" w:eastAsia="Calibri" w:hAnsi="Times New Roman" w:cs="Times New Roman"/>
        </w:rPr>
        <w:t xml:space="preserve"> representative of</w:t>
      </w:r>
      <w:r w:rsidRPr="0094697E">
        <w:rPr>
          <w:rFonts w:ascii="Times New Roman" w:eastAsia="Calibri" w:hAnsi="Times New Roman" w:cs="Times New Roman"/>
        </w:rPr>
        <w:t xml:space="preserve"> BWR (Boi</w:t>
      </w:r>
      <w:r w:rsidR="006E0B9D" w:rsidRPr="0094697E">
        <w:rPr>
          <w:rFonts w:ascii="Times New Roman" w:eastAsia="Calibri" w:hAnsi="Times New Roman" w:cs="Times New Roman"/>
        </w:rPr>
        <w:t xml:space="preserve">ling Water Reactor) (56%) </w:t>
      </w:r>
      <w:r w:rsidRPr="0094697E">
        <w:rPr>
          <w:rFonts w:ascii="Times New Roman" w:eastAsia="Calibri" w:hAnsi="Times New Roman" w:cs="Times New Roman"/>
        </w:rPr>
        <w:t>rather than PWR (Pressure Water Reactor)</w:t>
      </w:r>
      <w:r w:rsidR="006E0B9D" w:rsidRPr="0094697E">
        <w:rPr>
          <w:rFonts w:ascii="Times New Roman" w:eastAsia="Calibri" w:hAnsi="Times New Roman" w:cs="Times New Roman"/>
        </w:rPr>
        <w:t xml:space="preserve"> technology</w:t>
      </w:r>
      <w:r w:rsidRPr="0094697E">
        <w:rPr>
          <w:rFonts w:ascii="Times New Roman" w:eastAsia="Calibri" w:hAnsi="Times New Roman" w:cs="Times New Roman"/>
        </w:rPr>
        <w:t>.</w:t>
      </w:r>
      <w:r w:rsidR="006E0B9D" w:rsidRPr="0094697E">
        <w:rPr>
          <w:rFonts w:ascii="Times New Roman" w:eastAsia="Calibri" w:hAnsi="Times New Roman" w:cs="Times New Roman"/>
        </w:rPr>
        <w:t xml:space="preserve"> On the other hand China predominantly makes use of PWR or Pressurised-Heavy Water Reactor (PHWR) similar to the USA, which makes it a better choice since its nuclear reactor make up is approximately 66% PWR and 34% BWR </w:t>
      </w:r>
      <w:r w:rsidR="006E0B9D" w:rsidRPr="0094697E">
        <w:rPr>
          <w:rFonts w:ascii="Times New Roman" w:eastAsia="Calibri" w:hAnsi="Times New Roman" w:cs="Times New Roman"/>
          <w:noProof/>
        </w:rPr>
        <w:t>(World Nuclear Association 2016)</w:t>
      </w:r>
      <w:r w:rsidR="006E0B9D" w:rsidRPr="0094697E">
        <w:rPr>
          <w:rFonts w:ascii="Times New Roman" w:eastAsia="Calibri" w:hAnsi="Times New Roman" w:cs="Times New Roman"/>
        </w:rPr>
        <w:t>.</w:t>
      </w:r>
      <w:r w:rsidR="00FC395B" w:rsidRPr="0094697E">
        <w:rPr>
          <w:rFonts w:ascii="Times New Roman" w:eastAsia="Calibri" w:hAnsi="Times New Roman" w:cs="Times New Roman"/>
        </w:rPr>
        <w:t xml:space="preserve"> </w:t>
      </w:r>
      <w:r w:rsidRPr="0094697E">
        <w:rPr>
          <w:rFonts w:ascii="Times New Roman" w:eastAsia="Calibri" w:hAnsi="Times New Roman" w:cs="Times New Roman"/>
        </w:rPr>
        <w:t>A</w:t>
      </w:r>
      <w:r w:rsidR="006E0B9D" w:rsidRPr="0094697E">
        <w:rPr>
          <w:rFonts w:ascii="Times New Roman" w:eastAsia="Calibri" w:hAnsi="Times New Roman" w:cs="Times New Roman"/>
        </w:rPr>
        <w:t>lternatively</w:t>
      </w:r>
      <w:r w:rsidRPr="0094697E">
        <w:rPr>
          <w:rFonts w:ascii="Times New Roman" w:eastAsia="Calibri" w:hAnsi="Times New Roman" w:cs="Times New Roman"/>
        </w:rPr>
        <w:t xml:space="preserve"> </w:t>
      </w:r>
      <w:r w:rsidR="006E0B9D" w:rsidRPr="0094697E">
        <w:rPr>
          <w:rFonts w:ascii="Times New Roman" w:eastAsia="Calibri" w:hAnsi="Times New Roman" w:cs="Times New Roman"/>
        </w:rPr>
        <w:t>the electricity process for nuclear energy c</w:t>
      </w:r>
      <w:r w:rsidRPr="0094697E">
        <w:rPr>
          <w:rFonts w:ascii="Times New Roman" w:eastAsia="Calibri" w:hAnsi="Times New Roman" w:cs="Times New Roman"/>
        </w:rPr>
        <w:t>ould</w:t>
      </w:r>
      <w:r w:rsidR="006E0B9D" w:rsidRPr="0094697E">
        <w:rPr>
          <w:rFonts w:ascii="Times New Roman" w:eastAsia="Calibri" w:hAnsi="Times New Roman" w:cs="Times New Roman"/>
        </w:rPr>
        <w:t xml:space="preserve"> have been </w:t>
      </w:r>
      <w:r w:rsidRPr="0094697E">
        <w:rPr>
          <w:rFonts w:ascii="Times New Roman" w:eastAsia="Calibri" w:hAnsi="Times New Roman" w:cs="Times New Roman"/>
        </w:rPr>
        <w:t xml:space="preserve">from India but it is not a leading nation in Asia, but like South Korea and China its nuclear plants are 93% PWR based. </w:t>
      </w:r>
    </w:p>
    <w:p w:rsidR="00DC61C4" w:rsidRPr="0094697E" w:rsidRDefault="00DC61C4"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Finally the latest technology acquisition for China has been from the USA (via Westingh</w:t>
      </w:r>
      <w:r w:rsidR="00FC395B" w:rsidRPr="0094697E">
        <w:rPr>
          <w:rFonts w:ascii="Times New Roman" w:eastAsia="Calibri" w:hAnsi="Times New Roman" w:cs="Times New Roman"/>
        </w:rPr>
        <w:t xml:space="preserve">ouse,) </w:t>
      </w:r>
      <w:r w:rsidRPr="0094697E">
        <w:rPr>
          <w:rFonts w:ascii="Times New Roman" w:eastAsia="Calibri" w:hAnsi="Times New Roman" w:cs="Times New Roman"/>
        </w:rPr>
        <w:t>and France. The State Nuclear Power Technology Corporation (SNPTC)</w:t>
      </w:r>
      <w:r w:rsidR="00FC395B" w:rsidRPr="0094697E">
        <w:rPr>
          <w:rFonts w:ascii="Times New Roman" w:eastAsia="Calibri" w:hAnsi="Times New Roman" w:cs="Times New Roman"/>
        </w:rPr>
        <w:t xml:space="preserve"> from Chin</w:t>
      </w:r>
      <w:r w:rsidRPr="0094697E">
        <w:rPr>
          <w:rFonts w:ascii="Times New Roman" w:eastAsia="Calibri" w:hAnsi="Times New Roman" w:cs="Times New Roman"/>
        </w:rPr>
        <w:t xml:space="preserve"> has made the Wes</w:t>
      </w:r>
      <w:r w:rsidR="00BF09EE" w:rsidRPr="0094697E">
        <w:rPr>
          <w:rFonts w:ascii="Times New Roman" w:eastAsia="Calibri" w:hAnsi="Times New Roman" w:cs="Times New Roman"/>
        </w:rPr>
        <w:t>tinghouse AP1000 the main basi</w:t>
      </w:r>
      <w:r w:rsidR="00FC395B" w:rsidRPr="0094697E">
        <w:rPr>
          <w:rFonts w:ascii="Times New Roman" w:eastAsia="Calibri" w:hAnsi="Times New Roman" w:cs="Times New Roman"/>
        </w:rPr>
        <w:t xml:space="preserve">s </w:t>
      </w:r>
      <w:r w:rsidRPr="0094697E">
        <w:rPr>
          <w:rFonts w:ascii="Times New Roman" w:eastAsia="Calibri" w:hAnsi="Times New Roman" w:cs="Times New Roman"/>
        </w:rPr>
        <w:t xml:space="preserve">of technology development in the immediate future, particularly evident in the local development of </w:t>
      </w:r>
      <w:r w:rsidR="00FC395B" w:rsidRPr="0094697E">
        <w:rPr>
          <w:rFonts w:ascii="Times New Roman" w:eastAsia="Calibri" w:hAnsi="Times New Roman" w:cs="Times New Roman"/>
        </w:rPr>
        <w:t xml:space="preserve">CAP1400 </w:t>
      </w:r>
      <w:r w:rsidR="00FC395B" w:rsidRPr="0094697E">
        <w:rPr>
          <w:rFonts w:ascii="Times New Roman" w:eastAsia="Calibri" w:hAnsi="Times New Roman" w:cs="Times New Roman"/>
          <w:noProof/>
        </w:rPr>
        <w:t>(World Nuclear Association 2016)</w:t>
      </w:r>
      <w:r w:rsidR="00FC395B" w:rsidRPr="0094697E">
        <w:rPr>
          <w:rFonts w:ascii="Times New Roman" w:eastAsia="Calibri" w:hAnsi="Times New Roman" w:cs="Times New Roman"/>
        </w:rPr>
        <w:t>.</w:t>
      </w:r>
      <w:r w:rsidRPr="0094697E">
        <w:rPr>
          <w:rFonts w:ascii="Times New Roman" w:eastAsia="Calibri" w:hAnsi="Times New Roman" w:cs="Times New Roman"/>
        </w:rPr>
        <w:t xml:space="preserve"> </w:t>
      </w:r>
      <w:r w:rsidR="00FC395B" w:rsidRPr="0094697E">
        <w:rPr>
          <w:rFonts w:ascii="Times New Roman" w:eastAsia="Calibri" w:hAnsi="Times New Roman" w:cs="Times New Roman"/>
        </w:rPr>
        <w:t xml:space="preserve">Thus, the electricity process for nuclear energy </w:t>
      </w:r>
      <w:r w:rsidRPr="0094697E">
        <w:rPr>
          <w:rFonts w:ascii="Times New Roman" w:eastAsia="Calibri" w:hAnsi="Times New Roman" w:cs="Times New Roman"/>
        </w:rPr>
        <w:t>from the USA</w:t>
      </w:r>
      <w:r w:rsidR="00FC395B" w:rsidRPr="0094697E">
        <w:rPr>
          <w:rFonts w:ascii="Times New Roman" w:eastAsia="Calibri" w:hAnsi="Times New Roman" w:cs="Times New Roman"/>
        </w:rPr>
        <w:t xml:space="preserve"> was</w:t>
      </w:r>
      <w:r w:rsidRPr="0094697E">
        <w:rPr>
          <w:rFonts w:ascii="Times New Roman" w:eastAsia="Calibri" w:hAnsi="Times New Roman" w:cs="Times New Roman"/>
        </w:rPr>
        <w:t xml:space="preserve"> selected based on type, technology and generation.</w:t>
      </w:r>
    </w:p>
    <w:p w:rsidR="00DC61C4" w:rsidRPr="0094697E" w:rsidRDefault="00DC61C4"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South Africa has 2 PWR nuclea</w:t>
      </w:r>
      <w:r w:rsidR="00FC395B" w:rsidRPr="0094697E">
        <w:rPr>
          <w:rFonts w:ascii="Times New Roman" w:eastAsia="Calibri" w:hAnsi="Times New Roman" w:cs="Times New Roman"/>
        </w:rPr>
        <w:t>r reactors the Koeberg 1 and 2, which</w:t>
      </w:r>
      <w:r w:rsidRPr="0094697E">
        <w:rPr>
          <w:rFonts w:ascii="Times New Roman" w:eastAsia="Calibri" w:hAnsi="Times New Roman" w:cs="Times New Roman"/>
        </w:rPr>
        <w:t xml:space="preserve"> generate approximately 5% of its e</w:t>
      </w:r>
      <w:r w:rsidR="00FC395B" w:rsidRPr="0094697E">
        <w:rPr>
          <w:rFonts w:ascii="Times New Roman" w:eastAsia="Calibri" w:hAnsi="Times New Roman" w:cs="Times New Roman"/>
        </w:rPr>
        <w:t xml:space="preserve">lectricity </w:t>
      </w:r>
      <w:r w:rsidR="007B2A47" w:rsidRPr="0094697E">
        <w:rPr>
          <w:rFonts w:ascii="Times New Roman" w:eastAsia="Calibri" w:hAnsi="Times New Roman" w:cs="Times New Roman"/>
          <w:noProof/>
        </w:rPr>
        <w:t>(Itten et al. 2014b)</w:t>
      </w:r>
      <w:r w:rsidR="00FC395B" w:rsidRPr="0094697E">
        <w:rPr>
          <w:rFonts w:ascii="Times New Roman" w:eastAsia="Calibri" w:hAnsi="Times New Roman" w:cs="Times New Roman"/>
        </w:rPr>
        <w:t xml:space="preserve">. </w:t>
      </w:r>
      <w:r w:rsidRPr="0094697E">
        <w:rPr>
          <w:rFonts w:ascii="Times New Roman" w:eastAsia="Calibri" w:hAnsi="Times New Roman" w:cs="Times New Roman"/>
        </w:rPr>
        <w:t xml:space="preserve">Any number of leading PWR countries could have </w:t>
      </w:r>
      <w:r w:rsidR="00FC395B" w:rsidRPr="0094697E">
        <w:rPr>
          <w:rFonts w:ascii="Times New Roman" w:eastAsia="Calibri" w:hAnsi="Times New Roman" w:cs="Times New Roman"/>
        </w:rPr>
        <w:t>been used to model South Africa but since the only process</w:t>
      </w:r>
      <w:r w:rsidR="000834AA" w:rsidRPr="0094697E">
        <w:rPr>
          <w:rFonts w:ascii="Times New Roman" w:eastAsia="Calibri" w:hAnsi="Times New Roman" w:cs="Times New Roman"/>
        </w:rPr>
        <w:t xml:space="preserve"> based on PWR</w:t>
      </w:r>
      <w:r w:rsidR="00FC395B" w:rsidRPr="0094697E">
        <w:rPr>
          <w:rFonts w:ascii="Times New Roman" w:eastAsia="Calibri" w:hAnsi="Times New Roman" w:cs="Times New Roman"/>
        </w:rPr>
        <w:t xml:space="preserve"> available was the USA this was selected.</w:t>
      </w:r>
    </w:p>
    <w:p w:rsidR="00230088" w:rsidRPr="0094697E" w:rsidRDefault="00230088"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Selection of a country to represent Russian electricity process from nuclear energy was difficult due to its present nuclear capacity. Russia’s nuclear reactors are mainly composed of 28 PWR, 18 Light </w:t>
      </w:r>
      <w:r w:rsidRPr="0094697E">
        <w:rPr>
          <w:rFonts w:ascii="Times New Roman" w:eastAsia="Calibri" w:hAnsi="Times New Roman" w:cs="Times New Roman"/>
        </w:rPr>
        <w:lastRenderedPageBreak/>
        <w:t>Water Graphite Reactors (LWGR) which are unique to Russia and 2 Fast Breeder Reactors (FBR). Russia is a world leader in fast neutron reactor technology with emphasis on a transition to fast reactors from 2025 onwards.</w:t>
      </w:r>
      <w:r w:rsidR="001411B9" w:rsidRPr="0094697E">
        <w:rPr>
          <w:rFonts w:ascii="Times New Roman" w:eastAsia="Calibri" w:hAnsi="Times New Roman" w:cs="Times New Roman"/>
        </w:rPr>
        <w:t xml:space="preserve"> The USA or Japan could have been selected but Japan was chosen due to its familiarity and progressive steps in the future related to fast breeder reactors. The USA could have also been chosen, but it lags behind Japan and Russia in terms of nuclear technology and is more focused on developing a Generation IV high-temperature gas-cooled reactor, capable of producing electricity and hydrogen on a large scale </w:t>
      </w:r>
      <w:r w:rsidR="001411B9" w:rsidRPr="0094697E">
        <w:rPr>
          <w:rFonts w:ascii="Times New Roman" w:eastAsia="Calibri" w:hAnsi="Times New Roman" w:cs="Times New Roman"/>
          <w:noProof/>
        </w:rPr>
        <w:t>(World Nuclear Association 2016)</w:t>
      </w:r>
      <w:r w:rsidR="001411B9" w:rsidRPr="0094697E">
        <w:rPr>
          <w:rFonts w:ascii="Times New Roman" w:eastAsia="Calibri" w:hAnsi="Times New Roman" w:cs="Times New Roman"/>
        </w:rPr>
        <w:t>.</w:t>
      </w:r>
    </w:p>
    <w:p w:rsidR="00DC61C4" w:rsidRPr="0094697E" w:rsidRDefault="00DC61C4" w:rsidP="001411B9">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Ukraine is heavily dependent on nuclear energy. It has 15 reactor, all PWR based, generating about 50% of its electricity. Ukraine receives most of its nuclear services and nuclear fuel from Russia, but is reducing this dependence by buyin</w:t>
      </w:r>
      <w:r w:rsidR="001411B9" w:rsidRPr="0094697E">
        <w:rPr>
          <w:rFonts w:ascii="Times New Roman" w:eastAsia="Calibri" w:hAnsi="Times New Roman" w:cs="Times New Roman"/>
        </w:rPr>
        <w:t xml:space="preserve">g fuel from Westinghouse (USA). The electricity process for nuclear energy from the USA was chosen to reflect the diversification sought from Russia as well as being predominantly PWR based </w:t>
      </w:r>
      <w:r w:rsidR="001411B9" w:rsidRPr="0094697E">
        <w:rPr>
          <w:rFonts w:ascii="Times New Roman" w:eastAsia="Calibri" w:hAnsi="Times New Roman" w:cs="Times New Roman"/>
          <w:noProof/>
        </w:rPr>
        <w:t>(World Nuclear Association 2016)</w:t>
      </w:r>
      <w:r w:rsidR="001411B9" w:rsidRPr="0094697E">
        <w:rPr>
          <w:rFonts w:ascii="Times New Roman" w:eastAsia="Calibri" w:hAnsi="Times New Roman" w:cs="Times New Roman"/>
        </w:rPr>
        <w:t>.</w:t>
      </w:r>
    </w:p>
    <w:p w:rsidR="00FC395B" w:rsidRPr="0094697E" w:rsidRDefault="00FC395B" w:rsidP="00FC395B">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No nuclear process was required for Kazakhstan</w:t>
      </w:r>
      <w:r w:rsidR="001411B9" w:rsidRPr="0094697E">
        <w:rPr>
          <w:rFonts w:ascii="Times New Roman" w:eastAsia="Calibri" w:hAnsi="Times New Roman" w:cs="Times New Roman"/>
        </w:rPr>
        <w:t>, Norway or New Caledonia</w:t>
      </w:r>
      <w:r w:rsidRPr="0094697E">
        <w:rPr>
          <w:rFonts w:ascii="Times New Roman" w:eastAsia="Calibri" w:hAnsi="Times New Roman" w:cs="Times New Roman"/>
        </w:rPr>
        <w:t>.</w:t>
      </w:r>
      <w:r w:rsidR="001411B9" w:rsidRPr="0094697E">
        <w:rPr>
          <w:rFonts w:ascii="Times New Roman" w:eastAsia="Calibri" w:hAnsi="Times New Roman" w:cs="Times New Roman"/>
        </w:rPr>
        <w:t xml:space="preserve"> Norway and New Caledonia do not produce electricity from nuclear energy and </w:t>
      </w:r>
      <w:r w:rsidR="00557043" w:rsidRPr="0094697E">
        <w:rPr>
          <w:rFonts w:ascii="Times New Roman" w:eastAsia="Calibri" w:hAnsi="Times New Roman" w:cs="Times New Roman"/>
        </w:rPr>
        <w:t>Kazakhstan’s</w:t>
      </w:r>
      <w:r w:rsidRPr="0094697E">
        <w:rPr>
          <w:rFonts w:ascii="Times New Roman" w:eastAsia="Calibri" w:hAnsi="Times New Roman" w:cs="Times New Roman"/>
        </w:rPr>
        <w:t xml:space="preserve"> sole nuclear power plant, a BN350 nuclear reactor at </w:t>
      </w:r>
      <w:proofErr w:type="spellStart"/>
      <w:r w:rsidRPr="0094697E">
        <w:rPr>
          <w:rFonts w:ascii="Times New Roman" w:eastAsia="Calibri" w:hAnsi="Times New Roman" w:cs="Times New Roman"/>
        </w:rPr>
        <w:t>Mangyshlak</w:t>
      </w:r>
      <w:proofErr w:type="spellEnd"/>
      <w:r w:rsidRPr="0094697E">
        <w:rPr>
          <w:rFonts w:ascii="Times New Roman" w:eastAsia="Calibri" w:hAnsi="Times New Roman" w:cs="Times New Roman"/>
        </w:rPr>
        <w:t>, was decommissioned in 2001.</w:t>
      </w:r>
    </w:p>
    <w:p w:rsidR="00DC61C4" w:rsidRPr="0094697E" w:rsidRDefault="00DC61C4" w:rsidP="00557043">
      <w:pPr>
        <w:spacing w:after="0" w:line="360" w:lineRule="auto"/>
        <w:jc w:val="both"/>
        <w:rPr>
          <w:rFonts w:ascii="Times New Roman" w:eastAsia="Calibri" w:hAnsi="Times New Roman" w:cs="Times New Roman"/>
        </w:rPr>
      </w:pPr>
    </w:p>
    <w:p w:rsidR="00004FBD" w:rsidRPr="0094697E" w:rsidRDefault="0065500E" w:rsidP="00EF699F">
      <w:pPr>
        <w:rPr>
          <w:rFonts w:ascii="Times New Roman" w:eastAsia="Calibri Light" w:hAnsi="Times New Roman" w:cs="Times New Roman"/>
          <w:b/>
        </w:rPr>
      </w:pPr>
      <w:r w:rsidRPr="0094697E">
        <w:rPr>
          <w:rFonts w:ascii="Times New Roman" w:eastAsia="Calibri Light" w:hAnsi="Times New Roman" w:cs="Times New Roman"/>
          <w:b/>
        </w:rPr>
        <w:t xml:space="preserve">vii) </w:t>
      </w:r>
      <w:r w:rsidR="00DC61C4" w:rsidRPr="0094697E">
        <w:rPr>
          <w:rFonts w:ascii="Times New Roman" w:eastAsia="Calibri Light" w:hAnsi="Times New Roman" w:cs="Times New Roman"/>
          <w:b/>
        </w:rPr>
        <w:t>Selection of electricity process for hydro-electricity</w:t>
      </w:r>
    </w:p>
    <w:p w:rsidR="00DC61C4" w:rsidRPr="0094697E" w:rsidRDefault="00DC61C4"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The</w:t>
      </w:r>
      <w:r w:rsidR="00004FBD" w:rsidRPr="0094697E">
        <w:rPr>
          <w:rFonts w:ascii="Times New Roman" w:eastAsia="Calibri" w:hAnsi="Times New Roman" w:cs="Times New Roman"/>
        </w:rPr>
        <w:t xml:space="preserve"> majority of China’s hydro-electricity</w:t>
      </w:r>
      <w:r w:rsidRPr="0094697E">
        <w:rPr>
          <w:rFonts w:ascii="Times New Roman" w:eastAsia="Calibri" w:hAnsi="Times New Roman" w:cs="Times New Roman"/>
        </w:rPr>
        <w:t xml:space="preserve"> is produced via storage (75%) co</w:t>
      </w:r>
      <w:r w:rsidR="00004FBD" w:rsidRPr="0094697E">
        <w:rPr>
          <w:rFonts w:ascii="Times New Roman" w:eastAsia="Calibri" w:hAnsi="Times New Roman" w:cs="Times New Roman"/>
        </w:rPr>
        <w:t xml:space="preserve">mpared to only 25% from run off </w:t>
      </w:r>
      <w:r w:rsidR="007B2A47" w:rsidRPr="0094697E">
        <w:rPr>
          <w:rFonts w:ascii="Times New Roman" w:eastAsia="Calibri" w:hAnsi="Times New Roman" w:cs="Times New Roman"/>
          <w:noProof/>
        </w:rPr>
        <w:t>(Itten et al. 2014b)</w:t>
      </w:r>
      <w:r w:rsidR="00004FBD" w:rsidRPr="0094697E">
        <w:rPr>
          <w:rFonts w:ascii="Times New Roman" w:eastAsia="Calibri" w:hAnsi="Times New Roman" w:cs="Times New Roman"/>
        </w:rPr>
        <w:t>.</w:t>
      </w:r>
      <w:r w:rsidRPr="0094697E">
        <w:rPr>
          <w:rFonts w:ascii="Times New Roman" w:eastAsia="Calibri" w:hAnsi="Times New Roman" w:cs="Times New Roman"/>
        </w:rPr>
        <w:t xml:space="preserve">  Unfortunately, no hydro-electric</w:t>
      </w:r>
      <w:r w:rsidR="00EF699F" w:rsidRPr="0094697E">
        <w:rPr>
          <w:rFonts w:ascii="Times New Roman" w:eastAsia="Calibri" w:hAnsi="Times New Roman" w:cs="Times New Roman"/>
        </w:rPr>
        <w:t xml:space="preserve"> processes from China</w:t>
      </w:r>
      <w:r w:rsidRPr="0094697E">
        <w:rPr>
          <w:rFonts w:ascii="Times New Roman" w:eastAsia="Calibri" w:hAnsi="Times New Roman" w:cs="Times New Roman"/>
        </w:rPr>
        <w:t xml:space="preserve"> exists in this version of </w:t>
      </w:r>
      <w:r w:rsidR="004D2D91" w:rsidRPr="0094697E">
        <w:rPr>
          <w:rFonts w:ascii="Times New Roman" w:eastAsia="Calibri" w:hAnsi="Times New Roman" w:cs="Times New Roman"/>
        </w:rPr>
        <w:t>GaBi</w:t>
      </w:r>
      <w:r w:rsidRPr="0094697E">
        <w:rPr>
          <w:rFonts w:ascii="Times New Roman" w:eastAsia="Calibri" w:hAnsi="Times New Roman" w:cs="Times New Roman"/>
        </w:rPr>
        <w:t>. In this case</w:t>
      </w:r>
      <w:r w:rsidR="00EF699F" w:rsidRPr="0094697E">
        <w:rPr>
          <w:rFonts w:ascii="Times New Roman" w:eastAsia="Calibri" w:hAnsi="Times New Roman" w:cs="Times New Roman"/>
        </w:rPr>
        <w:t>,</w:t>
      </w:r>
      <w:r w:rsidRPr="0094697E">
        <w:rPr>
          <w:rFonts w:ascii="Times New Roman" w:eastAsia="Calibri" w:hAnsi="Times New Roman" w:cs="Times New Roman"/>
        </w:rPr>
        <w:t xml:space="preserve"> hydro-electricity was modelled from Brazil since it is the second largest global producer of hydro-power after China. Secondly, the majority of electricity produced is from storage (100%)</w:t>
      </w:r>
      <w:r w:rsidR="00EF699F" w:rsidRPr="0094697E">
        <w:rPr>
          <w:rFonts w:ascii="Times New Roman" w:eastAsia="Calibri" w:hAnsi="Times New Roman" w:cs="Times New Roman"/>
        </w:rPr>
        <w:t xml:space="preserve"> similar to China</w:t>
      </w:r>
      <w:r w:rsidRPr="0094697E">
        <w:rPr>
          <w:rFonts w:ascii="Times New Roman" w:eastAsia="Calibri" w:hAnsi="Times New Roman" w:cs="Times New Roman"/>
        </w:rPr>
        <w:t>.</w:t>
      </w:r>
    </w:p>
    <w:p w:rsidR="00DC61C4" w:rsidRPr="0094697E" w:rsidRDefault="00EF699F"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For South Africa, there was</w:t>
      </w:r>
      <w:r w:rsidR="00DC61C4" w:rsidRPr="0094697E">
        <w:rPr>
          <w:rFonts w:ascii="Times New Roman" w:eastAsia="Calibri" w:hAnsi="Times New Roman" w:cs="Times New Roman"/>
        </w:rPr>
        <w:t xml:space="preserve"> no hydro-electric processes for South Africa or any other African nation in </w:t>
      </w:r>
      <w:r w:rsidR="004D2D91" w:rsidRPr="0094697E">
        <w:rPr>
          <w:rFonts w:ascii="Times New Roman" w:eastAsia="Calibri" w:hAnsi="Times New Roman" w:cs="Times New Roman"/>
        </w:rPr>
        <w:t>GaBi</w:t>
      </w:r>
      <w:r w:rsidR="00DC61C4" w:rsidRPr="0094697E">
        <w:rPr>
          <w:rFonts w:ascii="Times New Roman" w:eastAsia="Calibri" w:hAnsi="Times New Roman" w:cs="Times New Roman"/>
        </w:rPr>
        <w:t>. The 2% of electrici</w:t>
      </w:r>
      <w:r w:rsidRPr="0094697E">
        <w:rPr>
          <w:rFonts w:ascii="Times New Roman" w:eastAsia="Calibri" w:hAnsi="Times New Roman" w:cs="Times New Roman"/>
        </w:rPr>
        <w:t>ty generated from hydro-power was</w:t>
      </w:r>
      <w:r w:rsidR="00DC61C4" w:rsidRPr="0094697E">
        <w:rPr>
          <w:rFonts w:ascii="Times New Roman" w:eastAsia="Calibri" w:hAnsi="Times New Roman" w:cs="Times New Roman"/>
        </w:rPr>
        <w:t xml:space="preserve"> mainly via storage type hydro-power. South Africa mainly imports hydro-electricity from its neighbours which include: Mozambique, Lesotho and Zimbabwe. Thus, the best approximation for electricity production from hydropo</w:t>
      </w:r>
      <w:r w:rsidRPr="0094697E">
        <w:rPr>
          <w:rFonts w:ascii="Times New Roman" w:eastAsia="Calibri" w:hAnsi="Times New Roman" w:cs="Times New Roman"/>
        </w:rPr>
        <w:t xml:space="preserve">wer is using Brazilian dataset </w:t>
      </w:r>
      <w:r w:rsidR="007B2A47" w:rsidRPr="0094697E">
        <w:rPr>
          <w:rFonts w:ascii="Times New Roman" w:eastAsia="Calibri" w:hAnsi="Times New Roman" w:cs="Times New Roman"/>
          <w:noProof/>
        </w:rPr>
        <w:t>(Itten et al. 2014b)</w:t>
      </w:r>
      <w:r w:rsidRPr="0094697E">
        <w:rPr>
          <w:rFonts w:ascii="Times New Roman" w:eastAsia="Calibri" w:hAnsi="Times New Roman" w:cs="Times New Roman"/>
        </w:rPr>
        <w:t>.</w:t>
      </w:r>
    </w:p>
    <w:p w:rsidR="00DC61C4" w:rsidRPr="0094697E" w:rsidRDefault="00DC61C4"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Kazakhstan has five major hydroelectric plants primarily located along the Irtysh River which flows from China across northeast Kazakhstan. The s</w:t>
      </w:r>
      <w:r w:rsidR="00EF699F" w:rsidRPr="0094697E">
        <w:rPr>
          <w:rFonts w:ascii="Times New Roman" w:eastAsia="Calibri" w:hAnsi="Times New Roman" w:cs="Times New Roman"/>
        </w:rPr>
        <w:t>hare of hydro-electricity</w:t>
      </w:r>
      <w:r w:rsidRPr="0094697E">
        <w:rPr>
          <w:rFonts w:ascii="Times New Roman" w:eastAsia="Calibri" w:hAnsi="Times New Roman" w:cs="Times New Roman"/>
        </w:rPr>
        <w:t xml:space="preserve"> is via storage type. Thus, the best approximation for electrici</w:t>
      </w:r>
      <w:r w:rsidR="00EF699F" w:rsidRPr="0094697E">
        <w:rPr>
          <w:rFonts w:ascii="Times New Roman" w:eastAsia="Calibri" w:hAnsi="Times New Roman" w:cs="Times New Roman"/>
        </w:rPr>
        <w:t>ty production from hydropower was</w:t>
      </w:r>
      <w:r w:rsidR="000834AA" w:rsidRPr="0094697E">
        <w:rPr>
          <w:rFonts w:ascii="Times New Roman" w:eastAsia="Calibri" w:hAnsi="Times New Roman" w:cs="Times New Roman"/>
        </w:rPr>
        <w:t xml:space="preserve"> using the average EU-27</w:t>
      </w:r>
      <w:r w:rsidRPr="0094697E">
        <w:rPr>
          <w:rFonts w:ascii="Times New Roman" w:eastAsia="Calibri" w:hAnsi="Times New Roman" w:cs="Times New Roman"/>
        </w:rPr>
        <w:t xml:space="preserve"> dataset.</w:t>
      </w:r>
    </w:p>
    <w:p w:rsidR="00EF699F" w:rsidRPr="0094697E" w:rsidRDefault="00EF699F"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Likewise t</w:t>
      </w:r>
      <w:r w:rsidR="00DC61C4" w:rsidRPr="0094697E">
        <w:rPr>
          <w:rFonts w:ascii="Times New Roman" w:eastAsia="Calibri" w:hAnsi="Times New Roman" w:cs="Times New Roman"/>
        </w:rPr>
        <w:t>he electricity production from hydro</w:t>
      </w:r>
      <w:r w:rsidRPr="0094697E">
        <w:rPr>
          <w:rFonts w:ascii="Times New Roman" w:eastAsia="Calibri" w:hAnsi="Times New Roman" w:cs="Times New Roman"/>
        </w:rPr>
        <w:t>-power for Russia and Ukraine was</w:t>
      </w:r>
      <w:r w:rsidR="00DC61C4" w:rsidRPr="0094697E">
        <w:rPr>
          <w:rFonts w:ascii="Times New Roman" w:eastAsia="Calibri" w:hAnsi="Times New Roman" w:cs="Times New Roman"/>
        </w:rPr>
        <w:t xml:space="preserve"> approximated</w:t>
      </w:r>
      <w:r w:rsidR="000834AA" w:rsidRPr="0094697E">
        <w:rPr>
          <w:rFonts w:ascii="Times New Roman" w:eastAsia="Calibri" w:hAnsi="Times New Roman" w:cs="Times New Roman"/>
        </w:rPr>
        <w:t xml:space="preserve"> using the average EU-27</w:t>
      </w:r>
      <w:r w:rsidR="00DC61C4" w:rsidRPr="0094697E">
        <w:rPr>
          <w:rFonts w:ascii="Times New Roman" w:eastAsia="Calibri" w:hAnsi="Times New Roman" w:cs="Times New Roman"/>
        </w:rPr>
        <w:t xml:space="preserve"> dataset </w:t>
      </w:r>
      <w:r w:rsidRPr="0094697E">
        <w:rPr>
          <w:rFonts w:ascii="Times New Roman" w:eastAsia="Calibri" w:hAnsi="Times New Roman" w:cs="Times New Roman"/>
        </w:rPr>
        <w:t>taking into account storage, run-off and pumped type hydro-production.</w:t>
      </w:r>
    </w:p>
    <w:p w:rsidR="00DC61C4" w:rsidRPr="0094697E" w:rsidRDefault="00DC61C4"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Hydro-power in New Caledonia is via the Yate Dam., which contributes 100% of storage type hydro-power production. The electricity production from hydro-power is approximated using datasets </w:t>
      </w:r>
      <w:r w:rsidRPr="0094697E">
        <w:rPr>
          <w:rFonts w:ascii="Times New Roman" w:eastAsia="Calibri" w:hAnsi="Times New Roman" w:cs="Times New Roman"/>
        </w:rPr>
        <w:lastRenderedPageBreak/>
        <w:t xml:space="preserve">from Brazil based on the type of hydro-power generation. Alternative datasets include Australia but it is not selected due to the share of its hydro-power being mainly by </w:t>
      </w:r>
      <w:proofErr w:type="gramStart"/>
      <w:r w:rsidRPr="0094697E">
        <w:rPr>
          <w:rFonts w:ascii="Times New Roman" w:eastAsia="Calibri" w:hAnsi="Times New Roman" w:cs="Times New Roman"/>
        </w:rPr>
        <w:t>run-off river</w:t>
      </w:r>
      <w:proofErr w:type="gramEnd"/>
      <w:r w:rsidRPr="0094697E">
        <w:rPr>
          <w:rFonts w:ascii="Times New Roman" w:eastAsia="Calibri" w:hAnsi="Times New Roman" w:cs="Times New Roman"/>
        </w:rPr>
        <w:t>.</w:t>
      </w:r>
    </w:p>
    <w:p w:rsidR="00DC61C4" w:rsidRPr="0094697E" w:rsidRDefault="00DC61C4" w:rsidP="0065500E">
      <w:pPr>
        <w:rPr>
          <w:rFonts w:ascii="Times New Roman" w:eastAsia="Calibri" w:hAnsi="Times New Roman" w:cs="Times New Roman"/>
          <w:b/>
        </w:rPr>
      </w:pPr>
    </w:p>
    <w:p w:rsidR="00DC61C4" w:rsidRPr="0094697E" w:rsidRDefault="0065500E" w:rsidP="0065500E">
      <w:pPr>
        <w:rPr>
          <w:rFonts w:ascii="Times New Roman" w:eastAsia="Calibri Light" w:hAnsi="Times New Roman" w:cs="Times New Roman"/>
          <w:b/>
        </w:rPr>
      </w:pPr>
      <w:r w:rsidRPr="0094697E">
        <w:rPr>
          <w:rFonts w:ascii="Times New Roman" w:eastAsia="Calibri Light" w:hAnsi="Times New Roman" w:cs="Times New Roman"/>
          <w:b/>
        </w:rPr>
        <w:t xml:space="preserve">viii) </w:t>
      </w:r>
      <w:r w:rsidR="00DC61C4" w:rsidRPr="0094697E">
        <w:rPr>
          <w:rFonts w:ascii="Times New Roman" w:eastAsia="Calibri Light" w:hAnsi="Times New Roman" w:cs="Times New Roman"/>
          <w:b/>
        </w:rPr>
        <w:t>Selection of electricity process for geothermal power</w:t>
      </w:r>
    </w:p>
    <w:p w:rsidR="00DC61C4" w:rsidRPr="0094697E" w:rsidRDefault="00DC61C4"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Wi</w:t>
      </w:r>
      <w:r w:rsidR="00EF699F" w:rsidRPr="0094697E">
        <w:rPr>
          <w:rFonts w:ascii="Times New Roman" w:eastAsia="Calibri" w:hAnsi="Times New Roman" w:cs="Times New Roman"/>
        </w:rPr>
        <w:t xml:space="preserve">thin the </w:t>
      </w:r>
      <w:r w:rsidR="004D2D91" w:rsidRPr="0094697E">
        <w:rPr>
          <w:rFonts w:ascii="Times New Roman" w:eastAsia="Calibri" w:hAnsi="Times New Roman" w:cs="Times New Roman"/>
        </w:rPr>
        <w:t>GaBi</w:t>
      </w:r>
      <w:r w:rsidR="00EF699F" w:rsidRPr="0094697E">
        <w:rPr>
          <w:rFonts w:ascii="Times New Roman" w:eastAsia="Calibri" w:hAnsi="Times New Roman" w:cs="Times New Roman"/>
        </w:rPr>
        <w:t xml:space="preserve"> database there were only five countries which could</w:t>
      </w:r>
      <w:r w:rsidRPr="0094697E">
        <w:rPr>
          <w:rFonts w:ascii="Times New Roman" w:eastAsia="Calibri" w:hAnsi="Times New Roman" w:cs="Times New Roman"/>
        </w:rPr>
        <w:t xml:space="preserve"> model geothermal power: Italy, Portugal, Japan, New Zealand and the USA, thus limiting selections to best approximations.</w:t>
      </w:r>
    </w:p>
    <w:p w:rsidR="00DC61C4" w:rsidRPr="0094697E" w:rsidRDefault="00DC61C4"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For Russia, Portugal was selected based on cumulative instal</w:t>
      </w:r>
      <w:r w:rsidR="00EF699F" w:rsidRPr="0094697E">
        <w:rPr>
          <w:rFonts w:ascii="Times New Roman" w:eastAsia="Calibri" w:hAnsi="Times New Roman" w:cs="Times New Roman"/>
        </w:rPr>
        <w:t xml:space="preserve">led capacity in 2013 </w:t>
      </w:r>
      <w:r w:rsidR="00EF699F" w:rsidRPr="0094697E">
        <w:rPr>
          <w:rFonts w:ascii="Times New Roman" w:eastAsia="Calibri" w:hAnsi="Times New Roman" w:cs="Times New Roman"/>
          <w:noProof/>
        </w:rPr>
        <w:t>(</w:t>
      </w:r>
      <w:r w:rsidR="009051E4" w:rsidRPr="0094697E">
        <w:rPr>
          <w:rFonts w:ascii="Times New Roman" w:eastAsia="Calibri" w:hAnsi="Times New Roman" w:cs="Times New Roman"/>
          <w:noProof/>
        </w:rPr>
        <w:t>Finley,</w:t>
      </w:r>
      <w:r w:rsidR="00DE0181" w:rsidRPr="0094697E">
        <w:rPr>
          <w:rFonts w:ascii="Times New Roman" w:eastAsia="Calibri" w:hAnsi="Times New Roman" w:cs="Times New Roman"/>
          <w:noProof/>
        </w:rPr>
        <w:t xml:space="preserve"> 2013</w:t>
      </w:r>
      <w:r w:rsidR="00EF699F" w:rsidRPr="0094697E">
        <w:rPr>
          <w:rFonts w:ascii="Times New Roman" w:eastAsia="Calibri" w:hAnsi="Times New Roman" w:cs="Times New Roman"/>
          <w:noProof/>
        </w:rPr>
        <w:t>)</w:t>
      </w:r>
      <w:r w:rsidR="00EF699F" w:rsidRPr="0094697E">
        <w:rPr>
          <w:rFonts w:ascii="Times New Roman" w:eastAsia="Calibri" w:hAnsi="Times New Roman" w:cs="Times New Roman"/>
        </w:rPr>
        <w:t xml:space="preserve">. </w:t>
      </w:r>
      <w:r w:rsidRPr="0094697E">
        <w:rPr>
          <w:rFonts w:ascii="Times New Roman" w:eastAsia="Calibri" w:hAnsi="Times New Roman" w:cs="Times New Roman"/>
        </w:rPr>
        <w:t>Selection of this parameter was based on current global position of each country, where Portugal (0.2%) had similar global shares to China (0.2%) and Russia (0.7%). Alternatively Japan could have been selected but its capacity (503 MW</w:t>
      </w:r>
      <w:r w:rsidR="00EF699F" w:rsidRPr="0094697E">
        <w:rPr>
          <w:rFonts w:ascii="Times New Roman" w:eastAsia="Calibri" w:hAnsi="Times New Roman" w:cs="Times New Roman"/>
        </w:rPr>
        <w:t>) and global share of (4.3%) were</w:t>
      </w:r>
      <w:r w:rsidRPr="0094697E">
        <w:rPr>
          <w:rFonts w:ascii="Times New Roman" w:eastAsia="Calibri" w:hAnsi="Times New Roman" w:cs="Times New Roman"/>
        </w:rPr>
        <w:t xml:space="preserve"> significantly higher.</w:t>
      </w:r>
    </w:p>
    <w:p w:rsidR="00DC61C4" w:rsidRPr="0094697E" w:rsidRDefault="00DC61C4"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No countries were selected for </w:t>
      </w:r>
      <w:r w:rsidR="00FD3818" w:rsidRPr="0094697E">
        <w:rPr>
          <w:rFonts w:ascii="Times New Roman" w:eastAsia="Calibri" w:hAnsi="Times New Roman" w:cs="Times New Roman"/>
        </w:rPr>
        <w:t xml:space="preserve">China, </w:t>
      </w:r>
      <w:r w:rsidRPr="0094697E">
        <w:rPr>
          <w:rFonts w:ascii="Times New Roman" w:eastAsia="Calibri" w:hAnsi="Times New Roman" w:cs="Times New Roman"/>
        </w:rPr>
        <w:t>Kazakhstan, South Africa, Ukraine and New Caledonia since negligible electri</w:t>
      </w:r>
      <w:r w:rsidR="00EF699F" w:rsidRPr="0094697E">
        <w:rPr>
          <w:rFonts w:ascii="Times New Roman" w:eastAsia="Calibri" w:hAnsi="Times New Roman" w:cs="Times New Roman"/>
        </w:rPr>
        <w:t>city was</w:t>
      </w:r>
      <w:r w:rsidRPr="0094697E">
        <w:rPr>
          <w:rFonts w:ascii="Times New Roman" w:eastAsia="Calibri" w:hAnsi="Times New Roman" w:cs="Times New Roman"/>
        </w:rPr>
        <w:t xml:space="preserve"> produced from geothermal power.</w:t>
      </w:r>
    </w:p>
    <w:p w:rsidR="00DC61C4" w:rsidRPr="0094697E" w:rsidRDefault="00DC61C4" w:rsidP="00DC61C4">
      <w:pPr>
        <w:spacing w:after="0" w:line="360" w:lineRule="auto"/>
        <w:ind w:firstLine="720"/>
        <w:jc w:val="both"/>
        <w:rPr>
          <w:rFonts w:ascii="Times New Roman" w:eastAsia="Calibri" w:hAnsi="Times New Roman" w:cs="Times New Roman"/>
        </w:rPr>
      </w:pPr>
    </w:p>
    <w:p w:rsidR="00A43D20" w:rsidRPr="0094697E" w:rsidRDefault="0065500E" w:rsidP="00A43D20">
      <w:pPr>
        <w:rPr>
          <w:rFonts w:ascii="Times New Roman" w:eastAsia="Calibri Light" w:hAnsi="Times New Roman" w:cs="Times New Roman"/>
          <w:b/>
        </w:rPr>
      </w:pPr>
      <w:r w:rsidRPr="0094697E">
        <w:rPr>
          <w:rFonts w:ascii="Times New Roman" w:eastAsia="Calibri Light" w:hAnsi="Times New Roman" w:cs="Times New Roman"/>
          <w:b/>
        </w:rPr>
        <w:t xml:space="preserve">ix) </w:t>
      </w:r>
      <w:r w:rsidR="00DC61C4" w:rsidRPr="0094697E">
        <w:rPr>
          <w:rFonts w:ascii="Times New Roman" w:eastAsia="Calibri Light" w:hAnsi="Times New Roman" w:cs="Times New Roman"/>
          <w:b/>
        </w:rPr>
        <w:t>Selection of electricity process for solar power</w:t>
      </w:r>
    </w:p>
    <w:p w:rsidR="00A43D20" w:rsidRPr="0094697E" w:rsidRDefault="00DC61C4" w:rsidP="00A43D20">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Japan was selected to represent China since, both nations dominate the solar</w:t>
      </w:r>
      <w:r w:rsidR="00A43D20" w:rsidRPr="0094697E">
        <w:rPr>
          <w:rFonts w:ascii="Times New Roman" w:eastAsia="Calibri" w:hAnsi="Times New Roman" w:cs="Times New Roman"/>
        </w:rPr>
        <w:t xml:space="preserve"> photovoltaic (</w:t>
      </w:r>
      <w:r w:rsidRPr="0094697E">
        <w:rPr>
          <w:rFonts w:ascii="Times New Roman" w:eastAsia="Calibri" w:hAnsi="Times New Roman" w:cs="Times New Roman"/>
        </w:rPr>
        <w:t>PV</w:t>
      </w:r>
      <w:r w:rsidR="00A43D20" w:rsidRPr="0094697E">
        <w:rPr>
          <w:rFonts w:ascii="Times New Roman" w:eastAsia="Calibri" w:hAnsi="Times New Roman" w:cs="Times New Roman"/>
        </w:rPr>
        <w:t>)</w:t>
      </w:r>
      <w:r w:rsidRPr="0094697E">
        <w:rPr>
          <w:rFonts w:ascii="Times New Roman" w:eastAsia="Calibri" w:hAnsi="Times New Roman" w:cs="Times New Roman"/>
        </w:rPr>
        <w:t xml:space="preserve"> market and both had excellent growth</w:t>
      </w:r>
      <w:r w:rsidR="00A43D20" w:rsidRPr="0094697E">
        <w:rPr>
          <w:rFonts w:ascii="Times New Roman" w:eastAsia="Calibri" w:hAnsi="Times New Roman" w:cs="Times New Roman"/>
        </w:rPr>
        <w:t xml:space="preserve"> compared to 2012 levels (China 160% and Japan 103% respectively). In particular growth by China accounted for nearly one-third of global capacity added, followed by Japan and the United States. In addition solar power was</w:t>
      </w:r>
      <w:r w:rsidRPr="0094697E">
        <w:rPr>
          <w:rFonts w:ascii="Times New Roman" w:eastAsia="Calibri" w:hAnsi="Times New Roman" w:cs="Times New Roman"/>
        </w:rPr>
        <w:t xml:space="preserve"> 99</w:t>
      </w:r>
      <w:r w:rsidR="00A43D20" w:rsidRPr="0094697E">
        <w:rPr>
          <w:rFonts w:ascii="Times New Roman" w:eastAsia="Calibri" w:hAnsi="Times New Roman" w:cs="Times New Roman"/>
        </w:rPr>
        <w:t xml:space="preserve">% via solar PV rather than by Concentrating Solar Power CSP for both nations </w:t>
      </w:r>
      <w:r w:rsidR="00A43D20" w:rsidRPr="0094697E">
        <w:rPr>
          <w:rFonts w:ascii="Times New Roman" w:eastAsia="Calibri" w:hAnsi="Times New Roman" w:cs="Times New Roman"/>
          <w:noProof/>
        </w:rPr>
        <w:t>(</w:t>
      </w:r>
      <w:r w:rsidR="00DE0181" w:rsidRPr="0094697E">
        <w:rPr>
          <w:rFonts w:ascii="Times New Roman" w:eastAsia="Calibri" w:hAnsi="Times New Roman" w:cs="Times New Roman"/>
          <w:noProof/>
        </w:rPr>
        <w:t>Finley, 2013</w:t>
      </w:r>
      <w:r w:rsidR="00A43D20" w:rsidRPr="0094697E">
        <w:rPr>
          <w:rFonts w:ascii="Times New Roman" w:eastAsia="Calibri" w:hAnsi="Times New Roman" w:cs="Times New Roman"/>
          <w:noProof/>
        </w:rPr>
        <w:t>)</w:t>
      </w:r>
      <w:r w:rsidR="00A43D20" w:rsidRPr="0094697E">
        <w:rPr>
          <w:rFonts w:ascii="Times New Roman" w:eastAsia="Calibri" w:hAnsi="Times New Roman" w:cs="Times New Roman"/>
        </w:rPr>
        <w:t>.</w:t>
      </w:r>
    </w:p>
    <w:p w:rsidR="00A43D20" w:rsidRPr="0094697E" w:rsidRDefault="00DC61C4" w:rsidP="00A43D20">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South Africa generated 50</w:t>
      </w:r>
      <w:r w:rsidR="00EF699F" w:rsidRPr="0094697E">
        <w:rPr>
          <w:rFonts w:ascii="Times New Roman" w:eastAsia="Calibri" w:hAnsi="Times New Roman" w:cs="Times New Roman"/>
        </w:rPr>
        <w:t xml:space="preserve"> </w:t>
      </w:r>
      <w:proofErr w:type="spellStart"/>
      <w:r w:rsidR="00F6210A">
        <w:rPr>
          <w:rFonts w:ascii="Times New Roman" w:eastAsia="Calibri" w:hAnsi="Times New Roman" w:cs="Times New Roman"/>
        </w:rPr>
        <w:t>GWh</w:t>
      </w:r>
      <w:proofErr w:type="spellEnd"/>
      <w:r w:rsidRPr="0094697E">
        <w:rPr>
          <w:rFonts w:ascii="Times New Roman" w:eastAsia="Calibri" w:hAnsi="Times New Roman" w:cs="Times New Roman"/>
        </w:rPr>
        <w:t xml:space="preserve"> of electricity from solar in 2012 which made up 0.02% of </w:t>
      </w:r>
      <w:r w:rsidR="00A43D20" w:rsidRPr="0094697E">
        <w:rPr>
          <w:rFonts w:ascii="Times New Roman" w:eastAsia="Calibri" w:hAnsi="Times New Roman" w:cs="Times New Roman"/>
        </w:rPr>
        <w:t>its total electricity. There were</w:t>
      </w:r>
      <w:r w:rsidRPr="0094697E">
        <w:rPr>
          <w:rFonts w:ascii="Times New Roman" w:eastAsia="Calibri" w:hAnsi="Times New Roman" w:cs="Times New Roman"/>
        </w:rPr>
        <w:t xml:space="preserve"> no African nations in </w:t>
      </w:r>
      <w:r w:rsidR="004D2D91" w:rsidRPr="0094697E">
        <w:rPr>
          <w:rFonts w:ascii="Times New Roman" w:eastAsia="Calibri" w:hAnsi="Times New Roman" w:cs="Times New Roman"/>
        </w:rPr>
        <w:t>GaBi</w:t>
      </w:r>
      <w:r w:rsidRPr="0094697E">
        <w:rPr>
          <w:rFonts w:ascii="Times New Roman" w:eastAsia="Calibri" w:hAnsi="Times New Roman" w:cs="Times New Roman"/>
        </w:rPr>
        <w:t xml:space="preserve"> for representation of electricity from solar therefore Sweden was denoted to represent South Africa based on a worst case scenario. Other European nations were not selected since th</w:t>
      </w:r>
      <w:r w:rsidR="00A43D20" w:rsidRPr="0094697E">
        <w:rPr>
          <w:rFonts w:ascii="Times New Roman" w:eastAsia="Calibri" w:hAnsi="Times New Roman" w:cs="Times New Roman"/>
        </w:rPr>
        <w:t>eir production and technology was</w:t>
      </w:r>
      <w:r w:rsidRPr="0094697E">
        <w:rPr>
          <w:rFonts w:ascii="Times New Roman" w:eastAsia="Calibri" w:hAnsi="Times New Roman" w:cs="Times New Roman"/>
        </w:rPr>
        <w:t xml:space="preserve"> more advanced than Sweden and would be an over-representation.</w:t>
      </w:r>
    </w:p>
    <w:p w:rsidR="00DC61C4" w:rsidRPr="0094697E" w:rsidRDefault="00DC61C4" w:rsidP="00A43D20">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Ukraine has a similar European market share (approximately 3%) as countries such as Netherlands and Switzerland. Although Ukraine’s total installed capacity in 2012 (130 MW) was lower than Switzerland (226MW) and Netherlands (360MW), Switzerland</w:t>
      </w:r>
      <w:r w:rsidR="00A43D20" w:rsidRPr="0094697E">
        <w:rPr>
          <w:rFonts w:ascii="Times New Roman" w:eastAsia="Calibri" w:hAnsi="Times New Roman" w:cs="Times New Roman"/>
        </w:rPr>
        <w:t xml:space="preserve"> was</w:t>
      </w:r>
      <w:r w:rsidRPr="0094697E">
        <w:rPr>
          <w:rFonts w:ascii="Times New Roman" w:eastAsia="Calibri" w:hAnsi="Times New Roman" w:cs="Times New Roman"/>
        </w:rPr>
        <w:t xml:space="preserve"> selected </w:t>
      </w:r>
      <w:r w:rsidR="00A43D20" w:rsidRPr="0094697E">
        <w:rPr>
          <w:rFonts w:ascii="Times New Roman" w:eastAsia="Calibri" w:hAnsi="Times New Roman" w:cs="Times New Roman"/>
        </w:rPr>
        <w:t xml:space="preserve">based on installed capacity. </w:t>
      </w:r>
    </w:p>
    <w:p w:rsidR="00DC61C4" w:rsidRPr="0094697E" w:rsidRDefault="00DC61C4"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For </w:t>
      </w:r>
      <w:r w:rsidR="000834AA" w:rsidRPr="0094697E">
        <w:rPr>
          <w:rFonts w:ascii="Times New Roman" w:eastAsia="Calibri" w:hAnsi="Times New Roman" w:cs="Times New Roman"/>
        </w:rPr>
        <w:t>Kazakhstan</w:t>
      </w:r>
      <w:r w:rsidR="00A43D20" w:rsidRPr="0094697E">
        <w:rPr>
          <w:rFonts w:ascii="Times New Roman" w:eastAsia="Calibri" w:hAnsi="Times New Roman" w:cs="Times New Roman"/>
        </w:rPr>
        <w:t>,</w:t>
      </w:r>
      <w:r w:rsidR="00DA58F2" w:rsidRPr="0094697E">
        <w:rPr>
          <w:rFonts w:ascii="Times New Roman" w:eastAsia="Calibri" w:hAnsi="Times New Roman" w:cs="Times New Roman"/>
        </w:rPr>
        <w:t xml:space="preserve"> New Caledonia,</w:t>
      </w:r>
      <w:r w:rsidR="00A43D20" w:rsidRPr="0094697E">
        <w:rPr>
          <w:rFonts w:ascii="Times New Roman" w:eastAsia="Calibri" w:hAnsi="Times New Roman" w:cs="Times New Roman"/>
        </w:rPr>
        <w:t xml:space="preserve"> Norway and Russian</w:t>
      </w:r>
      <w:r w:rsidRPr="0094697E">
        <w:rPr>
          <w:rFonts w:ascii="Times New Roman" w:eastAsia="Calibri" w:hAnsi="Times New Roman" w:cs="Times New Roman"/>
        </w:rPr>
        <w:t xml:space="preserve"> no </w:t>
      </w:r>
      <w:r w:rsidR="00A43D20" w:rsidRPr="0094697E">
        <w:rPr>
          <w:rFonts w:ascii="Times New Roman" w:eastAsia="Calibri" w:hAnsi="Times New Roman" w:cs="Times New Roman"/>
        </w:rPr>
        <w:t xml:space="preserve">countries were selected due to negligible or no electricity being </w:t>
      </w:r>
      <w:r w:rsidRPr="0094697E">
        <w:rPr>
          <w:rFonts w:ascii="Times New Roman" w:eastAsia="Calibri" w:hAnsi="Times New Roman" w:cs="Times New Roman"/>
        </w:rPr>
        <w:t>produced from solar power.</w:t>
      </w:r>
    </w:p>
    <w:p w:rsidR="0094697E" w:rsidRDefault="0094697E" w:rsidP="0065500E">
      <w:pPr>
        <w:rPr>
          <w:rFonts w:ascii="Times New Roman" w:eastAsia="Calibri Light" w:hAnsi="Times New Roman" w:cs="Times New Roman"/>
          <w:b/>
          <w:highlight w:val="yellow"/>
        </w:rPr>
      </w:pPr>
    </w:p>
    <w:p w:rsidR="00DC61C4" w:rsidRPr="0094697E" w:rsidRDefault="0065500E" w:rsidP="0065500E">
      <w:pPr>
        <w:rPr>
          <w:rFonts w:ascii="Times New Roman" w:eastAsia="Calibri Light" w:hAnsi="Times New Roman" w:cs="Times New Roman"/>
          <w:b/>
        </w:rPr>
      </w:pPr>
      <w:r w:rsidRPr="0094697E">
        <w:rPr>
          <w:rFonts w:ascii="Times New Roman" w:eastAsia="Calibri Light" w:hAnsi="Times New Roman" w:cs="Times New Roman"/>
          <w:b/>
        </w:rPr>
        <w:t xml:space="preserve">x) </w:t>
      </w:r>
      <w:r w:rsidR="00DC61C4" w:rsidRPr="0094697E">
        <w:rPr>
          <w:rFonts w:ascii="Times New Roman" w:eastAsia="Calibri Light" w:hAnsi="Times New Roman" w:cs="Times New Roman"/>
          <w:b/>
        </w:rPr>
        <w:t>Selection of electricity process for wind power</w:t>
      </w:r>
    </w:p>
    <w:p w:rsidR="006929E3" w:rsidRPr="0094697E" w:rsidRDefault="006929E3"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For China, </w:t>
      </w:r>
      <w:r w:rsidR="00DC61C4" w:rsidRPr="0094697E">
        <w:rPr>
          <w:rFonts w:ascii="Times New Roman" w:eastAsia="Calibri" w:hAnsi="Times New Roman" w:cs="Times New Roman"/>
        </w:rPr>
        <w:t xml:space="preserve">and Ukraine an </w:t>
      </w:r>
      <w:r w:rsidRPr="0094697E">
        <w:rPr>
          <w:rFonts w:ascii="Times New Roman" w:eastAsia="Calibri" w:hAnsi="Times New Roman" w:cs="Times New Roman"/>
        </w:rPr>
        <w:t>average European dataset EU-27</w:t>
      </w:r>
      <w:r w:rsidR="00DC61C4" w:rsidRPr="0094697E">
        <w:rPr>
          <w:rFonts w:ascii="Times New Roman" w:eastAsia="Calibri" w:hAnsi="Times New Roman" w:cs="Times New Roman"/>
        </w:rPr>
        <w:t xml:space="preserve"> was used. The select</w:t>
      </w:r>
      <w:r w:rsidRPr="0094697E">
        <w:rPr>
          <w:rFonts w:ascii="Times New Roman" w:eastAsia="Calibri" w:hAnsi="Times New Roman" w:cs="Times New Roman"/>
        </w:rPr>
        <w:t>ion for both countries</w:t>
      </w:r>
      <w:r w:rsidR="00DC61C4" w:rsidRPr="0094697E">
        <w:rPr>
          <w:rFonts w:ascii="Times New Roman" w:eastAsia="Calibri" w:hAnsi="Times New Roman" w:cs="Times New Roman"/>
        </w:rPr>
        <w:t xml:space="preserve"> was based on the fact that European data would include on-shore, offshore as well as nations such as Spain, Denmark and Germany who are significant users of wind power. </w:t>
      </w:r>
    </w:p>
    <w:p w:rsidR="00DC61C4" w:rsidRPr="0094697E" w:rsidRDefault="00DC61C4"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lastRenderedPageBreak/>
        <w:t>For Kazakhstan,</w:t>
      </w:r>
      <w:r w:rsidR="006929E3" w:rsidRPr="0094697E">
        <w:rPr>
          <w:rFonts w:ascii="Times New Roman" w:eastAsia="Calibri" w:hAnsi="Times New Roman" w:cs="Times New Roman"/>
        </w:rPr>
        <w:t xml:space="preserve"> Russia and South Africa</w:t>
      </w:r>
      <w:r w:rsidRPr="0094697E">
        <w:rPr>
          <w:rFonts w:ascii="Times New Roman" w:eastAsia="Calibri" w:hAnsi="Times New Roman" w:cs="Times New Roman"/>
        </w:rPr>
        <w:t xml:space="preserve"> </w:t>
      </w:r>
      <w:r w:rsidR="006929E3" w:rsidRPr="0094697E">
        <w:rPr>
          <w:rFonts w:ascii="Times New Roman" w:eastAsia="Calibri" w:hAnsi="Times New Roman" w:cs="Times New Roman"/>
        </w:rPr>
        <w:t xml:space="preserve">there was </w:t>
      </w:r>
      <w:r w:rsidRPr="0094697E">
        <w:rPr>
          <w:rFonts w:ascii="Times New Roman" w:eastAsia="Calibri" w:hAnsi="Times New Roman" w:cs="Times New Roman"/>
        </w:rPr>
        <w:t>negligible electricity production from wind power so no process selected.</w:t>
      </w:r>
    </w:p>
    <w:p w:rsidR="00DC61C4" w:rsidRPr="0094697E" w:rsidRDefault="00DC61C4" w:rsidP="006929E3">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For New Caledonia Australia was chosen as a worst case scenario as well as</w:t>
      </w:r>
      <w:r w:rsidR="00FD3818" w:rsidRPr="0094697E">
        <w:rPr>
          <w:rFonts w:ascii="Times New Roman" w:eastAsia="Calibri" w:hAnsi="Times New Roman" w:cs="Times New Roman"/>
        </w:rPr>
        <w:t xml:space="preserve"> being</w:t>
      </w:r>
      <w:r w:rsidRPr="0094697E">
        <w:rPr>
          <w:rFonts w:ascii="Times New Roman" w:eastAsia="Calibri" w:hAnsi="Times New Roman" w:cs="Times New Roman"/>
        </w:rPr>
        <w:t xml:space="preserve"> based on geographical location.</w:t>
      </w:r>
    </w:p>
    <w:p w:rsidR="006929E3" w:rsidRPr="0094697E" w:rsidRDefault="006929E3" w:rsidP="006929E3">
      <w:pPr>
        <w:spacing w:after="0" w:line="360" w:lineRule="auto"/>
        <w:ind w:firstLine="720"/>
        <w:jc w:val="both"/>
        <w:rPr>
          <w:rFonts w:ascii="Times New Roman" w:eastAsia="Calibri" w:hAnsi="Times New Roman" w:cs="Times New Roman"/>
        </w:rPr>
      </w:pPr>
    </w:p>
    <w:p w:rsidR="006929E3" w:rsidRPr="0094697E" w:rsidRDefault="006929E3" w:rsidP="00DC61C4">
      <w:pPr>
        <w:spacing w:line="360" w:lineRule="auto"/>
        <w:rPr>
          <w:rFonts w:ascii="Times New Roman" w:eastAsia="Calibri" w:hAnsi="Times New Roman" w:cs="Times New Roman"/>
          <w:b/>
        </w:rPr>
      </w:pPr>
      <w:r w:rsidRPr="0094697E">
        <w:rPr>
          <w:rFonts w:ascii="Times New Roman" w:eastAsia="Calibri" w:hAnsi="Times New Roman" w:cs="Times New Roman"/>
          <w:b/>
        </w:rPr>
        <w:t>xi) Selection of electricity process for tide power</w:t>
      </w:r>
    </w:p>
    <w:p w:rsidR="006929E3" w:rsidRDefault="006929E3" w:rsidP="006929E3">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Although mentioned in </w:t>
      </w:r>
      <w:r w:rsidR="00A6415F" w:rsidRPr="0094697E">
        <w:fldChar w:fldCharType="begin"/>
      </w:r>
      <w:r w:rsidR="00A6415F" w:rsidRPr="0094697E">
        <w:instrText xml:space="preserve"> REF _Ref473312594 \h  \* MERGEFORMAT </w:instrText>
      </w:r>
      <w:r w:rsidR="00A6415F" w:rsidRPr="0094697E">
        <w:fldChar w:fldCharType="separate"/>
      </w:r>
      <w:r w:rsidR="009F5483" w:rsidRPr="00A1085C">
        <w:rPr>
          <w:rFonts w:ascii="Times New Roman" w:hAnsi="Times New Roman" w:cs="Times New Roman"/>
        </w:rPr>
        <w:t xml:space="preserve">Table </w:t>
      </w:r>
      <w:r w:rsidR="009F5483">
        <w:rPr>
          <w:rFonts w:ascii="Times New Roman" w:hAnsi="Times New Roman" w:cs="Times New Roman"/>
          <w:noProof/>
        </w:rPr>
        <w:t>18</w:t>
      </w:r>
      <w:r w:rsidR="00A6415F" w:rsidRPr="0094697E">
        <w:fldChar w:fldCharType="end"/>
      </w:r>
      <w:r w:rsidRPr="0094697E">
        <w:rPr>
          <w:rFonts w:ascii="Times New Roman" w:eastAsia="Calibri" w:hAnsi="Times New Roman" w:cs="Times New Roman"/>
        </w:rPr>
        <w:t xml:space="preserve"> and </w:t>
      </w:r>
      <w:r w:rsidR="00A6415F" w:rsidRPr="0094697E">
        <w:fldChar w:fldCharType="begin"/>
      </w:r>
      <w:r w:rsidR="00A6415F" w:rsidRPr="0094697E">
        <w:instrText xml:space="preserve"> REF _Ref473312605 \h  \* MERGEFORMAT </w:instrText>
      </w:r>
      <w:r w:rsidR="00A6415F" w:rsidRPr="0094697E">
        <w:fldChar w:fldCharType="separate"/>
      </w:r>
      <w:r w:rsidR="009F5483" w:rsidRPr="009F5483">
        <w:rPr>
          <w:rStyle w:val="FiguresChar"/>
          <w:color w:val="auto"/>
        </w:rPr>
        <w:t>Table</w:t>
      </w:r>
      <w:r w:rsidR="009F5483" w:rsidRPr="00A1085C">
        <w:rPr>
          <w:rFonts w:ascii="Times New Roman" w:hAnsi="Times New Roman" w:cs="Times New Roman"/>
        </w:rPr>
        <w:t xml:space="preserve"> </w:t>
      </w:r>
      <w:r w:rsidR="009F5483">
        <w:rPr>
          <w:rFonts w:ascii="Times New Roman" w:hAnsi="Times New Roman" w:cs="Times New Roman"/>
          <w:noProof/>
        </w:rPr>
        <w:t>19</w:t>
      </w:r>
      <w:r w:rsidR="00A6415F" w:rsidRPr="0094697E">
        <w:fldChar w:fldCharType="end"/>
      </w:r>
      <w:r w:rsidRPr="0094697E">
        <w:rPr>
          <w:rStyle w:val="FiguresChar"/>
          <w:color w:val="auto"/>
        </w:rPr>
        <w:t>,</w:t>
      </w:r>
      <w:r w:rsidRPr="0094697E">
        <w:rPr>
          <w:rFonts w:ascii="Times New Roman" w:eastAsia="Calibri" w:hAnsi="Times New Roman" w:cs="Times New Roman"/>
        </w:rPr>
        <w:t xml:space="preserve"> electricity processes from tidal power were not included due to the fact that apart from China and India, no other county produces electricity from this</w:t>
      </w:r>
      <w:r w:rsidR="00FD3818" w:rsidRPr="0094697E">
        <w:rPr>
          <w:rFonts w:ascii="Times New Roman" w:eastAsia="Calibri" w:hAnsi="Times New Roman" w:cs="Times New Roman"/>
        </w:rPr>
        <w:t xml:space="preserve"> particular</w:t>
      </w:r>
      <w:r w:rsidRPr="0094697E">
        <w:rPr>
          <w:rFonts w:ascii="Times New Roman" w:eastAsia="Calibri" w:hAnsi="Times New Roman" w:cs="Times New Roman"/>
        </w:rPr>
        <w:t xml:space="preserve"> renewable energy source. In addition </w:t>
      </w:r>
      <w:r w:rsidR="004D2D91" w:rsidRPr="0094697E">
        <w:rPr>
          <w:rFonts w:ascii="Times New Roman" w:eastAsia="Calibri" w:hAnsi="Times New Roman" w:cs="Times New Roman"/>
        </w:rPr>
        <w:t>GaBi</w:t>
      </w:r>
      <w:r w:rsidRPr="0094697E">
        <w:rPr>
          <w:rFonts w:ascii="Times New Roman" w:eastAsia="Calibri" w:hAnsi="Times New Roman" w:cs="Times New Roman"/>
        </w:rPr>
        <w:t xml:space="preserve"> did not have any representative process from which to model. Finally the quantities are minute that their impact would be minimal particularly in terms of energy and CO</w:t>
      </w:r>
      <w:r w:rsidRPr="0094697E">
        <w:rPr>
          <w:rFonts w:ascii="Times New Roman" w:eastAsia="Calibri" w:hAnsi="Times New Roman" w:cs="Times New Roman"/>
          <w:vertAlign w:val="subscript"/>
        </w:rPr>
        <w:t>2</w:t>
      </w:r>
      <w:r w:rsidRPr="0094697E">
        <w:rPr>
          <w:rFonts w:ascii="Times New Roman" w:eastAsia="Calibri" w:hAnsi="Times New Roman" w:cs="Times New Roman"/>
        </w:rPr>
        <w:t>.</w:t>
      </w:r>
    </w:p>
    <w:p w:rsidR="0094697E" w:rsidRDefault="0094697E" w:rsidP="0094697E">
      <w:pPr>
        <w:spacing w:after="0" w:line="360" w:lineRule="auto"/>
        <w:jc w:val="both"/>
        <w:rPr>
          <w:rFonts w:ascii="Times New Roman" w:eastAsia="Calibri" w:hAnsi="Times New Roman" w:cs="Times New Roman"/>
        </w:rPr>
      </w:pPr>
    </w:p>
    <w:p w:rsidR="0094697E" w:rsidRDefault="0094697E" w:rsidP="006929E3">
      <w:pPr>
        <w:spacing w:after="0" w:line="360" w:lineRule="auto"/>
        <w:ind w:firstLine="720"/>
        <w:jc w:val="both"/>
        <w:rPr>
          <w:rFonts w:ascii="Times New Roman" w:eastAsia="Calibri" w:hAnsi="Times New Roman" w:cs="Times New Roman"/>
        </w:rPr>
        <w:sectPr w:rsidR="0094697E">
          <w:pgSz w:w="11906" w:h="16838"/>
          <w:pgMar w:top="1440" w:right="1440" w:bottom="1440" w:left="1440" w:header="708" w:footer="708" w:gutter="0"/>
          <w:cols w:space="708"/>
          <w:docGrid w:linePitch="360"/>
        </w:sectPr>
      </w:pPr>
    </w:p>
    <w:p w:rsidR="00DC61C4" w:rsidRPr="003B2D14" w:rsidRDefault="00CC009D" w:rsidP="00DC61C4">
      <w:pPr>
        <w:pStyle w:val="Heading3"/>
        <w:rPr>
          <w:rFonts w:ascii="Times New Roman" w:eastAsia="Calibri Light" w:hAnsi="Times New Roman" w:cs="Times New Roman"/>
        </w:rPr>
      </w:pPr>
      <w:r w:rsidRPr="003B2D14">
        <w:rPr>
          <w:rFonts w:ascii="Times New Roman" w:eastAsia="Calibri Light" w:hAnsi="Times New Roman" w:cs="Times New Roman"/>
        </w:rPr>
        <w:lastRenderedPageBreak/>
        <w:t xml:space="preserve">Stage 3 - </w:t>
      </w:r>
      <w:r w:rsidR="00DC61C4" w:rsidRPr="003B2D14">
        <w:rPr>
          <w:rFonts w:ascii="Times New Roman" w:eastAsia="Calibri Light" w:hAnsi="Times New Roman" w:cs="Times New Roman"/>
        </w:rPr>
        <w:t xml:space="preserve">Calculation of losses </w:t>
      </w:r>
    </w:p>
    <w:p w:rsidR="005A1E21" w:rsidRPr="0094697E" w:rsidRDefault="00DC61C4"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Losses were included to portray an accurate representation of electricity processes in real life. Electric power transmission and distribution losses related to each country were obtained from World Bank Data </w:t>
      </w:r>
      <w:r w:rsidR="00B67C9B" w:rsidRPr="0094697E">
        <w:rPr>
          <w:rFonts w:ascii="Times New Roman" w:eastAsia="Calibri" w:hAnsi="Times New Roman" w:cs="Times New Roman"/>
          <w:noProof/>
        </w:rPr>
        <w:t>(World Bank Data 2015)</w:t>
      </w:r>
      <w:r w:rsidRPr="0094697E">
        <w:rPr>
          <w:rFonts w:ascii="Times New Roman" w:eastAsia="Calibri" w:hAnsi="Times New Roman" w:cs="Times New Roman"/>
        </w:rPr>
        <w:t xml:space="preserve"> for the year 2013, with the exception of New Caledonia. </w:t>
      </w:r>
    </w:p>
    <w:p w:rsidR="00DC61C4" w:rsidRPr="0094697E" w:rsidRDefault="00DC61C4" w:rsidP="00DC61C4">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Losses for New Caledonia were base</w:t>
      </w:r>
      <w:r w:rsidR="009C45EE" w:rsidRPr="0094697E">
        <w:rPr>
          <w:rFonts w:ascii="Times New Roman" w:eastAsia="Calibri" w:hAnsi="Times New Roman" w:cs="Times New Roman"/>
        </w:rPr>
        <w:t xml:space="preserve">d on a benchmarking report from </w:t>
      </w:r>
      <w:r w:rsidR="009C45EE" w:rsidRPr="0094697E">
        <w:rPr>
          <w:rFonts w:ascii="Times New Roman" w:eastAsia="Calibri" w:hAnsi="Times New Roman" w:cs="Times New Roman"/>
          <w:noProof/>
        </w:rPr>
        <w:t>(Pacific Power Association 2011)</w:t>
      </w:r>
      <w:r w:rsidR="009C45EE" w:rsidRPr="0094697E">
        <w:rPr>
          <w:rFonts w:ascii="Times New Roman" w:eastAsia="Calibri" w:hAnsi="Times New Roman" w:cs="Times New Roman"/>
        </w:rPr>
        <w:t>.</w:t>
      </w:r>
      <w:r w:rsidRPr="0094697E">
        <w:rPr>
          <w:rFonts w:ascii="Times New Roman" w:eastAsia="Calibri" w:hAnsi="Times New Roman" w:cs="Times New Roman"/>
        </w:rPr>
        <w:t xml:space="preserve"> The report did not include New Caledonia but did include the majority of small pacific nations, from which </w:t>
      </w:r>
      <w:r w:rsidR="005A1E21" w:rsidRPr="0094697E">
        <w:rPr>
          <w:rFonts w:ascii="Times New Roman" w:eastAsia="Calibri" w:hAnsi="Times New Roman" w:cs="Times New Roman"/>
        </w:rPr>
        <w:t>a median value was calculated</w:t>
      </w:r>
      <w:r w:rsidRPr="0094697E">
        <w:rPr>
          <w:rFonts w:ascii="Times New Roman" w:eastAsia="Calibri" w:hAnsi="Times New Roman" w:cs="Times New Roman"/>
        </w:rPr>
        <w:t>.</w:t>
      </w:r>
    </w:p>
    <w:p w:rsidR="00DC61C4" w:rsidRPr="0094697E" w:rsidRDefault="00DC61C4" w:rsidP="00732420">
      <w:pPr>
        <w:jc w:val="both"/>
        <w:rPr>
          <w:rFonts w:ascii="Times New Roman" w:eastAsia="Calibri" w:hAnsi="Times New Roman" w:cs="Times New Roman"/>
        </w:rPr>
      </w:pPr>
      <w:bookmarkStart w:id="88" w:name="_Ref474080510"/>
      <w:bookmarkStart w:id="89" w:name="_Toc474486529"/>
      <w:bookmarkStart w:id="90" w:name="_Toc495852699"/>
      <w:r w:rsidRPr="0094697E">
        <w:rPr>
          <w:rFonts w:ascii="Times New Roman" w:hAnsi="Times New Roman" w:cs="Times New Roman"/>
        </w:rPr>
        <w:t xml:space="preserve">Table </w:t>
      </w:r>
      <w:r w:rsidR="009A0ED7" w:rsidRPr="0094697E">
        <w:rPr>
          <w:rFonts w:ascii="Times New Roman" w:hAnsi="Times New Roman" w:cs="Times New Roman"/>
        </w:rPr>
        <w:fldChar w:fldCharType="begin"/>
      </w:r>
      <w:r w:rsidRPr="0094697E">
        <w:rPr>
          <w:rFonts w:ascii="Times New Roman" w:hAnsi="Times New Roman" w:cs="Times New Roman"/>
        </w:rPr>
        <w:instrText xml:space="preserve"> SEQ Table \* ARABIC </w:instrText>
      </w:r>
      <w:r w:rsidR="009A0ED7" w:rsidRPr="0094697E">
        <w:rPr>
          <w:rFonts w:ascii="Times New Roman" w:hAnsi="Times New Roman" w:cs="Times New Roman"/>
        </w:rPr>
        <w:fldChar w:fldCharType="separate"/>
      </w:r>
      <w:r w:rsidR="009F5483">
        <w:rPr>
          <w:rFonts w:ascii="Times New Roman" w:hAnsi="Times New Roman" w:cs="Times New Roman"/>
          <w:noProof/>
        </w:rPr>
        <w:t>21</w:t>
      </w:r>
      <w:r w:rsidR="009A0ED7" w:rsidRPr="0094697E">
        <w:rPr>
          <w:rFonts w:ascii="Times New Roman" w:hAnsi="Times New Roman" w:cs="Times New Roman"/>
        </w:rPr>
        <w:fldChar w:fldCharType="end"/>
      </w:r>
      <w:bookmarkEnd w:id="88"/>
      <w:r w:rsidRPr="0094697E">
        <w:rPr>
          <w:rFonts w:ascii="Times New Roman" w:hAnsi="Times New Roman" w:cs="Times New Roman"/>
        </w:rPr>
        <w:t xml:space="preserve">. </w:t>
      </w:r>
      <w:r w:rsidR="009C45EE" w:rsidRPr="0094697E">
        <w:rPr>
          <w:rFonts w:ascii="Times New Roman" w:eastAsia="Calibri" w:hAnsi="Times New Roman" w:cs="Times New Roman"/>
        </w:rPr>
        <w:t>E</w:t>
      </w:r>
      <w:r w:rsidRPr="0094697E">
        <w:rPr>
          <w:rFonts w:ascii="Times New Roman" w:eastAsia="Calibri" w:hAnsi="Times New Roman" w:cs="Times New Roman"/>
        </w:rPr>
        <w:t>lectric power transmission and distri</w:t>
      </w:r>
      <w:r w:rsidR="009C45EE" w:rsidRPr="0094697E">
        <w:rPr>
          <w:rFonts w:ascii="Times New Roman" w:eastAsia="Calibri" w:hAnsi="Times New Roman" w:cs="Times New Roman"/>
        </w:rPr>
        <w:t xml:space="preserve">bution losses for the year 2013 </w:t>
      </w:r>
      <w:r w:rsidR="00B67C9B" w:rsidRPr="0094697E">
        <w:rPr>
          <w:rFonts w:ascii="Times New Roman" w:eastAsia="Calibri" w:hAnsi="Times New Roman" w:cs="Times New Roman"/>
          <w:noProof/>
        </w:rPr>
        <w:t>(World Bank Data 2015)</w:t>
      </w:r>
      <w:r w:rsidR="00B67C9B" w:rsidRPr="0094697E">
        <w:rPr>
          <w:rFonts w:ascii="Times New Roman" w:eastAsia="Calibri" w:hAnsi="Times New Roman" w:cs="Times New Roman"/>
        </w:rPr>
        <w:t>.</w:t>
      </w:r>
      <w:bookmarkEnd w:id="89"/>
      <w:bookmarkEnd w:id="90"/>
    </w:p>
    <w:tbl>
      <w:tblPr>
        <w:tblW w:w="0" w:type="auto"/>
        <w:tblInd w:w="108" w:type="dxa"/>
        <w:tblCellMar>
          <w:left w:w="10" w:type="dxa"/>
          <w:right w:w="10" w:type="dxa"/>
        </w:tblCellMar>
        <w:tblLook w:val="04A0" w:firstRow="1" w:lastRow="0" w:firstColumn="1" w:lastColumn="0" w:noHBand="0" w:noVBand="1"/>
      </w:tblPr>
      <w:tblGrid>
        <w:gridCol w:w="2200"/>
        <w:gridCol w:w="3160"/>
      </w:tblGrid>
      <w:tr w:rsidR="00DC61C4" w:rsidRPr="0094697E" w:rsidTr="00B67C9B">
        <w:tc>
          <w:tcPr>
            <w:tcW w:w="22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DC61C4" w:rsidRPr="0094697E" w:rsidRDefault="00DC61C4" w:rsidP="00B67C9B">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Country</w:t>
            </w:r>
          </w:p>
        </w:tc>
        <w:tc>
          <w:tcPr>
            <w:tcW w:w="3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B67C9B"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 xml:space="preserve">Electric power transmission and </w:t>
            </w:r>
            <w:r w:rsidR="00DC61C4" w:rsidRPr="0094697E">
              <w:rPr>
                <w:rFonts w:ascii="Times New Roman" w:eastAsia="Calibri" w:hAnsi="Times New Roman" w:cs="Times New Roman"/>
              </w:rPr>
              <w:t>distribution losses (% of output)</w:t>
            </w:r>
          </w:p>
        </w:tc>
      </w:tr>
      <w:tr w:rsidR="00DC61C4" w:rsidRPr="0094697E" w:rsidTr="008368BF">
        <w:tc>
          <w:tcPr>
            <w:tcW w:w="22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India</w:t>
            </w:r>
          </w:p>
        </w:tc>
        <w:tc>
          <w:tcPr>
            <w:tcW w:w="3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18.46</w:t>
            </w:r>
          </w:p>
        </w:tc>
      </w:tr>
      <w:tr w:rsidR="00DC61C4" w:rsidRPr="0094697E" w:rsidTr="008368BF">
        <w:tc>
          <w:tcPr>
            <w:tcW w:w="22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Japan</w:t>
            </w:r>
          </w:p>
        </w:tc>
        <w:tc>
          <w:tcPr>
            <w:tcW w:w="3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4.58</w:t>
            </w:r>
          </w:p>
        </w:tc>
      </w:tr>
      <w:tr w:rsidR="00DC61C4" w:rsidRPr="0094697E" w:rsidTr="008368BF">
        <w:tc>
          <w:tcPr>
            <w:tcW w:w="22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Norway</w:t>
            </w:r>
          </w:p>
        </w:tc>
        <w:tc>
          <w:tcPr>
            <w:tcW w:w="3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8.02</w:t>
            </w:r>
          </w:p>
        </w:tc>
      </w:tr>
      <w:tr w:rsidR="00DC61C4" w:rsidRPr="0094697E" w:rsidTr="008368BF">
        <w:tc>
          <w:tcPr>
            <w:tcW w:w="22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China</w:t>
            </w:r>
          </w:p>
        </w:tc>
        <w:tc>
          <w:tcPr>
            <w:tcW w:w="3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5.80</w:t>
            </w:r>
          </w:p>
        </w:tc>
      </w:tr>
      <w:tr w:rsidR="00DC61C4" w:rsidRPr="0094697E" w:rsidTr="008368BF">
        <w:tc>
          <w:tcPr>
            <w:tcW w:w="22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South Africa</w:t>
            </w:r>
          </w:p>
        </w:tc>
        <w:tc>
          <w:tcPr>
            <w:tcW w:w="3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8.49</w:t>
            </w:r>
          </w:p>
        </w:tc>
      </w:tr>
      <w:tr w:rsidR="00DC61C4" w:rsidRPr="0094697E" w:rsidTr="008368BF">
        <w:tc>
          <w:tcPr>
            <w:tcW w:w="22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Kazakhstan</w:t>
            </w:r>
          </w:p>
        </w:tc>
        <w:tc>
          <w:tcPr>
            <w:tcW w:w="3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11.72</w:t>
            </w:r>
          </w:p>
        </w:tc>
      </w:tr>
      <w:tr w:rsidR="00DC61C4" w:rsidRPr="0094697E" w:rsidTr="008368BF">
        <w:tc>
          <w:tcPr>
            <w:tcW w:w="22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Russia</w:t>
            </w:r>
          </w:p>
        </w:tc>
        <w:tc>
          <w:tcPr>
            <w:tcW w:w="3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10.12</w:t>
            </w:r>
          </w:p>
        </w:tc>
      </w:tr>
      <w:tr w:rsidR="00DC61C4" w:rsidRPr="0094697E" w:rsidTr="008368BF">
        <w:tc>
          <w:tcPr>
            <w:tcW w:w="22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Ukraine</w:t>
            </w:r>
          </w:p>
        </w:tc>
        <w:tc>
          <w:tcPr>
            <w:tcW w:w="31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10.69</w:t>
            </w:r>
          </w:p>
        </w:tc>
      </w:tr>
    </w:tbl>
    <w:p w:rsidR="00DC61C4" w:rsidRPr="0094697E" w:rsidRDefault="00DC61C4" w:rsidP="00DC61C4">
      <w:pPr>
        <w:spacing w:after="0" w:line="360" w:lineRule="auto"/>
        <w:jc w:val="both"/>
        <w:rPr>
          <w:rFonts w:ascii="Times New Roman" w:eastAsia="Calibri" w:hAnsi="Times New Roman" w:cs="Times New Roman"/>
        </w:rPr>
      </w:pPr>
    </w:p>
    <w:p w:rsidR="00B67C9B" w:rsidRPr="0094697E" w:rsidRDefault="00DC61C4" w:rsidP="00732420">
      <w:pPr>
        <w:jc w:val="both"/>
        <w:rPr>
          <w:rFonts w:ascii="Times New Roman" w:eastAsia="Calibri" w:hAnsi="Times New Roman" w:cs="Times New Roman"/>
        </w:rPr>
      </w:pPr>
      <w:bookmarkStart w:id="91" w:name="_Toc474486530"/>
      <w:bookmarkStart w:id="92" w:name="_Toc495852700"/>
      <w:r w:rsidRPr="0094697E">
        <w:rPr>
          <w:rFonts w:ascii="Times New Roman" w:hAnsi="Times New Roman" w:cs="Times New Roman"/>
        </w:rPr>
        <w:t xml:space="preserve">Table </w:t>
      </w:r>
      <w:r w:rsidR="009A0ED7" w:rsidRPr="0094697E">
        <w:rPr>
          <w:rFonts w:ascii="Times New Roman" w:hAnsi="Times New Roman" w:cs="Times New Roman"/>
        </w:rPr>
        <w:fldChar w:fldCharType="begin"/>
      </w:r>
      <w:r w:rsidRPr="0094697E">
        <w:rPr>
          <w:rFonts w:ascii="Times New Roman" w:hAnsi="Times New Roman" w:cs="Times New Roman"/>
        </w:rPr>
        <w:instrText xml:space="preserve"> SEQ Table \* ARABIC </w:instrText>
      </w:r>
      <w:r w:rsidR="009A0ED7" w:rsidRPr="0094697E">
        <w:rPr>
          <w:rFonts w:ascii="Times New Roman" w:hAnsi="Times New Roman" w:cs="Times New Roman"/>
        </w:rPr>
        <w:fldChar w:fldCharType="separate"/>
      </w:r>
      <w:r w:rsidR="009F5483">
        <w:rPr>
          <w:rFonts w:ascii="Times New Roman" w:hAnsi="Times New Roman" w:cs="Times New Roman"/>
          <w:noProof/>
        </w:rPr>
        <w:t>22</w:t>
      </w:r>
      <w:r w:rsidR="009A0ED7" w:rsidRPr="0094697E">
        <w:rPr>
          <w:rFonts w:ascii="Times New Roman" w:hAnsi="Times New Roman" w:cs="Times New Roman"/>
        </w:rPr>
        <w:fldChar w:fldCharType="end"/>
      </w:r>
      <w:r w:rsidRPr="0094697E">
        <w:rPr>
          <w:rFonts w:ascii="Times New Roman" w:hAnsi="Times New Roman" w:cs="Times New Roman"/>
        </w:rPr>
        <w:t xml:space="preserve">. </w:t>
      </w:r>
      <w:r w:rsidRPr="0094697E">
        <w:rPr>
          <w:rFonts w:ascii="Times New Roman" w:eastAsia="Calibri" w:hAnsi="Times New Roman" w:cs="Times New Roman"/>
        </w:rPr>
        <w:t xml:space="preserve">Electric power transmission and distribution losses for the year </w:t>
      </w:r>
      <w:r w:rsidR="009C45EE" w:rsidRPr="0094697E">
        <w:rPr>
          <w:rFonts w:ascii="Times New Roman" w:eastAsia="Calibri" w:hAnsi="Times New Roman" w:cs="Times New Roman"/>
        </w:rPr>
        <w:t xml:space="preserve">2010 </w:t>
      </w:r>
      <w:r w:rsidR="009C45EE" w:rsidRPr="0094697E">
        <w:rPr>
          <w:rFonts w:ascii="Times New Roman" w:eastAsia="Calibri" w:hAnsi="Times New Roman" w:cs="Times New Roman"/>
          <w:noProof/>
        </w:rPr>
        <w:t>(Pacific Power Association 2011)</w:t>
      </w:r>
      <w:r w:rsidR="009C45EE" w:rsidRPr="0094697E">
        <w:rPr>
          <w:rFonts w:ascii="Times New Roman" w:eastAsia="Calibri" w:hAnsi="Times New Roman" w:cs="Times New Roman"/>
        </w:rPr>
        <w:t>.</w:t>
      </w:r>
      <w:bookmarkEnd w:id="91"/>
      <w:bookmarkEnd w:id="92"/>
    </w:p>
    <w:tbl>
      <w:tblPr>
        <w:tblW w:w="5529" w:type="dxa"/>
        <w:tblInd w:w="-5" w:type="dxa"/>
        <w:tblLook w:val="04A0" w:firstRow="1" w:lastRow="0" w:firstColumn="1" w:lastColumn="0" w:noHBand="0" w:noVBand="1"/>
      </w:tblPr>
      <w:tblGrid>
        <w:gridCol w:w="1720"/>
        <w:gridCol w:w="3809"/>
      </w:tblGrid>
      <w:tr w:rsidR="00B67C9B" w:rsidRPr="0094697E" w:rsidTr="00B67C9B">
        <w:trPr>
          <w:trHeight w:val="600"/>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67C9B" w:rsidRPr="0094697E" w:rsidRDefault="00B67C9B" w:rsidP="00B67C9B">
            <w:pPr>
              <w:spacing w:after="0" w:line="240" w:lineRule="auto"/>
              <w:jc w:val="center"/>
              <w:rPr>
                <w:rFonts w:ascii="Times New Roman" w:eastAsia="Calibri" w:hAnsi="Times New Roman" w:cs="Times New Roman"/>
              </w:rPr>
            </w:pPr>
            <w:r w:rsidRPr="0094697E">
              <w:rPr>
                <w:rFonts w:ascii="Times New Roman" w:eastAsia="Calibri" w:hAnsi="Times New Roman" w:cs="Times New Roman"/>
              </w:rPr>
              <w:t>Country</w:t>
            </w:r>
          </w:p>
        </w:tc>
        <w:tc>
          <w:tcPr>
            <w:tcW w:w="3809" w:type="dxa"/>
            <w:tcBorders>
              <w:top w:val="single" w:sz="4" w:space="0" w:color="auto"/>
              <w:left w:val="nil"/>
              <w:bottom w:val="single" w:sz="4" w:space="0" w:color="auto"/>
              <w:right w:val="single" w:sz="4" w:space="0" w:color="auto"/>
            </w:tcBorders>
            <w:shd w:val="clear" w:color="auto" w:fill="auto"/>
            <w:vAlign w:val="center"/>
            <w:hideMark/>
          </w:tcPr>
          <w:p w:rsidR="00B67C9B" w:rsidRPr="0094697E" w:rsidRDefault="00B67C9B" w:rsidP="00B67C9B">
            <w:pPr>
              <w:spacing w:after="0" w:line="240" w:lineRule="auto"/>
              <w:jc w:val="center"/>
              <w:rPr>
                <w:rFonts w:ascii="Times New Roman" w:eastAsia="Calibri" w:hAnsi="Times New Roman" w:cs="Times New Roman"/>
              </w:rPr>
            </w:pPr>
            <w:r w:rsidRPr="0094697E">
              <w:rPr>
                <w:rFonts w:ascii="Times New Roman" w:eastAsia="Calibri" w:hAnsi="Times New Roman" w:cs="Times New Roman"/>
              </w:rPr>
              <w:t>Electric power transmission and distribution losses (% of output)</w:t>
            </w:r>
          </w:p>
        </w:tc>
      </w:tr>
      <w:tr w:rsidR="00B67C9B" w:rsidRPr="0094697E" w:rsidTr="00B67C9B">
        <w:trPr>
          <w:trHeight w:val="300"/>
        </w:trPr>
        <w:tc>
          <w:tcPr>
            <w:tcW w:w="17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67C9B" w:rsidRPr="0094697E" w:rsidRDefault="00B67C9B" w:rsidP="00B67C9B">
            <w:pPr>
              <w:spacing w:after="0" w:line="240" w:lineRule="auto"/>
              <w:jc w:val="center"/>
              <w:rPr>
                <w:rFonts w:ascii="Times New Roman" w:eastAsia="Times New Roman" w:hAnsi="Times New Roman" w:cs="Times New Roman"/>
              </w:rPr>
            </w:pPr>
            <w:r w:rsidRPr="0094697E">
              <w:rPr>
                <w:rFonts w:ascii="Times New Roman" w:eastAsia="Calibri" w:hAnsi="Times New Roman" w:cs="Times New Roman"/>
              </w:rPr>
              <w:t>New Caledonia</w:t>
            </w:r>
          </w:p>
        </w:tc>
        <w:tc>
          <w:tcPr>
            <w:tcW w:w="3809" w:type="dxa"/>
            <w:tcBorders>
              <w:top w:val="single" w:sz="4" w:space="0" w:color="auto"/>
              <w:left w:val="nil"/>
              <w:bottom w:val="single" w:sz="4" w:space="0" w:color="auto"/>
              <w:right w:val="single" w:sz="4" w:space="0" w:color="auto"/>
            </w:tcBorders>
            <w:shd w:val="clear" w:color="000000" w:fill="FFFFFF"/>
            <w:vAlign w:val="center"/>
            <w:hideMark/>
          </w:tcPr>
          <w:p w:rsidR="00B67C9B" w:rsidRPr="0094697E" w:rsidRDefault="00B67C9B" w:rsidP="00B67C9B">
            <w:pPr>
              <w:spacing w:after="0" w:line="240" w:lineRule="auto"/>
              <w:jc w:val="center"/>
              <w:rPr>
                <w:rFonts w:ascii="Times New Roman" w:eastAsia="Times New Roman" w:hAnsi="Times New Roman" w:cs="Times New Roman"/>
              </w:rPr>
            </w:pPr>
            <w:r w:rsidRPr="0094697E">
              <w:rPr>
                <w:rFonts w:ascii="Times New Roman" w:eastAsia="Calibri" w:hAnsi="Times New Roman" w:cs="Times New Roman"/>
              </w:rPr>
              <w:t>15.1</w:t>
            </w:r>
            <w:r w:rsidR="00EF4550" w:rsidRPr="0094697E">
              <w:rPr>
                <w:rFonts w:ascii="Times New Roman" w:eastAsia="Calibri" w:hAnsi="Times New Roman" w:cs="Times New Roman"/>
              </w:rPr>
              <w:t>0</w:t>
            </w:r>
          </w:p>
        </w:tc>
      </w:tr>
    </w:tbl>
    <w:p w:rsidR="00DC61C4" w:rsidRPr="0094697E" w:rsidRDefault="00DC61C4" w:rsidP="00DC61C4">
      <w:pPr>
        <w:spacing w:after="0" w:line="360" w:lineRule="auto"/>
        <w:jc w:val="both"/>
        <w:rPr>
          <w:rFonts w:ascii="Times New Roman" w:eastAsia="Calibri" w:hAnsi="Times New Roman" w:cs="Times New Roman"/>
        </w:rPr>
      </w:pPr>
    </w:p>
    <w:p w:rsidR="00DC61C4" w:rsidRPr="0094697E" w:rsidRDefault="005A1E21" w:rsidP="005A1E21">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Apart from transmission and distribution losses,</w:t>
      </w:r>
      <w:r w:rsidR="00DC61C4" w:rsidRPr="0094697E">
        <w:rPr>
          <w:rFonts w:ascii="Times New Roman" w:eastAsia="Calibri" w:hAnsi="Times New Roman" w:cs="Times New Roman"/>
        </w:rPr>
        <w:t xml:space="preserve"> </w:t>
      </w:r>
      <w:r w:rsidRPr="0094697E">
        <w:rPr>
          <w:rFonts w:ascii="Times New Roman" w:eastAsia="Calibri" w:hAnsi="Times New Roman" w:cs="Times New Roman"/>
        </w:rPr>
        <w:t xml:space="preserve">high and low voltage grid losses were also considered. Specifically high voltage grid losses were utilised due to the fact the work considered in this report </w:t>
      </w:r>
      <w:r w:rsidR="00DC61C4" w:rsidRPr="0094697E">
        <w:rPr>
          <w:rFonts w:ascii="Times New Roman" w:eastAsia="Calibri" w:hAnsi="Times New Roman" w:cs="Times New Roman"/>
        </w:rPr>
        <w:t>was based on ferro-alloys</w:t>
      </w:r>
      <w:r w:rsidRPr="0094697E">
        <w:rPr>
          <w:rFonts w:ascii="Times New Roman" w:eastAsia="Calibri" w:hAnsi="Times New Roman" w:cs="Times New Roman"/>
        </w:rPr>
        <w:t xml:space="preserve">. Ferro-alloy production is mainly via EAF which make use of high voltages. </w:t>
      </w:r>
      <w:r w:rsidR="00DC61C4" w:rsidRPr="0094697E">
        <w:rPr>
          <w:rFonts w:ascii="Times New Roman" w:eastAsia="Calibri" w:hAnsi="Times New Roman" w:cs="Times New Roman"/>
        </w:rPr>
        <w:t xml:space="preserve">Data for high voltage </w:t>
      </w:r>
      <w:r w:rsidRPr="0094697E">
        <w:rPr>
          <w:rFonts w:ascii="Times New Roman" w:eastAsia="Calibri" w:hAnsi="Times New Roman" w:cs="Times New Roman"/>
        </w:rPr>
        <w:t>grid losses was</w:t>
      </w:r>
      <w:r w:rsidR="00DC61C4" w:rsidRPr="0094697E">
        <w:rPr>
          <w:rFonts w:ascii="Times New Roman" w:eastAsia="Calibri" w:hAnsi="Times New Roman" w:cs="Times New Roman"/>
        </w:rPr>
        <w:t xml:space="preserve"> from </w:t>
      </w:r>
      <w:r w:rsidR="009051E4" w:rsidRPr="0094697E">
        <w:rPr>
          <w:rFonts w:ascii="Times New Roman" w:eastAsia="Calibri" w:hAnsi="Times New Roman" w:cs="Times New Roman"/>
          <w:noProof/>
        </w:rPr>
        <w:t>(Danish Energy Authority, 2004</w:t>
      </w:r>
      <w:r w:rsidR="00B67C9B" w:rsidRPr="0094697E">
        <w:rPr>
          <w:rFonts w:ascii="Times New Roman" w:eastAsia="Calibri" w:hAnsi="Times New Roman" w:cs="Times New Roman"/>
          <w:noProof/>
        </w:rPr>
        <w:t>)</w:t>
      </w:r>
      <w:r w:rsidR="00B67C9B" w:rsidRPr="0094697E">
        <w:rPr>
          <w:rFonts w:ascii="Times New Roman" w:eastAsia="Calibri" w:hAnsi="Times New Roman" w:cs="Times New Roman"/>
        </w:rPr>
        <w:t xml:space="preserve"> </w:t>
      </w:r>
      <w:r w:rsidRPr="0094697E">
        <w:rPr>
          <w:rFonts w:ascii="Times New Roman" w:eastAsia="Calibri" w:hAnsi="Times New Roman" w:cs="Times New Roman"/>
        </w:rPr>
        <w:t xml:space="preserve">and is shown by </w:t>
      </w:r>
      <w:r w:rsidR="00A6415F" w:rsidRPr="0094697E">
        <w:fldChar w:fldCharType="begin"/>
      </w:r>
      <w:r w:rsidR="00A6415F" w:rsidRPr="0094697E">
        <w:instrText xml:space="preserve"> REF _Ref473473519 \h  \* MERGEFORMAT </w:instrText>
      </w:r>
      <w:r w:rsidR="00A6415F" w:rsidRPr="0094697E">
        <w:fldChar w:fldCharType="separate"/>
      </w:r>
      <w:r w:rsidR="009F5483" w:rsidRPr="0094697E">
        <w:rPr>
          <w:rFonts w:ascii="Times New Roman" w:hAnsi="Times New Roman" w:cs="Times New Roman"/>
        </w:rPr>
        <w:t xml:space="preserve">Table </w:t>
      </w:r>
      <w:r w:rsidR="009F5483">
        <w:rPr>
          <w:rFonts w:ascii="Times New Roman" w:hAnsi="Times New Roman" w:cs="Times New Roman"/>
          <w:noProof/>
        </w:rPr>
        <w:t>23</w:t>
      </w:r>
      <w:r w:rsidR="00A6415F" w:rsidRPr="0094697E">
        <w:fldChar w:fldCharType="end"/>
      </w:r>
      <w:r w:rsidRPr="0094697E">
        <w:rPr>
          <w:rFonts w:ascii="Times New Roman" w:eastAsia="Calibri" w:hAnsi="Times New Roman" w:cs="Times New Roman"/>
        </w:rPr>
        <w:t xml:space="preserve">. As regards to the future, </w:t>
      </w:r>
      <w:r w:rsidR="00DC61C4" w:rsidRPr="0094697E">
        <w:rPr>
          <w:rFonts w:ascii="Times New Roman" w:eastAsia="Calibri" w:hAnsi="Times New Roman" w:cs="Times New Roman"/>
        </w:rPr>
        <w:t xml:space="preserve">China has started developing UHV (Ultra High Voltage) transmission systems, but these are not significant enough to include in the current models.  </w:t>
      </w:r>
    </w:p>
    <w:p w:rsidR="00DC61C4" w:rsidRPr="0094697E" w:rsidRDefault="00DC61C4" w:rsidP="00732420">
      <w:pPr>
        <w:jc w:val="both"/>
        <w:rPr>
          <w:rFonts w:ascii="Times New Roman" w:eastAsia="Calibri" w:hAnsi="Times New Roman" w:cs="Times New Roman"/>
        </w:rPr>
      </w:pPr>
      <w:bookmarkStart w:id="93" w:name="_Ref473473519"/>
      <w:bookmarkStart w:id="94" w:name="_Toc474486531"/>
      <w:bookmarkStart w:id="95" w:name="_Toc495852701"/>
      <w:r w:rsidRPr="0094697E">
        <w:rPr>
          <w:rFonts w:ascii="Times New Roman" w:hAnsi="Times New Roman" w:cs="Times New Roman"/>
        </w:rPr>
        <w:t xml:space="preserve">Table </w:t>
      </w:r>
      <w:r w:rsidR="009A0ED7" w:rsidRPr="0094697E">
        <w:rPr>
          <w:rFonts w:ascii="Times New Roman" w:hAnsi="Times New Roman" w:cs="Times New Roman"/>
        </w:rPr>
        <w:fldChar w:fldCharType="begin"/>
      </w:r>
      <w:r w:rsidRPr="0094697E">
        <w:rPr>
          <w:rFonts w:ascii="Times New Roman" w:hAnsi="Times New Roman" w:cs="Times New Roman"/>
        </w:rPr>
        <w:instrText xml:space="preserve"> SEQ Table \* ARABIC </w:instrText>
      </w:r>
      <w:r w:rsidR="009A0ED7" w:rsidRPr="0094697E">
        <w:rPr>
          <w:rFonts w:ascii="Times New Roman" w:hAnsi="Times New Roman" w:cs="Times New Roman"/>
        </w:rPr>
        <w:fldChar w:fldCharType="separate"/>
      </w:r>
      <w:r w:rsidR="009F5483">
        <w:rPr>
          <w:rFonts w:ascii="Times New Roman" w:hAnsi="Times New Roman" w:cs="Times New Roman"/>
          <w:noProof/>
        </w:rPr>
        <w:t>23</w:t>
      </w:r>
      <w:r w:rsidR="009A0ED7" w:rsidRPr="0094697E">
        <w:rPr>
          <w:rFonts w:ascii="Times New Roman" w:hAnsi="Times New Roman" w:cs="Times New Roman"/>
        </w:rPr>
        <w:fldChar w:fldCharType="end"/>
      </w:r>
      <w:bookmarkEnd w:id="93"/>
      <w:r w:rsidRPr="0094697E">
        <w:rPr>
          <w:rFonts w:ascii="Times New Roman" w:hAnsi="Times New Roman" w:cs="Times New Roman"/>
        </w:rPr>
        <w:t xml:space="preserve">. </w:t>
      </w:r>
      <w:r w:rsidRPr="0094697E">
        <w:rPr>
          <w:rFonts w:ascii="Times New Roman" w:eastAsia="Calibri" w:hAnsi="Times New Roman" w:cs="Times New Roman"/>
        </w:rPr>
        <w:t>High and Low voltage grid losses.</w:t>
      </w:r>
      <w:bookmarkEnd w:id="94"/>
      <w:bookmarkEnd w:id="95"/>
    </w:p>
    <w:tbl>
      <w:tblPr>
        <w:tblW w:w="0" w:type="auto"/>
        <w:tblInd w:w="108" w:type="dxa"/>
        <w:tblCellMar>
          <w:left w:w="10" w:type="dxa"/>
          <w:right w:w="10" w:type="dxa"/>
        </w:tblCellMar>
        <w:tblLook w:val="04A0" w:firstRow="1" w:lastRow="0" w:firstColumn="1" w:lastColumn="0" w:noHBand="0" w:noVBand="1"/>
      </w:tblPr>
      <w:tblGrid>
        <w:gridCol w:w="2518"/>
        <w:gridCol w:w="2850"/>
      </w:tblGrid>
      <w:tr w:rsidR="00DC61C4" w:rsidRPr="0094697E" w:rsidTr="008368BF">
        <w:tc>
          <w:tcPr>
            <w:tcW w:w="25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Type of Loss</w:t>
            </w:r>
          </w:p>
        </w:tc>
        <w:tc>
          <w:tcPr>
            <w:tcW w:w="2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Percentage (%)</w:t>
            </w:r>
          </w:p>
        </w:tc>
      </w:tr>
      <w:tr w:rsidR="00DC61C4" w:rsidRPr="0094697E" w:rsidTr="008368BF">
        <w:tc>
          <w:tcPr>
            <w:tcW w:w="25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High Voltage Grid Loss</w:t>
            </w:r>
          </w:p>
        </w:tc>
        <w:tc>
          <w:tcPr>
            <w:tcW w:w="2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1.00</w:t>
            </w:r>
          </w:p>
        </w:tc>
      </w:tr>
      <w:tr w:rsidR="00DC61C4" w:rsidRPr="0094697E" w:rsidTr="008368BF">
        <w:tc>
          <w:tcPr>
            <w:tcW w:w="25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Low Voltage Grid Loss</w:t>
            </w:r>
          </w:p>
        </w:tc>
        <w:tc>
          <w:tcPr>
            <w:tcW w:w="2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DC61C4" w:rsidRPr="0094697E" w:rsidRDefault="00DC61C4" w:rsidP="008368BF">
            <w:pPr>
              <w:spacing w:after="0" w:line="360" w:lineRule="auto"/>
              <w:jc w:val="center"/>
              <w:rPr>
                <w:rFonts w:ascii="Times New Roman" w:eastAsia="Calibri" w:hAnsi="Times New Roman" w:cs="Times New Roman"/>
              </w:rPr>
            </w:pPr>
            <w:r w:rsidRPr="0094697E">
              <w:rPr>
                <w:rFonts w:ascii="Times New Roman" w:eastAsia="Calibri" w:hAnsi="Times New Roman" w:cs="Times New Roman"/>
              </w:rPr>
              <w:t>3.80</w:t>
            </w:r>
          </w:p>
        </w:tc>
      </w:tr>
    </w:tbl>
    <w:p w:rsidR="006A62D1" w:rsidRPr="0094697E" w:rsidRDefault="006A62D1" w:rsidP="006A62D1">
      <w:pPr>
        <w:spacing w:line="360" w:lineRule="auto"/>
        <w:rPr>
          <w:rFonts w:ascii="Times New Roman" w:eastAsia="Calibri" w:hAnsi="Times New Roman" w:cs="Times New Roman"/>
        </w:rPr>
      </w:pPr>
    </w:p>
    <w:p w:rsidR="007C59DF" w:rsidRPr="0094697E" w:rsidRDefault="006F3C3E" w:rsidP="006F3C3E">
      <w:pPr>
        <w:spacing w:line="360" w:lineRule="auto"/>
        <w:ind w:firstLine="720"/>
        <w:jc w:val="both"/>
        <w:rPr>
          <w:rFonts w:ascii="Times New Roman" w:eastAsia="Calibri" w:hAnsi="Times New Roman" w:cs="Times New Roman"/>
        </w:rPr>
      </w:pPr>
      <w:r w:rsidRPr="0094697E">
        <w:rPr>
          <w:rFonts w:ascii="Times New Roman" w:eastAsia="Calibri" w:hAnsi="Times New Roman" w:cs="Times New Roman"/>
        </w:rPr>
        <w:lastRenderedPageBreak/>
        <w:t>Use of the data associated with distribution and transmission losses alongside high voltage loss was via the use of the equations below. These equations were manually typed into the models for each of the respective countries.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14"/>
        <w:gridCol w:w="1160"/>
      </w:tblGrid>
      <w:tr w:rsidR="007C59DF" w:rsidRPr="0094697E" w:rsidTr="00732420">
        <w:trPr>
          <w:trHeight w:val="311"/>
        </w:trPr>
        <w:tc>
          <w:tcPr>
            <w:tcW w:w="7214" w:type="dxa"/>
          </w:tcPr>
          <w:p w:rsidR="007C59DF" w:rsidRPr="0094697E" w:rsidRDefault="007C59DF" w:rsidP="007C59DF">
            <w:pPr>
              <w:spacing w:line="360" w:lineRule="auto"/>
              <w:contextualSpacing/>
              <w:jc w:val="both"/>
              <w:rPr>
                <w:rFonts w:ascii="Times New Roman" w:hAnsi="Times New Roman"/>
                <w:sz w:val="23"/>
                <w:szCs w:val="23"/>
              </w:rPr>
            </w:pPr>
            <m:oMathPara>
              <m:oMath>
                <m:r>
                  <w:rPr>
                    <w:rFonts w:ascii="Cambria Math" w:hAnsi="Cambria Math"/>
                    <w:sz w:val="24"/>
                    <w:szCs w:val="23"/>
                  </w:rPr>
                  <m:t>Total Losses=1-(Transmission &amp; Distribution Losses+High Voltage Losses)</m:t>
                </m:r>
              </m:oMath>
            </m:oMathPara>
          </w:p>
        </w:tc>
        <w:tc>
          <w:tcPr>
            <w:tcW w:w="1160" w:type="dxa"/>
            <w:vAlign w:val="center"/>
          </w:tcPr>
          <w:p w:rsidR="007C59DF" w:rsidRPr="0094697E" w:rsidRDefault="007C59DF" w:rsidP="00732420">
            <w:pPr>
              <w:spacing w:line="360" w:lineRule="auto"/>
              <w:contextualSpacing/>
              <w:jc w:val="center"/>
              <w:rPr>
                <w:rFonts w:ascii="Times New Roman" w:hAnsi="Times New Roman"/>
                <w:sz w:val="23"/>
                <w:szCs w:val="23"/>
              </w:rPr>
            </w:pPr>
            <w:r w:rsidRPr="00CA0F0C">
              <w:rPr>
                <w:rFonts w:ascii="Times New Roman" w:hAnsi="Times New Roman"/>
                <w:color w:val="FF0000"/>
                <w:sz w:val="23"/>
                <w:szCs w:val="23"/>
              </w:rPr>
              <w:t>(</w:t>
            </w:r>
            <w:r w:rsidR="006F3C3E" w:rsidRPr="00CA0F0C">
              <w:rPr>
                <w:color w:val="FF0000"/>
              </w:rPr>
              <w:t>4</w:t>
            </w:r>
            <w:r w:rsidRPr="00CA0F0C">
              <w:rPr>
                <w:rFonts w:ascii="Times New Roman" w:hAnsi="Times New Roman"/>
                <w:color w:val="FF0000"/>
                <w:sz w:val="23"/>
                <w:szCs w:val="23"/>
              </w:rPr>
              <w:t>)</w:t>
            </w:r>
          </w:p>
        </w:tc>
      </w:tr>
    </w:tbl>
    <w:p w:rsidR="007C59DF" w:rsidRPr="0094697E" w:rsidRDefault="007C59DF" w:rsidP="007C59DF">
      <w:pPr>
        <w:spacing w:line="360" w:lineRule="auto"/>
        <w:rPr>
          <w:rFonts w:ascii="Times New Roman" w:eastAsia="Calibri"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1065"/>
      </w:tblGrid>
      <w:tr w:rsidR="006F3C3E" w:rsidRPr="0094697E" w:rsidTr="00732420">
        <w:trPr>
          <w:trHeight w:val="311"/>
        </w:trPr>
        <w:tc>
          <w:tcPr>
            <w:tcW w:w="6345" w:type="dxa"/>
          </w:tcPr>
          <w:p w:rsidR="006F3C3E" w:rsidRPr="0094697E" w:rsidRDefault="006F3C3E" w:rsidP="007C666E">
            <w:pPr>
              <w:spacing w:line="360" w:lineRule="auto"/>
              <w:contextualSpacing/>
              <w:jc w:val="both"/>
              <w:rPr>
                <w:rFonts w:ascii="Times New Roman" w:hAnsi="Times New Roman"/>
                <w:sz w:val="23"/>
                <w:szCs w:val="23"/>
              </w:rPr>
            </w:pPr>
            <m:oMathPara>
              <m:oMath>
                <m:r>
                  <w:rPr>
                    <w:rFonts w:ascii="Cambria Math" w:hAnsi="Cambria Math"/>
                    <w:sz w:val="24"/>
                    <w:szCs w:val="23"/>
                  </w:rPr>
                  <m:t xml:space="preserve">Loss </m:t>
                </m:r>
                <m:r>
                  <w:rPr>
                    <w:rFonts w:ascii="Cambria Math" w:hAnsi="Cambria Math"/>
                    <w:sz w:val="28"/>
                    <w:szCs w:val="23"/>
                  </w:rPr>
                  <m:t>Factor</m:t>
                </m:r>
                <m:r>
                  <w:rPr>
                    <w:rFonts w:ascii="Cambria Math" w:hAnsi="Cambria Math"/>
                    <w:sz w:val="24"/>
                    <w:szCs w:val="23"/>
                  </w:rPr>
                  <m:t xml:space="preserve">= </m:t>
                </m:r>
                <m:f>
                  <m:fPr>
                    <m:ctrlPr>
                      <w:rPr>
                        <w:rFonts w:ascii="Cambria Math" w:hAnsi="Cambria Math"/>
                        <w:i/>
                        <w:sz w:val="24"/>
                        <w:szCs w:val="23"/>
                      </w:rPr>
                    </m:ctrlPr>
                  </m:fPr>
                  <m:num>
                    <m:r>
                      <w:rPr>
                        <w:rFonts w:ascii="Cambria Math" w:hAnsi="Cambria Math"/>
                        <w:sz w:val="24"/>
                        <w:szCs w:val="23"/>
                      </w:rPr>
                      <m:t>1</m:t>
                    </m:r>
                  </m:num>
                  <m:den>
                    <m:r>
                      <w:rPr>
                        <w:rFonts w:ascii="Cambria Math" w:hAnsi="Cambria Math"/>
                        <w:sz w:val="24"/>
                        <w:szCs w:val="23"/>
                      </w:rPr>
                      <m:t>Total Losses</m:t>
                    </m:r>
                  </m:den>
                </m:f>
              </m:oMath>
            </m:oMathPara>
          </w:p>
        </w:tc>
        <w:tc>
          <w:tcPr>
            <w:tcW w:w="1065" w:type="dxa"/>
            <w:vAlign w:val="center"/>
          </w:tcPr>
          <w:p w:rsidR="006F3C3E" w:rsidRPr="0094697E" w:rsidRDefault="006F3C3E" w:rsidP="00732420">
            <w:pPr>
              <w:spacing w:line="360" w:lineRule="auto"/>
              <w:contextualSpacing/>
              <w:jc w:val="center"/>
              <w:rPr>
                <w:rFonts w:ascii="Times New Roman" w:hAnsi="Times New Roman"/>
                <w:sz w:val="23"/>
                <w:szCs w:val="23"/>
              </w:rPr>
            </w:pPr>
            <w:r w:rsidRPr="00CA0F0C">
              <w:rPr>
                <w:rFonts w:ascii="Times New Roman" w:hAnsi="Times New Roman"/>
                <w:color w:val="FF0000"/>
                <w:sz w:val="23"/>
                <w:szCs w:val="23"/>
              </w:rPr>
              <w:t>(</w:t>
            </w:r>
            <w:r w:rsidRPr="00CA0F0C">
              <w:rPr>
                <w:color w:val="FF0000"/>
              </w:rPr>
              <w:t>5</w:t>
            </w:r>
            <w:r w:rsidRPr="00CA0F0C">
              <w:rPr>
                <w:rFonts w:ascii="Times New Roman" w:hAnsi="Times New Roman"/>
                <w:color w:val="FF0000"/>
                <w:sz w:val="23"/>
                <w:szCs w:val="23"/>
              </w:rPr>
              <w:t>)</w:t>
            </w:r>
          </w:p>
        </w:tc>
      </w:tr>
    </w:tbl>
    <w:p w:rsidR="006F3C3E" w:rsidRPr="0094697E" w:rsidRDefault="006F3C3E" w:rsidP="006F3C3E">
      <w:pPr>
        <w:spacing w:line="360" w:lineRule="auto"/>
        <w:jc w:val="both"/>
        <w:rPr>
          <w:rFonts w:ascii="Times New Roman" w:eastAsia="Calibri" w:hAnsi="Times New Roman" w:cs="Times New Roman"/>
        </w:rPr>
      </w:pPr>
    </w:p>
    <w:p w:rsidR="006F3C3E" w:rsidRDefault="00676BF5" w:rsidP="00676BF5">
      <w:pPr>
        <w:pStyle w:val="Caption"/>
        <w:spacing w:after="0" w:line="360" w:lineRule="auto"/>
        <w:ind w:firstLine="720"/>
        <w:jc w:val="both"/>
        <w:rPr>
          <w:rFonts w:ascii="Times New Roman" w:eastAsia="Calibri" w:hAnsi="Times New Roman" w:cs="Times New Roman"/>
          <w:i w:val="0"/>
          <w:color w:val="auto"/>
          <w:sz w:val="22"/>
          <w:szCs w:val="22"/>
        </w:rPr>
      </w:pPr>
      <w:bookmarkStart w:id="96" w:name="_Toc475570504"/>
      <w:r w:rsidRPr="0094697E">
        <w:rPr>
          <w:rFonts w:ascii="Times New Roman" w:hAnsi="Times New Roman" w:cs="Times New Roman"/>
          <w:i w:val="0"/>
          <w:color w:val="auto"/>
          <w:sz w:val="22"/>
          <w:szCs w:val="22"/>
        </w:rPr>
        <w:t xml:space="preserve">Equation </w:t>
      </w:r>
      <w:r w:rsidRPr="0094697E">
        <w:rPr>
          <w:rFonts w:ascii="Times New Roman" w:hAnsi="Times New Roman" w:cs="Times New Roman"/>
          <w:i w:val="0"/>
          <w:color w:val="auto"/>
          <w:sz w:val="22"/>
          <w:szCs w:val="22"/>
        </w:rPr>
        <w:fldChar w:fldCharType="begin"/>
      </w:r>
      <w:r w:rsidRPr="0094697E">
        <w:rPr>
          <w:rFonts w:ascii="Times New Roman" w:hAnsi="Times New Roman" w:cs="Times New Roman"/>
          <w:i w:val="0"/>
          <w:color w:val="auto"/>
          <w:sz w:val="22"/>
          <w:szCs w:val="22"/>
        </w:rPr>
        <w:instrText xml:space="preserve"> SEQ Equation \* ARABIC </w:instrText>
      </w:r>
      <w:r w:rsidRPr="0094697E">
        <w:rPr>
          <w:rFonts w:ascii="Times New Roman" w:hAnsi="Times New Roman" w:cs="Times New Roman"/>
          <w:i w:val="0"/>
          <w:color w:val="auto"/>
          <w:sz w:val="22"/>
          <w:szCs w:val="22"/>
        </w:rPr>
        <w:fldChar w:fldCharType="separate"/>
      </w:r>
      <w:r w:rsidR="009F5483">
        <w:rPr>
          <w:rFonts w:ascii="Times New Roman" w:hAnsi="Times New Roman" w:cs="Times New Roman"/>
          <w:i w:val="0"/>
          <w:noProof/>
          <w:color w:val="auto"/>
          <w:sz w:val="22"/>
          <w:szCs w:val="22"/>
        </w:rPr>
        <w:t>4</w:t>
      </w:r>
      <w:r w:rsidRPr="0094697E">
        <w:rPr>
          <w:rFonts w:ascii="Times New Roman" w:hAnsi="Times New Roman" w:cs="Times New Roman"/>
          <w:i w:val="0"/>
          <w:color w:val="auto"/>
          <w:sz w:val="22"/>
          <w:szCs w:val="22"/>
        </w:rPr>
        <w:fldChar w:fldCharType="end"/>
      </w:r>
      <w:r w:rsidR="006F3C3E" w:rsidRPr="0094697E">
        <w:rPr>
          <w:rFonts w:ascii="Times New Roman" w:eastAsia="Calibri" w:hAnsi="Times New Roman" w:cs="Times New Roman"/>
          <w:i w:val="0"/>
          <w:color w:val="auto"/>
          <w:sz w:val="22"/>
          <w:szCs w:val="22"/>
        </w:rPr>
        <w:t xml:space="preserve"> was calculated first in order to determine total losses, which was then applied to </w:t>
      </w:r>
      <w:r w:rsidRPr="0094697E">
        <w:rPr>
          <w:rFonts w:ascii="Times New Roman" w:hAnsi="Times New Roman" w:cs="Times New Roman"/>
          <w:i w:val="0"/>
          <w:color w:val="auto"/>
          <w:sz w:val="22"/>
          <w:szCs w:val="22"/>
        </w:rPr>
        <w:t xml:space="preserve">Equation </w:t>
      </w:r>
      <w:r w:rsidRPr="0094697E">
        <w:rPr>
          <w:rFonts w:ascii="Times New Roman" w:hAnsi="Times New Roman" w:cs="Times New Roman"/>
          <w:i w:val="0"/>
          <w:color w:val="auto"/>
          <w:sz w:val="22"/>
          <w:szCs w:val="22"/>
        </w:rPr>
        <w:fldChar w:fldCharType="begin"/>
      </w:r>
      <w:r w:rsidRPr="0094697E">
        <w:rPr>
          <w:rFonts w:ascii="Times New Roman" w:hAnsi="Times New Roman" w:cs="Times New Roman"/>
          <w:i w:val="0"/>
          <w:color w:val="auto"/>
          <w:sz w:val="22"/>
          <w:szCs w:val="22"/>
        </w:rPr>
        <w:instrText xml:space="preserve"> SEQ Equation \* ARABIC </w:instrText>
      </w:r>
      <w:r w:rsidRPr="0094697E">
        <w:rPr>
          <w:rFonts w:ascii="Times New Roman" w:hAnsi="Times New Roman" w:cs="Times New Roman"/>
          <w:i w:val="0"/>
          <w:color w:val="auto"/>
          <w:sz w:val="22"/>
          <w:szCs w:val="22"/>
        </w:rPr>
        <w:fldChar w:fldCharType="separate"/>
      </w:r>
      <w:r w:rsidR="009F5483">
        <w:rPr>
          <w:rFonts w:ascii="Times New Roman" w:hAnsi="Times New Roman" w:cs="Times New Roman"/>
          <w:i w:val="0"/>
          <w:noProof/>
          <w:color w:val="auto"/>
          <w:sz w:val="22"/>
          <w:szCs w:val="22"/>
        </w:rPr>
        <w:t>5</w:t>
      </w:r>
      <w:r w:rsidRPr="0094697E">
        <w:rPr>
          <w:rFonts w:ascii="Times New Roman" w:hAnsi="Times New Roman" w:cs="Times New Roman"/>
          <w:i w:val="0"/>
          <w:color w:val="auto"/>
          <w:sz w:val="22"/>
          <w:szCs w:val="22"/>
        </w:rPr>
        <w:fldChar w:fldCharType="end"/>
      </w:r>
      <w:r w:rsidRPr="0094697E">
        <w:rPr>
          <w:rFonts w:ascii="Times New Roman" w:hAnsi="Times New Roman" w:cs="Times New Roman"/>
          <w:i w:val="0"/>
          <w:color w:val="auto"/>
          <w:sz w:val="22"/>
          <w:szCs w:val="22"/>
        </w:rPr>
        <w:t xml:space="preserve"> </w:t>
      </w:r>
      <w:r w:rsidR="006F3C3E" w:rsidRPr="0094697E">
        <w:rPr>
          <w:rFonts w:ascii="Times New Roman" w:eastAsia="Calibri" w:hAnsi="Times New Roman" w:cs="Times New Roman"/>
          <w:i w:val="0"/>
          <w:color w:val="auto"/>
          <w:sz w:val="22"/>
          <w:szCs w:val="22"/>
        </w:rPr>
        <w:t xml:space="preserve">to calculate a loss factor. The loss factor was applied to the percentage values for each fuel source per country in order to </w:t>
      </w:r>
      <w:r w:rsidR="008E100C" w:rsidRPr="0094697E">
        <w:rPr>
          <w:rFonts w:ascii="Times New Roman" w:eastAsia="Calibri" w:hAnsi="Times New Roman" w:cs="Times New Roman"/>
          <w:i w:val="0"/>
          <w:color w:val="auto"/>
          <w:sz w:val="22"/>
          <w:szCs w:val="22"/>
        </w:rPr>
        <w:t>produce values more reflective in real world applications.</w:t>
      </w:r>
      <w:bookmarkEnd w:id="96"/>
    </w:p>
    <w:p w:rsidR="0094697E" w:rsidRPr="0094697E" w:rsidRDefault="0094697E" w:rsidP="0094697E"/>
    <w:p w:rsidR="0094697E" w:rsidRDefault="0094697E" w:rsidP="00676BF5">
      <w:pPr>
        <w:spacing w:line="360" w:lineRule="auto"/>
        <w:ind w:firstLine="720"/>
        <w:jc w:val="both"/>
        <w:rPr>
          <w:rFonts w:ascii="Times New Roman" w:eastAsia="Calibri" w:hAnsi="Times New Roman" w:cs="Times New Roman"/>
          <w:sz w:val="28"/>
        </w:rPr>
        <w:sectPr w:rsidR="0094697E">
          <w:pgSz w:w="11906" w:h="16838"/>
          <w:pgMar w:top="1440" w:right="1440" w:bottom="1440" w:left="1440" w:header="708" w:footer="708" w:gutter="0"/>
          <w:cols w:space="708"/>
          <w:docGrid w:linePitch="360"/>
        </w:sectPr>
      </w:pPr>
    </w:p>
    <w:p w:rsidR="006A62D1" w:rsidRPr="00A1085C" w:rsidRDefault="00CC009D" w:rsidP="002E60E6">
      <w:pPr>
        <w:pStyle w:val="Heading2"/>
      </w:pPr>
      <w:r>
        <w:lastRenderedPageBreak/>
        <w:t>4</w:t>
      </w:r>
      <w:r w:rsidR="006A62D1" w:rsidRPr="00A1085C">
        <w:t>.3 Creation of ferro-alloy mode</w:t>
      </w:r>
      <w:r w:rsidR="00202BE6" w:rsidRPr="00A1085C">
        <w:t xml:space="preserve">ls utilising </w:t>
      </w:r>
      <w:r w:rsidR="004D2D91">
        <w:t>GaBi</w:t>
      </w:r>
      <w:r>
        <w:t xml:space="preserve"> sof</w:t>
      </w:r>
      <w:r w:rsidR="005E33F5">
        <w:t xml:space="preserve">tware </w:t>
      </w:r>
    </w:p>
    <w:p w:rsidR="0055727D" w:rsidRPr="0094697E" w:rsidRDefault="00926F92" w:rsidP="0055727D">
      <w:pPr>
        <w:spacing w:line="360" w:lineRule="auto"/>
        <w:ind w:firstLine="720"/>
        <w:jc w:val="both"/>
        <w:rPr>
          <w:rFonts w:ascii="Times New Roman" w:eastAsia="Calibri" w:hAnsi="Times New Roman" w:cs="Times New Roman"/>
        </w:rPr>
      </w:pPr>
      <w:r w:rsidRPr="0094697E">
        <w:rPr>
          <w:rFonts w:ascii="Times New Roman" w:eastAsia="Calibri" w:hAnsi="Times New Roman" w:cs="Times New Roman"/>
        </w:rPr>
        <w:t>Comparable</w:t>
      </w:r>
      <w:r w:rsidR="006A62D1" w:rsidRPr="0094697E">
        <w:rPr>
          <w:rFonts w:ascii="Times New Roman" w:eastAsia="Calibri" w:hAnsi="Times New Roman" w:cs="Times New Roman"/>
        </w:rPr>
        <w:t xml:space="preserve"> to the</w:t>
      </w:r>
      <w:r w:rsidRPr="0094697E">
        <w:rPr>
          <w:rFonts w:ascii="Times New Roman" w:eastAsia="Calibri" w:hAnsi="Times New Roman" w:cs="Times New Roman"/>
        </w:rPr>
        <w:t xml:space="preserve"> methodology used for modelling global electricity models, modelling of </w:t>
      </w:r>
      <w:r w:rsidR="0055727D" w:rsidRPr="0094697E">
        <w:rPr>
          <w:rFonts w:ascii="Times New Roman" w:eastAsia="Calibri" w:hAnsi="Times New Roman" w:cs="Times New Roman"/>
        </w:rPr>
        <w:t xml:space="preserve">the 10 </w:t>
      </w:r>
      <w:r w:rsidRPr="0094697E">
        <w:rPr>
          <w:rFonts w:ascii="Times New Roman" w:eastAsia="Calibri" w:hAnsi="Times New Roman" w:cs="Times New Roman"/>
        </w:rPr>
        <w:t xml:space="preserve">ferro-alloys was conducted according to LCA ISO 14040/14044 guidelines </w:t>
      </w:r>
      <w:r w:rsidRPr="0094697E">
        <w:rPr>
          <w:rFonts w:ascii="Times New Roman" w:eastAsia="Calibri" w:hAnsi="Times New Roman" w:cs="Times New Roman"/>
          <w:noProof/>
        </w:rPr>
        <w:t>(ISO 14040. 2006)</w:t>
      </w:r>
      <w:r w:rsidRPr="0094697E">
        <w:rPr>
          <w:rFonts w:ascii="Times New Roman" w:eastAsia="Calibri" w:hAnsi="Times New Roman" w:cs="Times New Roman"/>
        </w:rPr>
        <w:t xml:space="preserve"> and made use of LCA software </w:t>
      </w:r>
      <w:r w:rsidR="004D2D91" w:rsidRPr="0094697E">
        <w:rPr>
          <w:rFonts w:ascii="Times New Roman" w:eastAsia="Calibri" w:hAnsi="Times New Roman" w:cs="Times New Roman"/>
        </w:rPr>
        <w:t>GaBi</w:t>
      </w:r>
      <w:r w:rsidRPr="0094697E">
        <w:rPr>
          <w:rFonts w:ascii="Times New Roman" w:eastAsia="Calibri" w:hAnsi="Times New Roman" w:cs="Times New Roman"/>
        </w:rPr>
        <w:t xml:space="preserve"> version 6.110 from thinkStep.</w:t>
      </w:r>
      <w:r w:rsidR="0055727D" w:rsidRPr="0094697E">
        <w:rPr>
          <w:rFonts w:ascii="Times New Roman" w:eastAsia="Calibri" w:hAnsi="Times New Roman" w:cs="Times New Roman"/>
        </w:rPr>
        <w:t xml:space="preserve"> In regards to input data required to use the software and illustrate the unique production routes for each individual ferro-alloy, this data was obtained from the following 6 primary literature sources:</w:t>
      </w:r>
    </w:p>
    <w:p w:rsidR="0055727D" w:rsidRPr="0094697E" w:rsidRDefault="0055727D" w:rsidP="00EE7761">
      <w:pPr>
        <w:numPr>
          <w:ilvl w:val="0"/>
          <w:numId w:val="8"/>
        </w:numPr>
        <w:spacing w:after="0" w:line="360" w:lineRule="auto"/>
        <w:ind w:left="720" w:hanging="360"/>
        <w:jc w:val="both"/>
        <w:rPr>
          <w:rFonts w:ascii="Times New Roman" w:eastAsia="Calibri" w:hAnsi="Times New Roman" w:cs="Times New Roman"/>
        </w:rPr>
      </w:pPr>
      <w:r w:rsidRPr="0094697E">
        <w:rPr>
          <w:rFonts w:ascii="Times New Roman" w:eastAsia="Calibri" w:hAnsi="Times New Roman" w:cs="Times New Roman"/>
        </w:rPr>
        <w:t>Data source 1 - Gasik, M. (2013). ‘Handbook of Ferro-alloys Theory &amp; Technology’.</w:t>
      </w:r>
    </w:p>
    <w:p w:rsidR="0055727D" w:rsidRPr="0094697E" w:rsidRDefault="0055727D" w:rsidP="00EE7761">
      <w:pPr>
        <w:numPr>
          <w:ilvl w:val="0"/>
          <w:numId w:val="8"/>
        </w:numPr>
        <w:spacing w:after="0" w:line="360" w:lineRule="auto"/>
        <w:ind w:left="720" w:hanging="360"/>
        <w:jc w:val="both"/>
        <w:rPr>
          <w:rFonts w:ascii="Times New Roman" w:eastAsia="Calibri" w:hAnsi="Times New Roman" w:cs="Times New Roman"/>
        </w:rPr>
      </w:pPr>
      <w:r w:rsidRPr="0094697E">
        <w:rPr>
          <w:rFonts w:ascii="Times New Roman" w:eastAsia="Calibri" w:hAnsi="Times New Roman" w:cs="Times New Roman"/>
        </w:rPr>
        <w:t>Data source 2 - Haque. N &amp; Norgate T, 2013. ‘Estimation of greenhouse gas emissions from ferro-alloy production using life cycle assessment with particular reference to Australia’. Journal of Cleaner Production 39 (2013) pgs. 220 -230.</w:t>
      </w:r>
    </w:p>
    <w:p w:rsidR="0055727D" w:rsidRPr="0094697E" w:rsidRDefault="0055727D" w:rsidP="00EE7761">
      <w:pPr>
        <w:numPr>
          <w:ilvl w:val="0"/>
          <w:numId w:val="8"/>
        </w:numPr>
        <w:spacing w:after="0" w:line="360" w:lineRule="auto"/>
        <w:ind w:left="720" w:hanging="360"/>
        <w:jc w:val="both"/>
        <w:rPr>
          <w:rFonts w:ascii="Times New Roman" w:eastAsia="Calibri" w:hAnsi="Times New Roman" w:cs="Times New Roman"/>
        </w:rPr>
      </w:pPr>
      <w:r w:rsidRPr="0094697E">
        <w:rPr>
          <w:rFonts w:ascii="Times New Roman" w:eastAsia="Calibri" w:hAnsi="Times New Roman" w:cs="Times New Roman"/>
        </w:rPr>
        <w:t>Data source 3 - European Association of Metals (Eurometaux). D</w:t>
      </w:r>
      <w:r w:rsidR="00CC009D" w:rsidRPr="0094697E">
        <w:rPr>
          <w:rFonts w:ascii="Times New Roman" w:eastAsia="Calibri" w:hAnsi="Times New Roman" w:cs="Times New Roman"/>
        </w:rPr>
        <w:t xml:space="preserve">raft Report (2014). Chapter 8 - </w:t>
      </w:r>
      <w:r w:rsidRPr="0094697E">
        <w:rPr>
          <w:rFonts w:ascii="Times New Roman" w:eastAsia="Calibri" w:hAnsi="Times New Roman" w:cs="Times New Roman"/>
        </w:rPr>
        <w:t>Ferro-alloy production.</w:t>
      </w:r>
    </w:p>
    <w:p w:rsidR="0055727D" w:rsidRPr="0094697E" w:rsidRDefault="0055727D" w:rsidP="00EE7761">
      <w:pPr>
        <w:numPr>
          <w:ilvl w:val="0"/>
          <w:numId w:val="8"/>
        </w:numPr>
        <w:spacing w:after="0" w:line="360" w:lineRule="auto"/>
        <w:ind w:left="720" w:hanging="360"/>
        <w:jc w:val="both"/>
        <w:rPr>
          <w:rFonts w:ascii="Times New Roman" w:eastAsia="Calibri" w:hAnsi="Times New Roman" w:cs="Times New Roman"/>
        </w:rPr>
      </w:pPr>
      <w:r w:rsidRPr="0094697E">
        <w:rPr>
          <w:rFonts w:ascii="Times New Roman" w:eastAsia="Calibri" w:hAnsi="Times New Roman" w:cs="Times New Roman"/>
        </w:rPr>
        <w:t xml:space="preserve">Data source 4 - Thinkstep. </w:t>
      </w:r>
      <w:r w:rsidR="004D2D91" w:rsidRPr="0094697E">
        <w:rPr>
          <w:rFonts w:ascii="Times New Roman" w:eastAsia="Calibri" w:hAnsi="Times New Roman" w:cs="Times New Roman"/>
        </w:rPr>
        <w:t>GaBi</w:t>
      </w:r>
      <w:r w:rsidRPr="0094697E">
        <w:rPr>
          <w:rFonts w:ascii="Times New Roman" w:eastAsia="Calibri" w:hAnsi="Times New Roman" w:cs="Times New Roman"/>
        </w:rPr>
        <w:t xml:space="preserve"> Software System and Databases for Life Cycle Engineering. Copyright, TM. Stuttgart, Echterdingen. 1992-2015.</w:t>
      </w:r>
    </w:p>
    <w:p w:rsidR="0055727D" w:rsidRPr="0094697E" w:rsidRDefault="0055727D" w:rsidP="00EE7761">
      <w:pPr>
        <w:numPr>
          <w:ilvl w:val="0"/>
          <w:numId w:val="8"/>
        </w:numPr>
        <w:spacing w:after="0" w:line="360" w:lineRule="auto"/>
        <w:ind w:left="720" w:hanging="360"/>
        <w:jc w:val="both"/>
        <w:rPr>
          <w:rFonts w:ascii="Times New Roman" w:eastAsia="Calibri" w:hAnsi="Times New Roman" w:cs="Times New Roman"/>
        </w:rPr>
      </w:pPr>
      <w:r w:rsidRPr="0094697E">
        <w:rPr>
          <w:rFonts w:ascii="Times New Roman" w:eastAsia="Calibri" w:hAnsi="Times New Roman" w:cs="Times New Roman"/>
        </w:rPr>
        <w:t xml:space="preserve">Data source 5 - P. Nuss &amp; Matthew J. </w:t>
      </w:r>
      <w:proofErr w:type="spellStart"/>
      <w:r w:rsidRPr="0094697E">
        <w:rPr>
          <w:rFonts w:ascii="Times New Roman" w:eastAsia="Calibri" w:hAnsi="Times New Roman" w:cs="Times New Roman"/>
        </w:rPr>
        <w:t>Eckelman</w:t>
      </w:r>
      <w:proofErr w:type="spellEnd"/>
      <w:r w:rsidRPr="0094697E">
        <w:rPr>
          <w:rFonts w:ascii="Times New Roman" w:eastAsia="Calibri" w:hAnsi="Times New Roman" w:cs="Times New Roman"/>
        </w:rPr>
        <w:t xml:space="preserve"> 2014. ‘LCA of Metals: A Scientific Synthesis’ Plos One. July 2014 | Volume 9 | Issue 7 | e101298.</w:t>
      </w:r>
    </w:p>
    <w:p w:rsidR="0055727D" w:rsidRPr="0094697E" w:rsidRDefault="0055727D" w:rsidP="00EE7761">
      <w:pPr>
        <w:numPr>
          <w:ilvl w:val="0"/>
          <w:numId w:val="8"/>
        </w:numPr>
        <w:spacing w:after="0" w:line="360" w:lineRule="auto"/>
        <w:ind w:left="720" w:hanging="360"/>
        <w:jc w:val="both"/>
        <w:rPr>
          <w:rFonts w:ascii="Times New Roman" w:eastAsia="Calibri" w:hAnsi="Times New Roman" w:cs="Times New Roman"/>
        </w:rPr>
      </w:pPr>
      <w:r w:rsidRPr="0094697E">
        <w:rPr>
          <w:rFonts w:ascii="Times New Roman" w:eastAsia="Calibri" w:hAnsi="Times New Roman" w:cs="Times New Roman"/>
        </w:rPr>
        <w:t>Data source 6 - International Molybdenum Association (IMOA), (2005). Personal communication.</w:t>
      </w:r>
    </w:p>
    <w:p w:rsidR="00E52924" w:rsidRPr="0094697E" w:rsidRDefault="00E52924" w:rsidP="00E52924">
      <w:pPr>
        <w:spacing w:after="0" w:line="360" w:lineRule="auto"/>
        <w:ind w:firstLine="720"/>
        <w:jc w:val="both"/>
        <w:rPr>
          <w:rFonts w:ascii="Times New Roman" w:eastAsia="Calibri" w:hAnsi="Times New Roman" w:cs="Times New Roman"/>
        </w:rPr>
      </w:pPr>
    </w:p>
    <w:p w:rsidR="00E641DF" w:rsidRPr="0094697E" w:rsidRDefault="00E52924" w:rsidP="00E641DF">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 xml:space="preserve">The range of literature sources varied from journals, to books to online databases and international organisations. Data source 2, </w:t>
      </w:r>
      <w:r w:rsidRPr="0094697E">
        <w:rPr>
          <w:rFonts w:ascii="Times New Roman" w:eastAsia="Calibri" w:hAnsi="Times New Roman" w:cs="Times New Roman"/>
          <w:noProof/>
        </w:rPr>
        <w:t>(Haque &amp; Norgate 2013)</w:t>
      </w:r>
      <w:r w:rsidRPr="0094697E">
        <w:rPr>
          <w:rFonts w:ascii="Times New Roman" w:eastAsia="Calibri" w:hAnsi="Times New Roman" w:cs="Times New Roman"/>
        </w:rPr>
        <w:t xml:space="preserve"> was the primary data source used to create and test the ferro-alloy modelling methodology. For some ferro-alloys (e.g. Fe-Cr) multiple sources of data were available to produce and compare results against. For other ferro-alloys (e.g. Fe-B) limited data was available. A detailed explanation of data sources used and models created for each of the 10 ferro-alloys can be seen in the Appendix under heading D. LCA Ferro-alloy Methodology. The up</w:t>
      </w:r>
      <w:r w:rsidR="00E641DF" w:rsidRPr="0094697E">
        <w:rPr>
          <w:rFonts w:ascii="Times New Roman" w:eastAsia="Calibri" w:hAnsi="Times New Roman" w:cs="Times New Roman"/>
        </w:rPr>
        <w:t>co</w:t>
      </w:r>
      <w:r w:rsidR="00CC009D" w:rsidRPr="0094697E">
        <w:rPr>
          <w:rFonts w:ascii="Times New Roman" w:eastAsia="Calibri" w:hAnsi="Times New Roman" w:cs="Times New Roman"/>
        </w:rPr>
        <w:t>ming paragraphs provide specific</w:t>
      </w:r>
      <w:r w:rsidRPr="0094697E">
        <w:rPr>
          <w:rFonts w:ascii="Times New Roman" w:eastAsia="Calibri" w:hAnsi="Times New Roman" w:cs="Times New Roman"/>
        </w:rPr>
        <w:t xml:space="preserve"> explanation</w:t>
      </w:r>
      <w:r w:rsidR="00E641DF" w:rsidRPr="0094697E">
        <w:rPr>
          <w:rFonts w:ascii="Times New Roman" w:eastAsia="Calibri" w:hAnsi="Times New Roman" w:cs="Times New Roman"/>
        </w:rPr>
        <w:t>s of the method followed</w:t>
      </w:r>
      <w:r w:rsidRPr="0094697E">
        <w:rPr>
          <w:rFonts w:ascii="Times New Roman" w:eastAsia="Calibri" w:hAnsi="Times New Roman" w:cs="Times New Roman"/>
        </w:rPr>
        <w:t xml:space="preserve"> to create the ferro-alloy models.</w:t>
      </w:r>
    </w:p>
    <w:p w:rsidR="00E641DF" w:rsidRPr="0094697E" w:rsidRDefault="006A62D1" w:rsidP="00E641DF">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Before creating any ferro-alloy model, system boundaries were</w:t>
      </w:r>
      <w:r w:rsidR="00E641DF" w:rsidRPr="0094697E">
        <w:rPr>
          <w:rFonts w:ascii="Times New Roman" w:eastAsia="Calibri" w:hAnsi="Times New Roman" w:cs="Times New Roman"/>
        </w:rPr>
        <w:t xml:space="preserve"> set based upon analysis of the</w:t>
      </w:r>
      <w:r w:rsidRPr="0094697E">
        <w:rPr>
          <w:rFonts w:ascii="Times New Roman" w:eastAsia="Calibri" w:hAnsi="Times New Roman" w:cs="Times New Roman"/>
        </w:rPr>
        <w:t xml:space="preserve"> quantity and quality of input data. </w:t>
      </w:r>
      <w:r w:rsidR="00E641DF" w:rsidRPr="0094697E">
        <w:rPr>
          <w:rFonts w:ascii="Times New Roman" w:eastAsia="Calibri" w:hAnsi="Times New Roman" w:cs="Times New Roman"/>
        </w:rPr>
        <w:t xml:space="preserve">In this case, the boundaries of the study were set to ‘cradle-to-gate’ as illustrated by </w:t>
      </w:r>
      <w:r w:rsidR="00A6415F" w:rsidRPr="0094697E">
        <w:fldChar w:fldCharType="begin"/>
      </w:r>
      <w:r w:rsidR="00A6415F" w:rsidRPr="0094697E">
        <w:instrText xml:space="preserve"> REF _Ref473551233 \h  \* MERGEFORMAT </w:instrText>
      </w:r>
      <w:r w:rsidR="00A6415F" w:rsidRPr="0094697E">
        <w:fldChar w:fldCharType="separate"/>
      </w:r>
      <w:r w:rsidR="009F5483" w:rsidRPr="009F5483">
        <w:t>Figure 9</w:t>
      </w:r>
      <w:r w:rsidR="00A6415F" w:rsidRPr="0094697E">
        <w:fldChar w:fldCharType="end"/>
      </w:r>
      <w:r w:rsidR="00E641DF" w:rsidRPr="0094697E">
        <w:rPr>
          <w:rFonts w:ascii="Times New Roman" w:eastAsia="Calibri" w:hAnsi="Times New Roman" w:cs="Times New Roman"/>
        </w:rPr>
        <w:t xml:space="preserve">. As a result the most significant of the various material and energy inputs along the production chain of the various ferro-alloys within this boundary were included in this study. Transport links were excluded in this study but were included by other data sources i.e. </w:t>
      </w:r>
      <w:r w:rsidR="004D2D91" w:rsidRPr="0094697E">
        <w:rPr>
          <w:rFonts w:ascii="Times New Roman" w:eastAsia="Calibri" w:hAnsi="Times New Roman" w:cs="Times New Roman"/>
        </w:rPr>
        <w:t>GaBi</w:t>
      </w:r>
      <w:r w:rsidR="00E641DF" w:rsidRPr="0094697E">
        <w:rPr>
          <w:rFonts w:ascii="Times New Roman" w:eastAsia="Calibri" w:hAnsi="Times New Roman" w:cs="Times New Roman"/>
        </w:rPr>
        <w:t>.  In addition, infrastructure contributions were not included in this study due to the potential contribution being limited i.e. large production of ferro-alloy over life of the plant.</w:t>
      </w:r>
    </w:p>
    <w:p w:rsidR="00E641DF" w:rsidRPr="0094697E" w:rsidRDefault="00E641DF" w:rsidP="00E641DF">
      <w:pPr>
        <w:spacing w:after="0" w:line="360" w:lineRule="auto"/>
        <w:ind w:firstLine="720"/>
        <w:jc w:val="both"/>
        <w:rPr>
          <w:rFonts w:ascii="Times New Roman" w:eastAsia="Calibri" w:hAnsi="Times New Roman" w:cs="Times New Roman"/>
        </w:rPr>
      </w:pPr>
    </w:p>
    <w:p w:rsidR="00E641DF" w:rsidRPr="0094697E" w:rsidRDefault="00E641DF" w:rsidP="00E641DF">
      <w:pPr>
        <w:spacing w:after="0" w:line="360" w:lineRule="auto"/>
        <w:ind w:firstLine="720"/>
        <w:jc w:val="both"/>
        <w:rPr>
          <w:rFonts w:ascii="Times New Roman" w:eastAsia="Calibri" w:hAnsi="Times New Roman" w:cs="Times New Roman"/>
        </w:rPr>
      </w:pPr>
    </w:p>
    <w:p w:rsidR="006A62D1" w:rsidRPr="0094697E" w:rsidRDefault="006A62D1" w:rsidP="0084263F">
      <w:pPr>
        <w:spacing w:line="360" w:lineRule="auto"/>
        <w:rPr>
          <w:rFonts w:ascii="Times New Roman" w:eastAsia="Calibri" w:hAnsi="Times New Roman" w:cs="Times New Roman"/>
        </w:rPr>
      </w:pPr>
    </w:p>
    <w:p w:rsidR="0084263F" w:rsidRPr="0094697E" w:rsidRDefault="00BE325C" w:rsidP="0084263F">
      <w:r w:rsidRPr="0094697E">
        <w:rPr>
          <w:noProof/>
        </w:rPr>
        <mc:AlternateContent>
          <mc:Choice Requires="wpg">
            <w:drawing>
              <wp:anchor distT="0" distB="0" distL="114300" distR="114300" simplePos="0" relativeHeight="251675648" behindDoc="0" locked="0" layoutInCell="1" allowOverlap="1">
                <wp:simplePos x="0" y="0"/>
                <wp:positionH relativeFrom="column">
                  <wp:posOffset>-86360</wp:posOffset>
                </wp:positionH>
                <wp:positionV relativeFrom="paragraph">
                  <wp:posOffset>-224155</wp:posOffset>
                </wp:positionV>
                <wp:extent cx="4916805" cy="2682875"/>
                <wp:effectExtent l="19050" t="19050" r="36195" b="22225"/>
                <wp:wrapNone/>
                <wp:docPr id="450"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16805" cy="2682875"/>
                          <a:chOff x="0" y="0"/>
                          <a:chExt cx="4916829" cy="2682815"/>
                        </a:xfrm>
                      </wpg:grpSpPr>
                      <wpg:grpSp>
                        <wpg:cNvPr id="453" name="Group 453"/>
                        <wpg:cNvGrpSpPr/>
                        <wpg:grpSpPr>
                          <a:xfrm>
                            <a:off x="629728" y="0"/>
                            <a:ext cx="3286125" cy="2682815"/>
                            <a:chOff x="0" y="0"/>
                            <a:chExt cx="3286125" cy="2682815"/>
                          </a:xfrm>
                        </wpg:grpSpPr>
                        <wps:wsp>
                          <wps:cNvPr id="454" name="Rectangle 454"/>
                          <wps:cNvSpPr/>
                          <wps:spPr>
                            <a:xfrm>
                              <a:off x="603849" y="0"/>
                              <a:ext cx="2173856" cy="2682815"/>
                            </a:xfrm>
                            <a:prstGeom prst="rect">
                              <a:avLst/>
                            </a:prstGeom>
                            <a:solidFill>
                              <a:schemeClr val="bg1"/>
                            </a:solidFill>
                            <a:ln w="2857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aphicFrame>
                          <wpg:cNvPr id="455" name="Diagram 455"/>
                          <wpg:cNvFrPr/>
                          <wpg:xfrm>
                            <a:off x="0" y="112144"/>
                            <a:ext cx="3286125" cy="2423795"/>
                          </wpg:xfrm>
                          <a:graphic>
                            <a:graphicData uri="http://schemas.openxmlformats.org/drawingml/2006/diagram">
                              <dgm:relIds xmlns:dgm="http://schemas.openxmlformats.org/drawingml/2006/diagram" xmlns:r="http://schemas.openxmlformats.org/officeDocument/2006/relationships" r:dm="rId30" r:lo="rId31" r:qs="rId32" r:cs="rId33"/>
                            </a:graphicData>
                          </a:graphic>
                        </wpg:graphicFrame>
                      </wpg:grpSp>
                      <wpg:graphicFrame>
                        <wpg:cNvPr id="57" name="Diagram 57"/>
                        <wpg:cNvFrPr/>
                        <wpg:xfrm>
                          <a:off x="0" y="1138687"/>
                          <a:ext cx="1181735" cy="878840"/>
                        </wpg:xfrm>
                        <a:graphic>
                          <a:graphicData uri="http://schemas.openxmlformats.org/drawingml/2006/diagram">
                            <dgm:relIds xmlns:dgm="http://schemas.openxmlformats.org/drawingml/2006/diagram" xmlns:r="http://schemas.openxmlformats.org/officeDocument/2006/relationships" r:dm="rId35" r:lo="rId36" r:qs="rId37" r:cs="rId38"/>
                          </a:graphicData>
                        </a:graphic>
                      </wpg:graphicFrame>
                      <wpg:graphicFrame>
                        <wpg:cNvPr id="75" name="Diagram 75"/>
                        <wpg:cNvFrPr/>
                        <wpg:xfrm>
                          <a:off x="0" y="1699404"/>
                          <a:ext cx="1216025" cy="836295"/>
                        </wpg:xfrm>
                        <a:graphic>
                          <a:graphicData uri="http://schemas.openxmlformats.org/drawingml/2006/diagram">
                            <dgm:relIds xmlns:dgm="http://schemas.openxmlformats.org/drawingml/2006/diagram" xmlns:r="http://schemas.openxmlformats.org/officeDocument/2006/relationships" r:dm="rId40" r:lo="rId41" r:qs="rId42" r:cs="rId43"/>
                          </a:graphicData>
                        </a:graphic>
                      </wpg:graphicFrame>
                      <wpg:graphicFrame>
                        <wpg:cNvPr id="76" name="Diagram 76"/>
                        <wpg:cNvFrPr/>
                        <wpg:xfrm>
                          <a:off x="3407434" y="698740"/>
                          <a:ext cx="1509395" cy="1000125"/>
                        </wpg:xfrm>
                        <a:graphic>
                          <a:graphicData uri="http://schemas.openxmlformats.org/drawingml/2006/diagram">
                            <dgm:relIds xmlns:dgm="http://schemas.openxmlformats.org/drawingml/2006/diagram" xmlns:r="http://schemas.openxmlformats.org/officeDocument/2006/relationships" r:dm="rId45" r:lo="rId46" r:qs="rId47" r:cs="rId48"/>
                          </a:graphicData>
                        </a:graphic>
                      </wpg:graphicFrame>
                    </wpg:wgp>
                  </a:graphicData>
                </a:graphic>
                <wp14:sizeRelH relativeFrom="page">
                  <wp14:pctWidth>0</wp14:pctWidth>
                </wp14:sizeRelH>
                <wp14:sizeRelV relativeFrom="page">
                  <wp14:pctHeight>0</wp14:pctHeight>
                </wp14:sizeRelV>
              </wp:anchor>
            </w:drawing>
          </mc:Choice>
          <mc:Fallback>
            <w:pict>
              <v:group w14:anchorId="0A9AB5C4" id="Group 450" o:spid="_x0000_s1026" style="position:absolute;margin-left:-6.8pt;margin-top:-17.65pt;width:387.15pt;height:211.25pt;z-index:251675648" coordsize="49168,26828" o:gfxdata="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">
                <v:group id="Group 453" o:spid="_x0000_s1027" style="position:absolute;left:6297;width:32861;height:26828" coordsize="32861,26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uIssUAAADcAAAADwAAAGRycy9kb3ducmV2LnhtbESPT4vCMBTE78J+h/CE&#10;vWna9Q9LNYqIu+xBBHVBvD2aZ1tsXkoT2/rtjSB4HGbmN8x82ZlSNFS7wrKCeBiBIE6tLjhT8H/8&#10;GXyDcB5ZY2mZFNzJwXLx0Ztjom3Le2oOPhMBwi5BBbn3VSKlS3My6Ia2Ig7exdYGfZB1JnWNbYCb&#10;Un5F0VQaLDgs5FjROqf0ergZBb8ttqtRvGm218v6fj5OdqdtTEp99rvVDISnzr/Dr/afVjCejO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LiLLFAAAA3AAA&#10;AA8AAAAAAAAAAAAAAAAAqgIAAGRycy9kb3ducmV2LnhtbFBLBQYAAAAABAAEAPoAAACcAwAAAAA=&#10;">
                  <v:rect id="Rectangle 454" o:spid="_x0000_s1028" style="position:absolute;left:6038;width:21739;height:268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kqB8UA&#10;AADcAAAADwAAAGRycy9kb3ducmV2LnhtbESPQWvCQBSE74L/YXlCL1I3llgkdRWRWgoFoVHo9TX7&#10;TILZt+nu1iT/vlsQPA4z8w2z2vSmEVdyvrasYD5LQBAXVtdcKjgd949LED4ga2wsk4KBPGzW49EK&#10;M207/qRrHkoRIewzVFCF0GZS+qIig35mW+Lona0zGKJ0pdQOuwg3jXxKkmdpsOa4UGFLu4qKS/5r&#10;FHwMg/l226NNv35ey2nnaf/mD0o9TPrtC4hAfbiHb+13rSBdpPB/Jh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mSoHxQAAANwAAAAPAAAAAAAAAAAAAAAAAJgCAABkcnMv&#10;ZG93bnJldi54bWxQSwUGAAAAAAQABAD1AAAAigMAAAAA&#10;" fillcolor="white [3212]" strokecolor="black [3213]" strokeweight="2.25pt">
                    <v:stroke dashstyle="3 1"/>
                  </v:rect>
                  <v:shape id="Diagram 455" o:spid="_x0000_s1029" type="#_x0000_t75" style="position:absolute;left:10771;top:1097;width:11400;height:2432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">
                    <v:imagedata r:id="rId52" o:title=""/>
                    <o:lock v:ext="edit" aspectratio="f"/>
                  </v:shape>
                </v:group>
                <v:shape id="Diagram 57" o:spid="_x0000_s1030" type="#_x0000_t75" style="position:absolute;left:-182;top:11338;width:11825;height:493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">
                  <v:imagedata r:id="rId53" o:title=""/>
                  <o:lock v:ext="edit" aspectratio="f"/>
                </v:shape>
                <v:shape id="Diagram 75" o:spid="_x0000_s1031" type="#_x0000_t75" style="position:absolute;left:-182;top:20299;width:12130;height:5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">
                  <v:imagedata r:id="rId54" o:title=""/>
                  <o:lock v:ext="edit" aspectratio="f"/>
                </v:shape>
                <v:shape id="Diagram 76" o:spid="_x0000_s1032" type="#_x0000_t75" style="position:absolute;left:33893;top:11399;width:15362;height:579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">
                  <v:imagedata r:id="rId55" o:title=""/>
                  <o:lock v:ext="edit" aspectratio="f"/>
                </v:shape>
              </v:group>
            </w:pict>
          </mc:Fallback>
        </mc:AlternateContent>
      </w:r>
      <w:r w:rsidR="0084263F" w:rsidRPr="0094697E">
        <w:rPr>
          <w:noProof/>
        </w:rPr>
        <w:drawing>
          <wp:inline distT="0" distB="0" distL="0" distR="0">
            <wp:extent cx="1103630" cy="914400"/>
            <wp:effectExtent l="19050" t="0" r="39370" b="0"/>
            <wp:docPr id="77" name="Diagram 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rsidR="0084263F" w:rsidRPr="0094697E" w:rsidRDefault="0084263F" w:rsidP="0084263F">
      <w:pPr>
        <w:tabs>
          <w:tab w:val="left" w:pos="1861"/>
        </w:tabs>
      </w:pPr>
    </w:p>
    <w:p w:rsidR="006A62D1" w:rsidRPr="0094697E" w:rsidRDefault="006A62D1" w:rsidP="0084263F">
      <w:pPr>
        <w:spacing w:line="360" w:lineRule="auto"/>
        <w:rPr>
          <w:rFonts w:ascii="Times New Roman" w:eastAsia="Calibri" w:hAnsi="Times New Roman" w:cs="Times New Roman"/>
        </w:rPr>
      </w:pPr>
    </w:p>
    <w:p w:rsidR="006A62D1" w:rsidRPr="0094697E" w:rsidRDefault="006A62D1" w:rsidP="0084263F">
      <w:pPr>
        <w:spacing w:line="360" w:lineRule="auto"/>
        <w:rPr>
          <w:rFonts w:ascii="Times New Roman" w:eastAsia="Calibri" w:hAnsi="Times New Roman" w:cs="Times New Roman"/>
        </w:rPr>
      </w:pPr>
    </w:p>
    <w:p w:rsidR="006A62D1" w:rsidRPr="0094697E" w:rsidRDefault="006A62D1" w:rsidP="0084263F">
      <w:pPr>
        <w:spacing w:line="360" w:lineRule="auto"/>
        <w:rPr>
          <w:rFonts w:ascii="Times New Roman" w:eastAsia="Calibri" w:hAnsi="Times New Roman" w:cs="Times New Roman"/>
        </w:rPr>
      </w:pPr>
    </w:p>
    <w:p w:rsidR="006A62D1" w:rsidRPr="0094697E" w:rsidRDefault="006A62D1" w:rsidP="006A62D1">
      <w:pPr>
        <w:keepNext/>
        <w:spacing w:line="360" w:lineRule="auto"/>
        <w:jc w:val="both"/>
        <w:rPr>
          <w:rFonts w:ascii="Times New Roman" w:eastAsia="Calibri" w:hAnsi="Times New Roman" w:cs="Times New Roman"/>
        </w:rPr>
      </w:pPr>
    </w:p>
    <w:p w:rsidR="00043134" w:rsidRPr="0094697E" w:rsidRDefault="00E641DF" w:rsidP="00043134">
      <w:pPr>
        <w:pStyle w:val="Caption"/>
        <w:rPr>
          <w:rFonts w:ascii="Times New Roman" w:hAnsi="Times New Roman" w:cs="Times New Roman"/>
          <w:i w:val="0"/>
          <w:color w:val="auto"/>
          <w:sz w:val="22"/>
          <w:szCs w:val="22"/>
        </w:rPr>
      </w:pPr>
      <w:bookmarkStart w:id="97" w:name="_Ref473551233"/>
      <w:bookmarkStart w:id="98" w:name="_Ref473551229"/>
      <w:bookmarkStart w:id="99" w:name="_Toc495848342"/>
      <w:r w:rsidRPr="0094697E">
        <w:rPr>
          <w:rFonts w:ascii="Times New Roman" w:hAnsi="Times New Roman" w:cs="Times New Roman"/>
          <w:i w:val="0"/>
          <w:color w:val="auto"/>
          <w:sz w:val="22"/>
        </w:rPr>
        <w:t xml:space="preserve">Figure </w:t>
      </w:r>
      <w:r w:rsidR="009A0ED7" w:rsidRPr="0094697E">
        <w:rPr>
          <w:rFonts w:ascii="Times New Roman" w:hAnsi="Times New Roman" w:cs="Times New Roman"/>
          <w:i w:val="0"/>
          <w:color w:val="auto"/>
          <w:sz w:val="22"/>
        </w:rPr>
        <w:fldChar w:fldCharType="begin"/>
      </w:r>
      <w:r w:rsidRPr="0094697E">
        <w:rPr>
          <w:rFonts w:ascii="Times New Roman" w:hAnsi="Times New Roman" w:cs="Times New Roman"/>
          <w:i w:val="0"/>
          <w:color w:val="auto"/>
          <w:sz w:val="22"/>
        </w:rPr>
        <w:instrText xml:space="preserve"> SEQ Figure \* ARABIC </w:instrText>
      </w:r>
      <w:r w:rsidR="009A0ED7" w:rsidRPr="0094697E">
        <w:rPr>
          <w:rFonts w:ascii="Times New Roman" w:hAnsi="Times New Roman" w:cs="Times New Roman"/>
          <w:i w:val="0"/>
          <w:color w:val="auto"/>
          <w:sz w:val="22"/>
        </w:rPr>
        <w:fldChar w:fldCharType="separate"/>
      </w:r>
      <w:r w:rsidR="009F5483">
        <w:rPr>
          <w:rFonts w:ascii="Times New Roman" w:hAnsi="Times New Roman" w:cs="Times New Roman"/>
          <w:i w:val="0"/>
          <w:noProof/>
          <w:color w:val="auto"/>
          <w:sz w:val="22"/>
        </w:rPr>
        <w:t>9</w:t>
      </w:r>
      <w:r w:rsidR="009A0ED7" w:rsidRPr="0094697E">
        <w:rPr>
          <w:rFonts w:ascii="Times New Roman" w:hAnsi="Times New Roman" w:cs="Times New Roman"/>
          <w:i w:val="0"/>
          <w:color w:val="auto"/>
          <w:sz w:val="22"/>
        </w:rPr>
        <w:fldChar w:fldCharType="end"/>
      </w:r>
      <w:bookmarkEnd w:id="97"/>
      <w:r w:rsidRPr="0094697E">
        <w:rPr>
          <w:rFonts w:ascii="Times New Roman" w:hAnsi="Times New Roman" w:cs="Times New Roman"/>
          <w:i w:val="0"/>
          <w:color w:val="auto"/>
          <w:sz w:val="22"/>
        </w:rPr>
        <w:t xml:space="preserve">. </w:t>
      </w:r>
      <w:r w:rsidR="00CC009D" w:rsidRPr="0094697E">
        <w:rPr>
          <w:rFonts w:ascii="Times New Roman" w:hAnsi="Times New Roman" w:cs="Times New Roman"/>
          <w:i w:val="0"/>
          <w:color w:val="auto"/>
          <w:sz w:val="22"/>
        </w:rPr>
        <w:t>System b</w:t>
      </w:r>
      <w:r w:rsidR="006A62D1" w:rsidRPr="0094697E">
        <w:rPr>
          <w:rFonts w:ascii="Times New Roman" w:hAnsi="Times New Roman" w:cs="Times New Roman"/>
          <w:i w:val="0"/>
          <w:color w:val="auto"/>
          <w:sz w:val="22"/>
        </w:rPr>
        <w:t>oundary</w:t>
      </w:r>
      <w:r w:rsidR="006A62D1" w:rsidRPr="0094697E">
        <w:rPr>
          <w:rFonts w:ascii="Times New Roman" w:hAnsi="Times New Roman" w:cs="Times New Roman"/>
          <w:i w:val="0"/>
          <w:color w:val="auto"/>
          <w:sz w:val="28"/>
          <w:szCs w:val="22"/>
        </w:rPr>
        <w:t xml:space="preserve"> </w:t>
      </w:r>
      <w:r w:rsidR="006A62D1" w:rsidRPr="0094697E">
        <w:rPr>
          <w:rFonts w:ascii="Times New Roman" w:hAnsi="Times New Roman" w:cs="Times New Roman"/>
          <w:i w:val="0"/>
          <w:color w:val="auto"/>
          <w:sz w:val="22"/>
          <w:szCs w:val="22"/>
        </w:rPr>
        <w:t>for ferro-alloy study.</w:t>
      </w:r>
      <w:bookmarkEnd w:id="98"/>
      <w:bookmarkEnd w:id="99"/>
    </w:p>
    <w:p w:rsidR="00380B1F" w:rsidRPr="0094697E" w:rsidRDefault="00380B1F" w:rsidP="00043134">
      <w:pPr>
        <w:keepNext/>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Based on the system boundary, a functional unit for each ferro-alloy model was set to either 1000 kg or 1 kg of ferro-alloy depending on the data source. However all results generated were based on 1kg of ferro-alloy.</w:t>
      </w:r>
    </w:p>
    <w:p w:rsidR="00F347E4" w:rsidRPr="0094697E" w:rsidRDefault="006A62D1" w:rsidP="00043134">
      <w:pPr>
        <w:keepNext/>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T</w:t>
      </w:r>
      <w:r w:rsidR="00380B1F" w:rsidRPr="0094697E">
        <w:rPr>
          <w:rFonts w:ascii="Times New Roman" w:eastAsia="Calibri" w:hAnsi="Times New Roman" w:cs="Times New Roman"/>
        </w:rPr>
        <w:t>o explain how each</w:t>
      </w:r>
      <w:r w:rsidRPr="0094697E">
        <w:rPr>
          <w:rFonts w:ascii="Times New Roman" w:eastAsia="Calibri" w:hAnsi="Times New Roman" w:cs="Times New Roman"/>
        </w:rPr>
        <w:t xml:space="preserve"> ferro-alloy model</w:t>
      </w:r>
      <w:r w:rsidR="00380B1F" w:rsidRPr="0094697E">
        <w:rPr>
          <w:rFonts w:ascii="Times New Roman" w:eastAsia="Calibri" w:hAnsi="Times New Roman" w:cs="Times New Roman"/>
        </w:rPr>
        <w:t xml:space="preserve"> was developed</w:t>
      </w:r>
      <w:r w:rsidRPr="0094697E">
        <w:rPr>
          <w:rFonts w:ascii="Times New Roman" w:eastAsia="Calibri" w:hAnsi="Times New Roman" w:cs="Times New Roman"/>
        </w:rPr>
        <w:t>, the example of Fe-Cr with input data from Haque (</w:t>
      </w:r>
      <w:r w:rsidR="00A6415F" w:rsidRPr="0094697E">
        <w:fldChar w:fldCharType="begin"/>
      </w:r>
      <w:r w:rsidR="00A6415F" w:rsidRPr="0094697E">
        <w:instrText xml:space="preserve"> REF _Ref468619442 \h  \* MERGEFORMAT </w:instrText>
      </w:r>
      <w:r w:rsidR="00A6415F" w:rsidRPr="0094697E">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39</w:t>
      </w:r>
      <w:r w:rsidR="00A6415F" w:rsidRPr="0094697E">
        <w:fldChar w:fldCharType="end"/>
      </w:r>
      <w:r w:rsidRPr="0094697E">
        <w:rPr>
          <w:rFonts w:ascii="Times New Roman" w:eastAsia="Calibri" w:hAnsi="Times New Roman" w:cs="Times New Roman"/>
        </w:rPr>
        <w:t xml:space="preserve">), will </w:t>
      </w:r>
      <w:r w:rsidR="00043134" w:rsidRPr="0094697E">
        <w:rPr>
          <w:rFonts w:ascii="Times New Roman" w:eastAsia="Calibri" w:hAnsi="Times New Roman" w:cs="Times New Roman"/>
        </w:rPr>
        <w:t>be used for reference</w:t>
      </w:r>
      <w:r w:rsidRPr="0094697E">
        <w:rPr>
          <w:rFonts w:ascii="Times New Roman" w:eastAsia="Calibri" w:hAnsi="Times New Roman" w:cs="Times New Roman"/>
        </w:rPr>
        <w:t xml:space="preserve">. </w:t>
      </w:r>
      <w:r w:rsidR="00043134" w:rsidRPr="0094697E">
        <w:rPr>
          <w:rFonts w:ascii="Times New Roman" w:eastAsia="Calibri" w:hAnsi="Times New Roman" w:cs="Times New Roman"/>
        </w:rPr>
        <w:t xml:space="preserve">Using </w:t>
      </w:r>
      <w:r w:rsidRPr="0094697E">
        <w:rPr>
          <w:rFonts w:ascii="Times New Roman" w:eastAsia="Calibri" w:hAnsi="Times New Roman" w:cs="Times New Roman"/>
        </w:rPr>
        <w:t>data from Haque, flows we</w:t>
      </w:r>
      <w:r w:rsidR="00043134" w:rsidRPr="0094697E">
        <w:rPr>
          <w:rFonts w:ascii="Times New Roman" w:eastAsia="Calibri" w:hAnsi="Times New Roman" w:cs="Times New Roman"/>
        </w:rPr>
        <w:t xml:space="preserve">re created by manually inserting values from </w:t>
      </w:r>
      <w:r w:rsidR="00A6415F" w:rsidRPr="0094697E">
        <w:fldChar w:fldCharType="begin"/>
      </w:r>
      <w:r w:rsidR="00A6415F" w:rsidRPr="0094697E">
        <w:instrText xml:space="preserve"> REF _Ref468619442 \h  \* MERGEFORMAT </w:instrText>
      </w:r>
      <w:r w:rsidR="00A6415F" w:rsidRPr="0094697E">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39</w:t>
      </w:r>
      <w:r w:rsidR="00A6415F" w:rsidRPr="0094697E">
        <w:fldChar w:fldCharType="end"/>
      </w:r>
      <w:r w:rsidR="00043134" w:rsidRPr="0094697E">
        <w:rPr>
          <w:rFonts w:ascii="Times New Roman" w:eastAsia="Calibri" w:hAnsi="Times New Roman" w:cs="Times New Roman"/>
        </w:rPr>
        <w:t xml:space="preserve"> </w:t>
      </w:r>
      <w:r w:rsidRPr="0094697E">
        <w:rPr>
          <w:rFonts w:ascii="Times New Roman" w:eastAsia="Calibri" w:hAnsi="Times New Roman" w:cs="Times New Roman"/>
        </w:rPr>
        <w:t xml:space="preserve"> into the ‘Inputs’</w:t>
      </w:r>
      <w:r w:rsidR="00043134" w:rsidRPr="0094697E">
        <w:rPr>
          <w:rFonts w:ascii="Times New Roman" w:eastAsia="Calibri" w:hAnsi="Times New Roman" w:cs="Times New Roman"/>
        </w:rPr>
        <w:t xml:space="preserve"> section, with units appropriately labelled as either kg or MJ. The column associated with factor was left as 1 thus depicting the same quantity as the original value and illustrating the model has not been scaled up or down. </w:t>
      </w:r>
    </w:p>
    <w:p w:rsidR="00046390" w:rsidRPr="005E33F5" w:rsidRDefault="002C3E4A" w:rsidP="005E33F5">
      <w:pPr>
        <w:pStyle w:val="Caption"/>
        <w:spacing w:line="360" w:lineRule="auto"/>
        <w:ind w:firstLine="720"/>
        <w:jc w:val="both"/>
        <w:rPr>
          <w:rFonts w:ascii="Times New Roman" w:eastAsia="Calibri" w:hAnsi="Times New Roman" w:cs="Times New Roman"/>
          <w:i w:val="0"/>
          <w:color w:val="auto"/>
          <w:sz w:val="22"/>
        </w:rPr>
      </w:pPr>
      <w:bookmarkStart w:id="100" w:name="_Toc475570505"/>
      <w:r w:rsidRPr="0094697E">
        <w:rPr>
          <w:rFonts w:ascii="Times New Roman" w:eastAsia="Calibri" w:hAnsi="Times New Roman" w:cs="Times New Roman"/>
          <w:i w:val="0"/>
          <w:color w:val="auto"/>
          <w:sz w:val="22"/>
        </w:rPr>
        <w:t>To make the</w:t>
      </w:r>
      <w:r w:rsidR="00F347E4" w:rsidRPr="0094697E">
        <w:rPr>
          <w:rFonts w:ascii="Times New Roman" w:eastAsia="Calibri" w:hAnsi="Times New Roman" w:cs="Times New Roman"/>
          <w:i w:val="0"/>
          <w:color w:val="auto"/>
          <w:sz w:val="22"/>
        </w:rPr>
        <w:t xml:space="preserve"> model</w:t>
      </w:r>
      <w:r w:rsidRPr="0094697E">
        <w:rPr>
          <w:rFonts w:ascii="Times New Roman" w:eastAsia="Calibri" w:hAnsi="Times New Roman" w:cs="Times New Roman"/>
          <w:i w:val="0"/>
          <w:color w:val="auto"/>
          <w:sz w:val="22"/>
        </w:rPr>
        <w:t xml:space="preserve"> accurate</w:t>
      </w:r>
      <w:r w:rsidR="00F347E4" w:rsidRPr="0094697E">
        <w:rPr>
          <w:rFonts w:ascii="Times New Roman" w:eastAsia="Calibri" w:hAnsi="Times New Roman" w:cs="Times New Roman"/>
          <w:i w:val="0"/>
          <w:color w:val="auto"/>
          <w:sz w:val="22"/>
        </w:rPr>
        <w:t xml:space="preserve">, under the Parameters’ section, ‘carbon corrections’ were manually input to account for  carbon burning within the production route as illustrated by </w:t>
      </w:r>
      <w:r w:rsidR="00A6415F" w:rsidRPr="0094697E">
        <w:rPr>
          <w:rFonts w:ascii="Times New Roman" w:hAnsi="Times New Roman" w:cs="Times New Roman"/>
          <w:i w:val="0"/>
          <w:color w:val="auto"/>
          <w:sz w:val="22"/>
        </w:rPr>
        <w:fldChar w:fldCharType="begin"/>
      </w:r>
      <w:r w:rsidR="00A6415F" w:rsidRPr="0094697E">
        <w:rPr>
          <w:rFonts w:ascii="Times New Roman" w:hAnsi="Times New Roman" w:cs="Times New Roman"/>
          <w:i w:val="0"/>
          <w:color w:val="auto"/>
          <w:sz w:val="22"/>
        </w:rPr>
        <w:instrText xml:space="preserve"> REF _Ref468302271 \h  \* MERGEFORMAT </w:instrText>
      </w:r>
      <w:r w:rsidR="00A6415F" w:rsidRPr="0094697E">
        <w:rPr>
          <w:rFonts w:ascii="Times New Roman" w:hAnsi="Times New Roman" w:cs="Times New Roman"/>
          <w:i w:val="0"/>
          <w:color w:val="auto"/>
          <w:sz w:val="22"/>
        </w:rPr>
      </w:r>
      <w:r w:rsidR="00A6415F" w:rsidRPr="0094697E">
        <w:rPr>
          <w:rFonts w:ascii="Times New Roman" w:hAnsi="Times New Roman" w:cs="Times New Roman"/>
          <w:i w:val="0"/>
          <w:color w:val="auto"/>
          <w:sz w:val="22"/>
        </w:rPr>
        <w:fldChar w:fldCharType="separate"/>
      </w:r>
      <w:r w:rsidR="009F5483" w:rsidRPr="009F5483">
        <w:rPr>
          <w:rFonts w:ascii="Times New Roman" w:hAnsi="Times New Roman" w:cs="Times New Roman"/>
          <w:i w:val="0"/>
          <w:color w:val="auto"/>
          <w:sz w:val="22"/>
        </w:rPr>
        <w:t xml:space="preserve">Figure </w:t>
      </w:r>
      <w:r w:rsidR="009F5483" w:rsidRPr="009F5483">
        <w:rPr>
          <w:rFonts w:ascii="Times New Roman" w:hAnsi="Times New Roman" w:cs="Times New Roman"/>
          <w:i w:val="0"/>
          <w:noProof/>
          <w:color w:val="auto"/>
          <w:sz w:val="22"/>
        </w:rPr>
        <w:t>10</w:t>
      </w:r>
      <w:r w:rsidR="00A6415F" w:rsidRPr="0094697E">
        <w:rPr>
          <w:rFonts w:ascii="Times New Roman" w:hAnsi="Times New Roman" w:cs="Times New Roman"/>
          <w:i w:val="0"/>
          <w:color w:val="auto"/>
          <w:sz w:val="22"/>
        </w:rPr>
        <w:fldChar w:fldCharType="end"/>
      </w:r>
      <w:r w:rsidR="00F347E4" w:rsidRPr="0094697E">
        <w:rPr>
          <w:rFonts w:ascii="Times New Roman" w:eastAsia="Calibri" w:hAnsi="Times New Roman" w:cs="Times New Roman"/>
          <w:i w:val="0"/>
          <w:color w:val="auto"/>
          <w:sz w:val="22"/>
        </w:rPr>
        <w:t>.</w:t>
      </w:r>
      <w:r w:rsidR="006A62D1" w:rsidRPr="0094697E">
        <w:rPr>
          <w:rFonts w:ascii="Times New Roman" w:eastAsia="Calibri" w:hAnsi="Times New Roman" w:cs="Times New Roman"/>
          <w:i w:val="0"/>
          <w:color w:val="auto"/>
          <w:sz w:val="22"/>
        </w:rPr>
        <w:t>This ensured total carbon into and out of the models was equal. Carbon corrections were performed in a three stage process. Firstly, the emission factor for EAF coal (3.257tCO</w:t>
      </w:r>
      <w:r w:rsidR="006A62D1" w:rsidRPr="0094697E">
        <w:rPr>
          <w:rFonts w:ascii="Times New Roman" w:eastAsia="Calibri" w:hAnsi="Times New Roman" w:cs="Times New Roman"/>
          <w:i w:val="0"/>
          <w:color w:val="auto"/>
          <w:sz w:val="22"/>
          <w:vertAlign w:val="subscript"/>
        </w:rPr>
        <w:t>2</w:t>
      </w:r>
      <w:r w:rsidR="006A62D1" w:rsidRPr="0094697E">
        <w:rPr>
          <w:rFonts w:ascii="Times New Roman" w:eastAsia="Calibri" w:hAnsi="Times New Roman" w:cs="Times New Roman"/>
          <w:i w:val="0"/>
          <w:color w:val="auto"/>
          <w:sz w:val="22"/>
        </w:rPr>
        <w:t>/unit) was obtained from</w:t>
      </w:r>
      <w:r w:rsidRPr="0094697E">
        <w:rPr>
          <w:rFonts w:ascii="Times New Roman" w:eastAsia="Calibri" w:hAnsi="Times New Roman" w:cs="Times New Roman"/>
          <w:i w:val="0"/>
          <w:color w:val="auto"/>
          <w:sz w:val="22"/>
        </w:rPr>
        <w:t xml:space="preserve"> </w:t>
      </w:r>
      <w:r w:rsidR="00EF5C49" w:rsidRPr="0094697E">
        <w:rPr>
          <w:rFonts w:ascii="Times New Roman" w:eastAsia="Calibri" w:hAnsi="Times New Roman" w:cs="Times New Roman"/>
          <w:i w:val="0"/>
          <w:noProof/>
          <w:color w:val="auto"/>
          <w:sz w:val="22"/>
        </w:rPr>
        <w:t>(World Steel Association, 2015</w:t>
      </w:r>
      <w:r w:rsidRPr="0094697E">
        <w:rPr>
          <w:rFonts w:ascii="Times New Roman" w:eastAsia="Calibri" w:hAnsi="Times New Roman" w:cs="Times New Roman"/>
          <w:i w:val="0"/>
          <w:noProof/>
          <w:color w:val="auto"/>
          <w:sz w:val="22"/>
        </w:rPr>
        <w:t>)</w:t>
      </w:r>
      <w:r w:rsidR="006A62D1" w:rsidRPr="0094697E">
        <w:rPr>
          <w:rFonts w:ascii="Times New Roman" w:eastAsia="Calibri" w:hAnsi="Times New Roman" w:cs="Times New Roman"/>
          <w:i w:val="0"/>
          <w:color w:val="auto"/>
          <w:sz w:val="22"/>
        </w:rPr>
        <w:t xml:space="preserve">. </w:t>
      </w:r>
      <w:r w:rsidRPr="0094697E">
        <w:rPr>
          <w:rFonts w:ascii="Times New Roman" w:eastAsia="Calibri" w:hAnsi="Times New Roman" w:cs="Times New Roman"/>
          <w:i w:val="0"/>
          <w:color w:val="auto"/>
          <w:sz w:val="22"/>
        </w:rPr>
        <w:t>This emission factor was</w:t>
      </w:r>
      <w:r w:rsidR="00676BF5" w:rsidRPr="0094697E">
        <w:rPr>
          <w:rFonts w:ascii="Times New Roman" w:eastAsia="Calibri" w:hAnsi="Times New Roman" w:cs="Times New Roman"/>
          <w:i w:val="0"/>
          <w:color w:val="auto"/>
          <w:sz w:val="22"/>
        </w:rPr>
        <w:t xml:space="preserve"> then inserted into </w:t>
      </w:r>
      <w:r w:rsidR="00676BF5" w:rsidRPr="0094697E">
        <w:rPr>
          <w:rFonts w:ascii="Times New Roman" w:hAnsi="Times New Roman" w:cs="Times New Roman"/>
          <w:i w:val="0"/>
          <w:color w:val="auto"/>
          <w:sz w:val="22"/>
        </w:rPr>
        <w:t xml:space="preserve">Equation </w:t>
      </w:r>
      <w:r w:rsidR="00676BF5" w:rsidRPr="0094697E">
        <w:rPr>
          <w:rFonts w:ascii="Times New Roman" w:hAnsi="Times New Roman" w:cs="Times New Roman"/>
          <w:i w:val="0"/>
          <w:color w:val="auto"/>
          <w:sz w:val="22"/>
        </w:rPr>
        <w:fldChar w:fldCharType="begin"/>
      </w:r>
      <w:r w:rsidR="00676BF5" w:rsidRPr="0094697E">
        <w:rPr>
          <w:rFonts w:ascii="Times New Roman" w:hAnsi="Times New Roman" w:cs="Times New Roman"/>
          <w:i w:val="0"/>
          <w:color w:val="auto"/>
          <w:sz w:val="22"/>
        </w:rPr>
        <w:instrText xml:space="preserve"> SEQ Equation \* ARABIC </w:instrText>
      </w:r>
      <w:r w:rsidR="00676BF5" w:rsidRPr="0094697E">
        <w:rPr>
          <w:rFonts w:ascii="Times New Roman" w:hAnsi="Times New Roman" w:cs="Times New Roman"/>
          <w:i w:val="0"/>
          <w:color w:val="auto"/>
          <w:sz w:val="22"/>
        </w:rPr>
        <w:fldChar w:fldCharType="separate"/>
      </w:r>
      <w:r w:rsidR="009F5483">
        <w:rPr>
          <w:rFonts w:ascii="Times New Roman" w:hAnsi="Times New Roman" w:cs="Times New Roman"/>
          <w:i w:val="0"/>
          <w:noProof/>
          <w:color w:val="auto"/>
          <w:sz w:val="22"/>
        </w:rPr>
        <w:t>6</w:t>
      </w:r>
      <w:r w:rsidR="00676BF5" w:rsidRPr="0094697E">
        <w:rPr>
          <w:rFonts w:ascii="Times New Roman" w:hAnsi="Times New Roman" w:cs="Times New Roman"/>
          <w:i w:val="0"/>
          <w:color w:val="auto"/>
          <w:sz w:val="22"/>
        </w:rPr>
        <w:fldChar w:fldCharType="end"/>
      </w:r>
      <w:r w:rsidRPr="0094697E">
        <w:rPr>
          <w:rFonts w:ascii="Times New Roman" w:eastAsia="Calibri" w:hAnsi="Times New Roman" w:cs="Times New Roman"/>
          <w:i w:val="0"/>
          <w:color w:val="auto"/>
          <w:sz w:val="22"/>
        </w:rPr>
        <w:t xml:space="preserve"> see </w:t>
      </w:r>
      <w:r w:rsidR="006A62D1" w:rsidRPr="0094697E">
        <w:rPr>
          <w:rFonts w:ascii="Times New Roman" w:eastAsia="Calibri" w:hAnsi="Times New Roman" w:cs="Times New Roman"/>
          <w:i w:val="0"/>
          <w:color w:val="auto"/>
          <w:sz w:val="22"/>
        </w:rPr>
        <w:t>below</w:t>
      </w:r>
      <w:r w:rsidRPr="0094697E">
        <w:rPr>
          <w:rFonts w:ascii="Times New Roman" w:eastAsia="Calibri" w:hAnsi="Times New Roman" w:cs="Times New Roman"/>
          <w:i w:val="0"/>
          <w:color w:val="auto"/>
          <w:sz w:val="22"/>
        </w:rPr>
        <w:t>,</w:t>
      </w:r>
      <w:r w:rsidR="006A62D1" w:rsidRPr="0094697E">
        <w:rPr>
          <w:rFonts w:ascii="Times New Roman" w:eastAsia="Calibri" w:hAnsi="Times New Roman" w:cs="Times New Roman"/>
          <w:i w:val="0"/>
          <w:color w:val="auto"/>
          <w:sz w:val="22"/>
        </w:rPr>
        <w:t xml:space="preserve"> in order to obtain a value of 0.88 representing the carbon content of coke.</w:t>
      </w:r>
      <w:bookmarkEnd w:id="1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1196"/>
      </w:tblGrid>
      <w:tr w:rsidR="006A62D1" w:rsidRPr="0094697E" w:rsidTr="00CC009D">
        <w:trPr>
          <w:trHeight w:val="311"/>
        </w:trPr>
        <w:tc>
          <w:tcPr>
            <w:tcW w:w="7371" w:type="dxa"/>
          </w:tcPr>
          <w:p w:rsidR="006A62D1" w:rsidRPr="0094697E" w:rsidRDefault="008F124C" w:rsidP="00C24042">
            <w:pPr>
              <w:spacing w:line="360" w:lineRule="auto"/>
              <w:contextualSpacing/>
              <w:jc w:val="both"/>
              <w:rPr>
                <w:rFonts w:ascii="Times New Roman" w:hAnsi="Times New Roman"/>
                <w:sz w:val="23"/>
                <w:szCs w:val="23"/>
              </w:rPr>
            </w:pPr>
            <m:oMathPara>
              <m:oMath>
                <m:d>
                  <m:dPr>
                    <m:ctrlPr>
                      <w:rPr>
                        <w:rFonts w:ascii="Cambria Math" w:hAnsi="Cambria Math"/>
                        <w:i/>
                        <w:sz w:val="23"/>
                        <w:szCs w:val="23"/>
                      </w:rPr>
                    </m:ctrlPr>
                  </m:dPr>
                  <m:e>
                    <m:f>
                      <m:fPr>
                        <m:ctrlPr>
                          <w:rPr>
                            <w:rFonts w:ascii="Cambria Math" w:hAnsi="Cambria Math"/>
                            <w:i/>
                            <w:sz w:val="23"/>
                            <w:szCs w:val="23"/>
                          </w:rPr>
                        </m:ctrlPr>
                      </m:fPr>
                      <m:num>
                        <m:r>
                          <w:rPr>
                            <w:rFonts w:ascii="Cambria Math" w:hAnsi="Cambria Math"/>
                            <w:sz w:val="23"/>
                            <w:szCs w:val="23"/>
                          </w:rPr>
                          <m:t>Emission factor</m:t>
                        </m:r>
                      </m:num>
                      <m:den>
                        <m:r>
                          <w:rPr>
                            <w:rFonts w:ascii="Cambria Math" w:hAnsi="Cambria Math"/>
                            <w:sz w:val="23"/>
                            <w:szCs w:val="23"/>
                          </w:rPr>
                          <m:t>Atomic mass of carbon dioxide</m:t>
                        </m:r>
                      </m:den>
                    </m:f>
                  </m:e>
                </m:d>
                <m:r>
                  <w:rPr>
                    <w:rFonts w:ascii="Cambria Math" w:hAnsi="Cambria Math"/>
                    <w:sz w:val="23"/>
                    <w:szCs w:val="23"/>
                  </w:rPr>
                  <m:t>×Atomic mass of carbon</m:t>
                </m:r>
              </m:oMath>
            </m:oMathPara>
          </w:p>
        </w:tc>
        <w:tc>
          <w:tcPr>
            <w:tcW w:w="1196" w:type="dxa"/>
            <w:vAlign w:val="center"/>
          </w:tcPr>
          <w:p w:rsidR="006A62D1" w:rsidRPr="0094697E" w:rsidRDefault="006A62D1" w:rsidP="00CC009D">
            <w:pPr>
              <w:spacing w:line="360" w:lineRule="auto"/>
              <w:contextualSpacing/>
              <w:jc w:val="center"/>
              <w:rPr>
                <w:rFonts w:ascii="Times New Roman" w:hAnsi="Times New Roman"/>
                <w:sz w:val="23"/>
                <w:szCs w:val="23"/>
              </w:rPr>
            </w:pPr>
            <w:r w:rsidRPr="00CA0F0C">
              <w:rPr>
                <w:rFonts w:ascii="Times New Roman" w:hAnsi="Times New Roman"/>
                <w:color w:val="FF0000"/>
                <w:sz w:val="23"/>
                <w:szCs w:val="23"/>
              </w:rPr>
              <w:t>(</w:t>
            </w:r>
            <w:r w:rsidR="00926F92" w:rsidRPr="00CA0F0C">
              <w:rPr>
                <w:color w:val="FF0000"/>
              </w:rPr>
              <w:t>6</w:t>
            </w:r>
            <w:r w:rsidRPr="00CA0F0C">
              <w:rPr>
                <w:rFonts w:ascii="Times New Roman" w:hAnsi="Times New Roman"/>
                <w:color w:val="FF0000"/>
                <w:sz w:val="23"/>
                <w:szCs w:val="23"/>
              </w:rPr>
              <w:t>)</w:t>
            </w:r>
          </w:p>
        </w:tc>
      </w:tr>
    </w:tbl>
    <w:p w:rsidR="005E33F5" w:rsidRDefault="005E33F5" w:rsidP="005E33F5">
      <w:pPr>
        <w:spacing w:after="0" w:line="360" w:lineRule="auto"/>
        <w:jc w:val="both"/>
        <w:rPr>
          <w:rFonts w:ascii="Times New Roman" w:eastAsia="Calibri" w:hAnsi="Times New Roman" w:cs="Times New Roman"/>
        </w:rPr>
      </w:pPr>
    </w:p>
    <w:p w:rsidR="002C3E4A" w:rsidRPr="0094697E" w:rsidRDefault="006A62D1" w:rsidP="005E33F5">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Percentage of carbon conten</w:t>
      </w:r>
      <w:r w:rsidR="002C3E4A" w:rsidRPr="0094697E">
        <w:rPr>
          <w:rFonts w:ascii="Times New Roman" w:eastAsia="Calibri" w:hAnsi="Times New Roman" w:cs="Times New Roman"/>
        </w:rPr>
        <w:t xml:space="preserve">t for alternative fuel sources, as shown below, </w:t>
      </w:r>
      <w:r w:rsidRPr="0094697E">
        <w:rPr>
          <w:rFonts w:ascii="Times New Roman" w:eastAsia="Calibri" w:hAnsi="Times New Roman" w:cs="Times New Roman"/>
        </w:rPr>
        <w:t>was</w:t>
      </w:r>
      <w:r w:rsidR="002C3E4A" w:rsidRPr="0094697E">
        <w:rPr>
          <w:rFonts w:ascii="Times New Roman" w:eastAsia="Calibri" w:hAnsi="Times New Roman" w:cs="Times New Roman"/>
        </w:rPr>
        <w:t xml:space="preserve"> also</w:t>
      </w:r>
      <w:r w:rsidRPr="0094697E">
        <w:rPr>
          <w:rFonts w:ascii="Times New Roman" w:eastAsia="Calibri" w:hAnsi="Times New Roman" w:cs="Times New Roman"/>
        </w:rPr>
        <w:t xml:space="preserve"> obtained from literature</w:t>
      </w:r>
      <w:r w:rsidR="00F27BCB" w:rsidRPr="0094697E">
        <w:rPr>
          <w:rFonts w:ascii="Times New Roman" w:eastAsia="Calibri" w:hAnsi="Times New Roman" w:cs="Times New Roman"/>
        </w:rPr>
        <w:t xml:space="preserve"> </w:t>
      </w:r>
      <w:r w:rsidR="00EF5C49" w:rsidRPr="0094697E">
        <w:rPr>
          <w:rFonts w:ascii="Times New Roman" w:eastAsia="Calibri" w:hAnsi="Times New Roman" w:cs="Times New Roman"/>
          <w:noProof/>
        </w:rPr>
        <w:t>(World Steel Association, 2015</w:t>
      </w:r>
      <w:r w:rsidR="00F27BCB" w:rsidRPr="0094697E">
        <w:rPr>
          <w:rFonts w:ascii="Times New Roman" w:eastAsia="Calibri" w:hAnsi="Times New Roman" w:cs="Times New Roman"/>
          <w:noProof/>
        </w:rPr>
        <w:t>)</w:t>
      </w:r>
      <w:r w:rsidRPr="0094697E">
        <w:rPr>
          <w:rFonts w:ascii="Times New Roman" w:eastAsia="Calibri" w:hAnsi="Times New Roman" w:cs="Times New Roman"/>
        </w:rPr>
        <w:t>,</w:t>
      </w:r>
      <w:r w:rsidR="002C3E4A" w:rsidRPr="0094697E">
        <w:rPr>
          <w:rFonts w:ascii="Times New Roman" w:eastAsia="Calibri" w:hAnsi="Times New Roman" w:cs="Times New Roman"/>
        </w:rPr>
        <w:t xml:space="preserve"> and used appropriately in the relevant ferro-alloy models.</w:t>
      </w:r>
    </w:p>
    <w:p w:rsidR="002C3E4A" w:rsidRPr="0094697E" w:rsidRDefault="006A62D1" w:rsidP="00EE7761">
      <w:pPr>
        <w:pStyle w:val="ListParagraph"/>
        <w:numPr>
          <w:ilvl w:val="0"/>
          <w:numId w:val="20"/>
        </w:numPr>
        <w:spacing w:line="360" w:lineRule="auto"/>
        <w:jc w:val="both"/>
        <w:rPr>
          <w:rFonts w:ascii="Times New Roman" w:eastAsia="Calibri" w:hAnsi="Times New Roman" w:cs="Times New Roman"/>
        </w:rPr>
      </w:pPr>
      <w:r w:rsidRPr="0094697E">
        <w:rPr>
          <w:rFonts w:ascii="Times New Roman" w:eastAsia="Calibri" w:hAnsi="Times New Roman" w:cs="Times New Roman"/>
        </w:rPr>
        <w:t xml:space="preserve">Carbon content of electrodes = </w:t>
      </w:r>
      <w:r w:rsidRPr="0094697E">
        <w:rPr>
          <w:rFonts w:ascii="Times New Roman" w:eastAsia="Calibri" w:hAnsi="Times New Roman" w:cs="Times New Roman"/>
          <w:b/>
        </w:rPr>
        <w:t>0.97.</w:t>
      </w:r>
    </w:p>
    <w:p w:rsidR="002C3E4A" w:rsidRPr="0094697E" w:rsidRDefault="006A62D1" w:rsidP="00EE7761">
      <w:pPr>
        <w:pStyle w:val="ListParagraph"/>
        <w:numPr>
          <w:ilvl w:val="0"/>
          <w:numId w:val="20"/>
        </w:numPr>
        <w:spacing w:line="360" w:lineRule="auto"/>
        <w:jc w:val="both"/>
        <w:rPr>
          <w:rFonts w:ascii="Times New Roman" w:eastAsia="Calibri" w:hAnsi="Times New Roman" w:cs="Times New Roman"/>
        </w:rPr>
      </w:pPr>
      <w:r w:rsidRPr="0094697E">
        <w:rPr>
          <w:rFonts w:ascii="Times New Roman" w:eastAsia="Calibri" w:hAnsi="Times New Roman" w:cs="Times New Roman"/>
        </w:rPr>
        <w:t xml:space="preserve">Fixed carbon content of coal (anthracite) = </w:t>
      </w:r>
      <w:r w:rsidRPr="0094697E">
        <w:rPr>
          <w:rFonts w:ascii="Times New Roman" w:eastAsia="Calibri" w:hAnsi="Times New Roman" w:cs="Times New Roman"/>
          <w:b/>
        </w:rPr>
        <w:t>0.85</w:t>
      </w:r>
      <w:r w:rsidRPr="0094697E">
        <w:rPr>
          <w:rFonts w:ascii="Times New Roman" w:eastAsia="Calibri" w:hAnsi="Times New Roman" w:cs="Times New Roman"/>
        </w:rPr>
        <w:t>.</w:t>
      </w:r>
    </w:p>
    <w:p w:rsidR="006A62D1" w:rsidRPr="0094697E" w:rsidRDefault="006A62D1" w:rsidP="00EE7761">
      <w:pPr>
        <w:pStyle w:val="ListParagraph"/>
        <w:numPr>
          <w:ilvl w:val="0"/>
          <w:numId w:val="20"/>
        </w:numPr>
        <w:spacing w:line="360" w:lineRule="auto"/>
        <w:jc w:val="both"/>
        <w:rPr>
          <w:rFonts w:ascii="Times New Roman" w:eastAsia="Calibri" w:hAnsi="Times New Roman" w:cs="Times New Roman"/>
        </w:rPr>
      </w:pPr>
      <w:r w:rsidRPr="0094697E">
        <w:rPr>
          <w:rFonts w:ascii="Times New Roman" w:eastAsia="Calibri" w:hAnsi="Times New Roman" w:cs="Times New Roman"/>
        </w:rPr>
        <w:lastRenderedPageBreak/>
        <w:t xml:space="preserve">Carbon content of wood-chips (25% moisture content) = </w:t>
      </w:r>
      <w:r w:rsidRPr="0094697E">
        <w:rPr>
          <w:rFonts w:ascii="Times New Roman" w:eastAsia="Calibri" w:hAnsi="Times New Roman" w:cs="Times New Roman"/>
          <w:b/>
        </w:rPr>
        <w:t>0.375.</w:t>
      </w:r>
    </w:p>
    <w:p w:rsidR="006A62D1" w:rsidRPr="0094697E" w:rsidRDefault="006A62D1" w:rsidP="00676BF5">
      <w:pPr>
        <w:pStyle w:val="Caption"/>
        <w:spacing w:line="360" w:lineRule="auto"/>
        <w:ind w:firstLine="720"/>
        <w:jc w:val="both"/>
        <w:rPr>
          <w:rFonts w:ascii="Times New Roman" w:eastAsia="Calibri" w:hAnsi="Times New Roman" w:cs="Times New Roman"/>
          <w:i w:val="0"/>
          <w:color w:val="auto"/>
          <w:sz w:val="22"/>
          <w:szCs w:val="22"/>
        </w:rPr>
      </w:pPr>
      <w:bookmarkStart w:id="101" w:name="_Toc475570506"/>
      <w:r w:rsidRPr="0094697E">
        <w:rPr>
          <w:rFonts w:ascii="Times New Roman" w:eastAsia="Calibri" w:hAnsi="Times New Roman" w:cs="Times New Roman"/>
          <w:i w:val="0"/>
          <w:color w:val="auto"/>
          <w:sz w:val="22"/>
          <w:szCs w:val="22"/>
        </w:rPr>
        <w:t>Employing the</w:t>
      </w:r>
      <w:r w:rsidR="00046390" w:rsidRPr="0094697E">
        <w:rPr>
          <w:rFonts w:ascii="Times New Roman" w:eastAsia="Calibri" w:hAnsi="Times New Roman" w:cs="Times New Roman"/>
          <w:i w:val="0"/>
          <w:color w:val="auto"/>
          <w:sz w:val="22"/>
          <w:szCs w:val="22"/>
        </w:rPr>
        <w:t xml:space="preserve"> previously mentioned carbon</w:t>
      </w:r>
      <w:r w:rsidR="00676BF5" w:rsidRPr="0094697E">
        <w:rPr>
          <w:rFonts w:ascii="Times New Roman" w:eastAsia="Calibri" w:hAnsi="Times New Roman" w:cs="Times New Roman"/>
          <w:i w:val="0"/>
          <w:color w:val="auto"/>
          <w:sz w:val="22"/>
          <w:szCs w:val="22"/>
        </w:rPr>
        <w:t xml:space="preserve"> content percentages, </w:t>
      </w:r>
      <w:r w:rsidR="00676BF5" w:rsidRPr="0094697E">
        <w:rPr>
          <w:rFonts w:ascii="Times New Roman" w:hAnsi="Times New Roman" w:cs="Times New Roman"/>
          <w:i w:val="0"/>
          <w:color w:val="auto"/>
          <w:sz w:val="22"/>
          <w:szCs w:val="22"/>
        </w:rPr>
        <w:t xml:space="preserve">Equation </w:t>
      </w:r>
      <w:r w:rsidR="00676BF5" w:rsidRPr="0094697E">
        <w:rPr>
          <w:rFonts w:ascii="Times New Roman" w:hAnsi="Times New Roman" w:cs="Times New Roman"/>
          <w:i w:val="0"/>
          <w:color w:val="auto"/>
          <w:sz w:val="22"/>
          <w:szCs w:val="22"/>
        </w:rPr>
        <w:fldChar w:fldCharType="begin"/>
      </w:r>
      <w:r w:rsidR="00676BF5" w:rsidRPr="0094697E">
        <w:rPr>
          <w:rFonts w:ascii="Times New Roman" w:hAnsi="Times New Roman" w:cs="Times New Roman"/>
          <w:i w:val="0"/>
          <w:color w:val="auto"/>
          <w:sz w:val="22"/>
          <w:szCs w:val="22"/>
        </w:rPr>
        <w:instrText xml:space="preserve"> SEQ Equation \* ARABIC </w:instrText>
      </w:r>
      <w:r w:rsidR="00676BF5" w:rsidRPr="0094697E">
        <w:rPr>
          <w:rFonts w:ascii="Times New Roman" w:hAnsi="Times New Roman" w:cs="Times New Roman"/>
          <w:i w:val="0"/>
          <w:color w:val="auto"/>
          <w:sz w:val="22"/>
          <w:szCs w:val="22"/>
        </w:rPr>
        <w:fldChar w:fldCharType="separate"/>
      </w:r>
      <w:r w:rsidR="009F5483">
        <w:rPr>
          <w:rFonts w:ascii="Times New Roman" w:hAnsi="Times New Roman" w:cs="Times New Roman"/>
          <w:i w:val="0"/>
          <w:noProof/>
          <w:color w:val="auto"/>
          <w:sz w:val="22"/>
          <w:szCs w:val="22"/>
        </w:rPr>
        <w:t>7</w:t>
      </w:r>
      <w:r w:rsidR="00676BF5" w:rsidRPr="0094697E">
        <w:rPr>
          <w:rFonts w:ascii="Times New Roman" w:hAnsi="Times New Roman" w:cs="Times New Roman"/>
          <w:i w:val="0"/>
          <w:color w:val="auto"/>
          <w:sz w:val="22"/>
          <w:szCs w:val="22"/>
        </w:rPr>
        <w:fldChar w:fldCharType="end"/>
      </w:r>
      <w:r w:rsidRPr="0094697E">
        <w:rPr>
          <w:rFonts w:ascii="Times New Roman" w:eastAsia="Calibri" w:hAnsi="Times New Roman" w:cs="Times New Roman"/>
          <w:i w:val="0"/>
          <w:color w:val="auto"/>
          <w:sz w:val="22"/>
          <w:szCs w:val="22"/>
        </w:rPr>
        <w:t xml:space="preserve"> was utilised to calculate the CO</w:t>
      </w:r>
      <w:r w:rsidRPr="0094697E">
        <w:rPr>
          <w:rFonts w:ascii="Times New Roman" w:eastAsia="Calibri" w:hAnsi="Times New Roman" w:cs="Times New Roman"/>
          <w:i w:val="0"/>
          <w:color w:val="auto"/>
          <w:sz w:val="22"/>
          <w:szCs w:val="22"/>
          <w:vertAlign w:val="subscript"/>
        </w:rPr>
        <w:t xml:space="preserve">2 </w:t>
      </w:r>
      <w:r w:rsidRPr="0094697E">
        <w:rPr>
          <w:rFonts w:ascii="Times New Roman" w:eastAsia="Calibri" w:hAnsi="Times New Roman" w:cs="Times New Roman"/>
          <w:i w:val="0"/>
          <w:color w:val="auto"/>
          <w:sz w:val="22"/>
          <w:szCs w:val="22"/>
        </w:rPr>
        <w:t xml:space="preserve">emitted per fuel source. Equation </w:t>
      </w:r>
      <w:r w:rsidR="002C3E4A" w:rsidRPr="0094697E">
        <w:rPr>
          <w:rFonts w:ascii="Times New Roman" w:eastAsia="Calibri" w:hAnsi="Times New Roman" w:cs="Times New Roman"/>
          <w:i w:val="0"/>
          <w:color w:val="auto"/>
          <w:sz w:val="22"/>
          <w:szCs w:val="22"/>
        </w:rPr>
        <w:t>7</w:t>
      </w:r>
      <w:r w:rsidR="00046390" w:rsidRPr="0094697E">
        <w:rPr>
          <w:rFonts w:ascii="Times New Roman" w:eastAsia="Calibri" w:hAnsi="Times New Roman" w:cs="Times New Roman"/>
          <w:i w:val="0"/>
          <w:color w:val="auto"/>
          <w:sz w:val="22"/>
          <w:szCs w:val="22"/>
        </w:rPr>
        <w:t xml:space="preserve"> </w:t>
      </w:r>
      <w:r w:rsidRPr="0094697E">
        <w:rPr>
          <w:rFonts w:ascii="Times New Roman" w:eastAsia="Calibri" w:hAnsi="Times New Roman" w:cs="Times New Roman"/>
          <w:i w:val="0"/>
          <w:color w:val="auto"/>
          <w:sz w:val="22"/>
          <w:szCs w:val="22"/>
        </w:rPr>
        <w:t>included a CO</w:t>
      </w:r>
      <w:r w:rsidRPr="0094697E">
        <w:rPr>
          <w:rFonts w:ascii="Times New Roman" w:eastAsia="Calibri" w:hAnsi="Times New Roman" w:cs="Times New Roman"/>
          <w:i w:val="0"/>
          <w:color w:val="auto"/>
          <w:sz w:val="22"/>
          <w:szCs w:val="22"/>
          <w:vertAlign w:val="subscript"/>
        </w:rPr>
        <w:t xml:space="preserve">2 </w:t>
      </w:r>
      <w:r w:rsidRPr="0094697E">
        <w:rPr>
          <w:rFonts w:ascii="Times New Roman" w:eastAsia="Calibri" w:hAnsi="Times New Roman" w:cs="Times New Roman"/>
          <w:i w:val="0"/>
          <w:color w:val="auto"/>
          <w:sz w:val="22"/>
          <w:szCs w:val="22"/>
        </w:rPr>
        <w:t>correction factor based on dividing atomic mass of carbon dioxide with atomic mass of carbon.</w:t>
      </w:r>
      <w:bookmarkEnd w:id="10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1196"/>
      </w:tblGrid>
      <w:tr w:rsidR="006A62D1" w:rsidRPr="0094697E" w:rsidTr="00CC009D">
        <w:trPr>
          <w:trHeight w:val="311"/>
        </w:trPr>
        <w:tc>
          <w:tcPr>
            <w:tcW w:w="7371" w:type="dxa"/>
          </w:tcPr>
          <w:p w:rsidR="006A62D1" w:rsidRPr="0094697E" w:rsidRDefault="006A62D1" w:rsidP="00C24042">
            <w:pPr>
              <w:spacing w:line="360" w:lineRule="auto"/>
              <w:contextualSpacing/>
              <w:jc w:val="both"/>
              <w:rPr>
                <w:rFonts w:ascii="Times New Roman" w:hAnsi="Times New Roman"/>
                <w:sz w:val="23"/>
                <w:szCs w:val="23"/>
              </w:rPr>
            </w:pPr>
            <m:oMathPara>
              <m:oMath>
                <m:r>
                  <w:rPr>
                    <w:rFonts w:ascii="Cambria Math" w:hAnsi="Cambria Math"/>
                    <w:sz w:val="23"/>
                    <w:szCs w:val="23"/>
                  </w:rPr>
                  <m:t>Amount of fuel source×Carbon content of fuel source×</m:t>
                </m:r>
                <m:sSub>
                  <m:sSubPr>
                    <m:ctrlPr>
                      <w:rPr>
                        <w:rFonts w:ascii="Cambria Math" w:hAnsi="Cambria Math"/>
                        <w:i/>
                        <w:sz w:val="23"/>
                        <w:szCs w:val="23"/>
                      </w:rPr>
                    </m:ctrlPr>
                  </m:sSubPr>
                  <m:e>
                    <m:r>
                      <w:rPr>
                        <w:rFonts w:ascii="Cambria Math" w:hAnsi="Cambria Math"/>
                        <w:sz w:val="23"/>
                        <w:szCs w:val="23"/>
                      </w:rPr>
                      <m:t>CO</m:t>
                    </m:r>
                  </m:e>
                  <m:sub>
                    <m:r>
                      <w:rPr>
                        <w:rFonts w:ascii="Cambria Math" w:hAnsi="Cambria Math"/>
                        <w:sz w:val="23"/>
                        <w:szCs w:val="23"/>
                      </w:rPr>
                      <m:t>2</m:t>
                    </m:r>
                  </m:sub>
                </m:sSub>
                <m:r>
                  <w:rPr>
                    <w:rFonts w:ascii="Cambria Math" w:hAnsi="Cambria Math"/>
                    <w:sz w:val="23"/>
                    <w:szCs w:val="23"/>
                  </w:rPr>
                  <m:t xml:space="preserve"> correction</m:t>
                </m:r>
              </m:oMath>
            </m:oMathPara>
          </w:p>
        </w:tc>
        <w:tc>
          <w:tcPr>
            <w:tcW w:w="1196" w:type="dxa"/>
            <w:vAlign w:val="center"/>
          </w:tcPr>
          <w:p w:rsidR="006A62D1" w:rsidRPr="0094697E" w:rsidRDefault="006A62D1" w:rsidP="00CC009D">
            <w:pPr>
              <w:spacing w:line="360" w:lineRule="auto"/>
              <w:contextualSpacing/>
              <w:jc w:val="center"/>
              <w:rPr>
                <w:rFonts w:ascii="Times New Roman" w:hAnsi="Times New Roman"/>
                <w:sz w:val="23"/>
                <w:szCs w:val="23"/>
              </w:rPr>
            </w:pPr>
            <w:r w:rsidRPr="00CA0F0C">
              <w:rPr>
                <w:rFonts w:ascii="Times New Roman" w:hAnsi="Times New Roman"/>
                <w:color w:val="FF0000"/>
                <w:sz w:val="23"/>
                <w:szCs w:val="23"/>
              </w:rPr>
              <w:t>(</w:t>
            </w:r>
            <w:r w:rsidR="00926F92" w:rsidRPr="00CA0F0C">
              <w:rPr>
                <w:color w:val="FF0000"/>
              </w:rPr>
              <w:t>7</w:t>
            </w:r>
            <w:r w:rsidRPr="00CA0F0C">
              <w:rPr>
                <w:rFonts w:ascii="Times New Roman" w:hAnsi="Times New Roman"/>
                <w:color w:val="FF0000"/>
                <w:sz w:val="23"/>
                <w:szCs w:val="23"/>
              </w:rPr>
              <w:t>)</w:t>
            </w:r>
          </w:p>
        </w:tc>
      </w:tr>
    </w:tbl>
    <w:p w:rsidR="006A62D1" w:rsidRPr="0094697E" w:rsidRDefault="006A62D1" w:rsidP="005E33F5">
      <w:pPr>
        <w:spacing w:line="360" w:lineRule="auto"/>
        <w:ind w:firstLine="720"/>
        <w:jc w:val="both"/>
        <w:rPr>
          <w:rFonts w:ascii="Times New Roman" w:eastAsia="Calibri" w:hAnsi="Times New Roman" w:cs="Times New Roman"/>
        </w:rPr>
      </w:pPr>
      <w:r w:rsidRPr="0094697E">
        <w:rPr>
          <w:rFonts w:ascii="Times New Roman" w:eastAsia="Calibri" w:hAnsi="Times New Roman" w:cs="Times New Roman"/>
        </w:rPr>
        <w:t>The carbon correction was completed by creating a new flow in outputs and attaching the parameter via the parameter name ‘Total CO</w:t>
      </w:r>
      <w:r w:rsidRPr="0094697E">
        <w:rPr>
          <w:rFonts w:ascii="Times New Roman" w:eastAsia="Calibri" w:hAnsi="Times New Roman" w:cs="Times New Roman"/>
          <w:vertAlign w:val="subscript"/>
        </w:rPr>
        <w:t>2</w:t>
      </w:r>
      <w:r w:rsidRPr="0094697E">
        <w:rPr>
          <w:rFonts w:ascii="Times New Roman" w:eastAsia="Calibri" w:hAnsi="Times New Roman" w:cs="Times New Roman"/>
        </w:rPr>
        <w:t>’. The output of the model, which in this case was 1000 kg of Fe-Cr, was also inserted into</w:t>
      </w:r>
      <w:r w:rsidR="00046390" w:rsidRPr="0094697E">
        <w:rPr>
          <w:rFonts w:ascii="Times New Roman" w:eastAsia="Calibri" w:hAnsi="Times New Roman" w:cs="Times New Roman"/>
        </w:rPr>
        <w:t xml:space="preserve"> the</w:t>
      </w:r>
      <w:r w:rsidRPr="0094697E">
        <w:rPr>
          <w:rFonts w:ascii="Times New Roman" w:eastAsia="Calibri" w:hAnsi="Times New Roman" w:cs="Times New Roman"/>
        </w:rPr>
        <w:t xml:space="preserve"> ou</w:t>
      </w:r>
      <w:r w:rsidR="00046390" w:rsidRPr="0094697E">
        <w:rPr>
          <w:rFonts w:ascii="Times New Roman" w:eastAsia="Calibri" w:hAnsi="Times New Roman" w:cs="Times New Roman"/>
        </w:rPr>
        <w:t xml:space="preserve">tputs to complete the process. </w:t>
      </w:r>
      <w:r w:rsidR="00A6415F" w:rsidRPr="0094697E">
        <w:fldChar w:fldCharType="begin"/>
      </w:r>
      <w:r w:rsidR="00A6415F" w:rsidRPr="0094697E">
        <w:instrText xml:space="preserve"> REF _Ref468302271 \h  \* MERGEFORMAT </w:instrText>
      </w:r>
      <w:r w:rsidR="00A6415F" w:rsidRPr="0094697E">
        <w:fldChar w:fldCharType="separate"/>
      </w:r>
      <w:r w:rsidR="009F5483" w:rsidRPr="0094697E">
        <w:rPr>
          <w:rFonts w:ascii="Times New Roman" w:hAnsi="Times New Roman" w:cs="Times New Roman"/>
        </w:rPr>
        <w:t xml:space="preserve">Figure </w:t>
      </w:r>
      <w:r w:rsidR="009F5483">
        <w:rPr>
          <w:rFonts w:ascii="Times New Roman" w:hAnsi="Times New Roman" w:cs="Times New Roman"/>
          <w:noProof/>
        </w:rPr>
        <w:t>10</w:t>
      </w:r>
      <w:r w:rsidR="00A6415F" w:rsidRPr="0094697E">
        <w:fldChar w:fldCharType="end"/>
      </w:r>
      <w:r w:rsidR="00045A87" w:rsidRPr="0094697E">
        <w:t xml:space="preserve"> </w:t>
      </w:r>
      <w:r w:rsidRPr="0094697E">
        <w:rPr>
          <w:rFonts w:ascii="Times New Roman" w:eastAsia="Calibri" w:hAnsi="Times New Roman" w:cs="Times New Roman"/>
        </w:rPr>
        <w:t>depicts the complete data input, output and carbon calculations to create the Fe-Cr process.</w:t>
      </w:r>
    </w:p>
    <w:p w:rsidR="006A62D1" w:rsidRPr="0094697E" w:rsidRDefault="006A62D1" w:rsidP="00CA0F0C">
      <w:pPr>
        <w:spacing w:line="360" w:lineRule="auto"/>
        <w:ind w:firstLine="720"/>
        <w:jc w:val="center"/>
        <w:rPr>
          <w:rFonts w:ascii="Times New Roman" w:eastAsia="Calibri" w:hAnsi="Times New Roman" w:cs="Times New Roman"/>
        </w:rPr>
      </w:pPr>
      <w:r w:rsidRPr="0094697E">
        <w:rPr>
          <w:noProof/>
        </w:rPr>
        <w:drawing>
          <wp:inline distT="0" distB="0" distL="0" distR="0">
            <wp:extent cx="3790950" cy="2989018"/>
            <wp:effectExtent l="0" t="0" r="0" b="1905"/>
            <wp:docPr id="461"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srcRect l="997" t="8272" r="55794" b="31160"/>
                    <a:stretch/>
                  </pic:blipFill>
                  <pic:spPr bwMode="auto">
                    <a:xfrm>
                      <a:off x="0" y="0"/>
                      <a:ext cx="3795099" cy="2992289"/>
                    </a:xfrm>
                    <a:prstGeom prst="rect">
                      <a:avLst/>
                    </a:prstGeom>
                    <a:ln>
                      <a:noFill/>
                    </a:ln>
                    <a:extLst>
                      <a:ext uri="{53640926-AAD7-44D8-BBD7-CCE9431645EC}">
                        <a14:shadowObscured xmlns:a14="http://schemas.microsoft.com/office/drawing/2010/main"/>
                      </a:ext>
                    </a:extLst>
                  </pic:spPr>
                </pic:pic>
              </a:graphicData>
            </a:graphic>
          </wp:inline>
        </w:drawing>
      </w:r>
    </w:p>
    <w:p w:rsidR="006A62D1" w:rsidRPr="0094697E" w:rsidRDefault="006A62D1" w:rsidP="006A62D1">
      <w:pPr>
        <w:rPr>
          <w:rFonts w:ascii="Times New Roman" w:eastAsia="Calibri" w:hAnsi="Times New Roman" w:cs="Times New Roman"/>
        </w:rPr>
      </w:pPr>
      <w:bookmarkStart w:id="102" w:name="_Ref468302271"/>
      <w:bookmarkStart w:id="103" w:name="_Toc495848343"/>
      <w:r w:rsidRPr="0094697E">
        <w:rPr>
          <w:rFonts w:ascii="Times New Roman" w:hAnsi="Times New Roman" w:cs="Times New Roman"/>
        </w:rPr>
        <w:t xml:space="preserve">Figure </w:t>
      </w:r>
      <w:r w:rsidR="009A0ED7" w:rsidRPr="0094697E">
        <w:rPr>
          <w:rFonts w:ascii="Times New Roman" w:hAnsi="Times New Roman" w:cs="Times New Roman"/>
        </w:rPr>
        <w:fldChar w:fldCharType="begin"/>
      </w:r>
      <w:r w:rsidR="002731A4" w:rsidRPr="0094697E">
        <w:rPr>
          <w:rFonts w:ascii="Times New Roman" w:hAnsi="Times New Roman" w:cs="Times New Roman"/>
        </w:rPr>
        <w:instrText xml:space="preserve"> SEQ Figure \* ARABIC </w:instrText>
      </w:r>
      <w:r w:rsidR="009A0ED7" w:rsidRPr="0094697E">
        <w:rPr>
          <w:rFonts w:ascii="Times New Roman" w:hAnsi="Times New Roman" w:cs="Times New Roman"/>
        </w:rPr>
        <w:fldChar w:fldCharType="separate"/>
      </w:r>
      <w:r w:rsidR="009F5483">
        <w:rPr>
          <w:rFonts w:ascii="Times New Roman" w:hAnsi="Times New Roman" w:cs="Times New Roman"/>
          <w:noProof/>
        </w:rPr>
        <w:t>10</w:t>
      </w:r>
      <w:r w:rsidR="009A0ED7" w:rsidRPr="0094697E">
        <w:rPr>
          <w:rFonts w:ascii="Times New Roman" w:hAnsi="Times New Roman" w:cs="Times New Roman"/>
          <w:noProof/>
        </w:rPr>
        <w:fldChar w:fldCharType="end"/>
      </w:r>
      <w:bookmarkEnd w:id="102"/>
      <w:r w:rsidRPr="0094697E">
        <w:rPr>
          <w:rFonts w:ascii="Times New Roman" w:hAnsi="Times New Roman" w:cs="Times New Roman"/>
        </w:rPr>
        <w:t xml:space="preserve">. </w:t>
      </w:r>
      <w:r w:rsidRPr="0094697E">
        <w:rPr>
          <w:rFonts w:ascii="Times New Roman" w:eastAsia="Calibri" w:hAnsi="Times New Roman" w:cs="Times New Roman"/>
        </w:rPr>
        <w:t>Utilisation of data from literature to create Fe-Cr.</w:t>
      </w:r>
      <w:bookmarkEnd w:id="103"/>
    </w:p>
    <w:p w:rsidR="00F27BCB" w:rsidRPr="0094697E" w:rsidRDefault="00046390" w:rsidP="00F27BCB">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The</w:t>
      </w:r>
      <w:r w:rsidR="00F27BCB" w:rsidRPr="0094697E">
        <w:rPr>
          <w:rFonts w:ascii="Times New Roman" w:eastAsia="Calibri" w:hAnsi="Times New Roman" w:cs="Times New Roman"/>
        </w:rPr>
        <w:t xml:space="preserve"> model</w:t>
      </w:r>
      <w:r w:rsidRPr="0094697E">
        <w:rPr>
          <w:rFonts w:ascii="Times New Roman" w:eastAsia="Calibri" w:hAnsi="Times New Roman" w:cs="Times New Roman"/>
        </w:rPr>
        <w:t xml:space="preserve"> </w:t>
      </w:r>
      <w:r w:rsidR="006A62D1" w:rsidRPr="0094697E">
        <w:rPr>
          <w:rFonts w:ascii="Times New Roman" w:eastAsia="Calibri" w:hAnsi="Times New Roman" w:cs="Times New Roman"/>
        </w:rPr>
        <w:t>was complete</w:t>
      </w:r>
      <w:r w:rsidR="00F27BCB" w:rsidRPr="0094697E">
        <w:rPr>
          <w:rFonts w:ascii="Times New Roman" w:eastAsia="Calibri" w:hAnsi="Times New Roman" w:cs="Times New Roman"/>
        </w:rPr>
        <w:t>d</w:t>
      </w:r>
      <w:r w:rsidR="006A62D1" w:rsidRPr="0094697E">
        <w:rPr>
          <w:rFonts w:ascii="Times New Roman" w:eastAsia="Calibri" w:hAnsi="Times New Roman" w:cs="Times New Roman"/>
        </w:rPr>
        <w:t xml:space="preserve"> by double clicking on the main process, selecting ‘instance properties’ and setting the scaling factor to 1. This ensured all impacts a</w:t>
      </w:r>
      <w:r w:rsidR="00F27BCB" w:rsidRPr="0094697E">
        <w:rPr>
          <w:rFonts w:ascii="Times New Roman" w:eastAsia="Calibri" w:hAnsi="Times New Roman" w:cs="Times New Roman"/>
        </w:rPr>
        <w:t>nd associated processes were set to</w:t>
      </w:r>
      <w:r w:rsidR="006A62D1" w:rsidRPr="0094697E">
        <w:rPr>
          <w:rFonts w:ascii="Times New Roman" w:eastAsia="Calibri" w:hAnsi="Times New Roman" w:cs="Times New Roman"/>
        </w:rPr>
        <w:t xml:space="preserve"> the production of 1000kg of Fe-Cr.</w:t>
      </w:r>
    </w:p>
    <w:p w:rsidR="006A62D1" w:rsidRPr="0094697E" w:rsidRDefault="006A62D1" w:rsidP="00F27BCB">
      <w:pPr>
        <w:spacing w:after="0" w:line="360" w:lineRule="auto"/>
        <w:ind w:firstLine="720"/>
        <w:jc w:val="both"/>
        <w:rPr>
          <w:rFonts w:ascii="Times New Roman" w:eastAsia="Calibri" w:hAnsi="Times New Roman" w:cs="Times New Roman"/>
        </w:rPr>
      </w:pPr>
      <w:r w:rsidRPr="0094697E">
        <w:rPr>
          <w:rFonts w:ascii="Times New Roman" w:eastAsia="Calibri" w:hAnsi="Times New Roman" w:cs="Times New Roman"/>
        </w:rPr>
        <w:t>This procedure was repeated</w:t>
      </w:r>
      <w:r w:rsidR="00F27BCB" w:rsidRPr="0094697E">
        <w:rPr>
          <w:rFonts w:ascii="Times New Roman" w:eastAsia="Calibri" w:hAnsi="Times New Roman" w:cs="Times New Roman"/>
        </w:rPr>
        <w:t>,</w:t>
      </w:r>
      <w:r w:rsidRPr="0094697E">
        <w:rPr>
          <w:rFonts w:ascii="Times New Roman" w:eastAsia="Calibri" w:hAnsi="Times New Roman" w:cs="Times New Roman"/>
        </w:rPr>
        <w:t xml:space="preserve"> to not only create the final 10 ferro-alloy models utilised later on</w:t>
      </w:r>
      <w:r w:rsidR="00F27BCB" w:rsidRPr="0094697E">
        <w:rPr>
          <w:rFonts w:ascii="Times New Roman" w:eastAsia="Calibri" w:hAnsi="Times New Roman" w:cs="Times New Roman"/>
        </w:rPr>
        <w:t>,</w:t>
      </w:r>
      <w:r w:rsidRPr="0094697E">
        <w:rPr>
          <w:rFonts w:ascii="Times New Roman" w:eastAsia="Calibri" w:hAnsi="Times New Roman" w:cs="Times New Roman"/>
        </w:rPr>
        <w:t xml:space="preserve"> but a number of other ferro-alloys as well as the same ferro-alloy but with multiple literature sources. Performing the methodology in this way allowed a standard methodology to be created utilising a number of ferro-alloys (Fe-Cr, Fe-Mn, Fe-Ni, Fe-Si and Si-Mn) with complete data sources.</w:t>
      </w:r>
      <w:r w:rsidR="00F27BCB" w:rsidRPr="0094697E">
        <w:rPr>
          <w:rFonts w:ascii="Times New Roman" w:eastAsia="Calibri" w:hAnsi="Times New Roman" w:cs="Times New Roman"/>
        </w:rPr>
        <w:t xml:space="preserve"> </w:t>
      </w:r>
      <w:r w:rsidRPr="0094697E">
        <w:rPr>
          <w:rFonts w:ascii="Times New Roman" w:eastAsia="Calibri" w:hAnsi="Times New Roman" w:cs="Times New Roman"/>
        </w:rPr>
        <w:t>Using these ferro-alloys an attempt could be made to create a method to replicate the results. This would build confidence the method developed was robust enough to be applied to ferro-alloys with limited data. As well as bringing consistency across all ferro-alloy models.</w:t>
      </w:r>
    </w:p>
    <w:p w:rsidR="006A62D1" w:rsidRPr="0094697E" w:rsidRDefault="006A62D1" w:rsidP="006A62D1">
      <w:pPr>
        <w:spacing w:line="360" w:lineRule="auto"/>
        <w:jc w:val="both"/>
        <w:rPr>
          <w:rFonts w:ascii="Times New Roman" w:eastAsia="Calibri" w:hAnsi="Times New Roman" w:cs="Times New Roman"/>
        </w:rPr>
        <w:sectPr w:rsidR="006A62D1" w:rsidRPr="0094697E">
          <w:pgSz w:w="11906" w:h="16838"/>
          <w:pgMar w:top="1440" w:right="1440" w:bottom="1440" w:left="1440" w:header="708" w:footer="708" w:gutter="0"/>
          <w:cols w:space="708"/>
          <w:docGrid w:linePitch="360"/>
        </w:sectPr>
      </w:pPr>
      <w:r w:rsidRPr="0094697E">
        <w:rPr>
          <w:rFonts w:ascii="Times New Roman" w:eastAsia="Calibri" w:hAnsi="Times New Roman" w:cs="Times New Roman"/>
        </w:rPr>
        <w:t>.</w:t>
      </w:r>
    </w:p>
    <w:p w:rsidR="006A62D1" w:rsidRPr="005E33F5" w:rsidRDefault="00CC009D" w:rsidP="005E33F5">
      <w:pPr>
        <w:pStyle w:val="Heading1"/>
      </w:pPr>
      <w:r w:rsidRPr="005E33F5">
        <w:lastRenderedPageBreak/>
        <w:t>5</w:t>
      </w:r>
      <w:r w:rsidR="006A62D1" w:rsidRPr="005E33F5">
        <w:t>.</w:t>
      </w:r>
      <w:r w:rsidR="00045A87" w:rsidRPr="005E33F5">
        <w:t xml:space="preserve"> </w:t>
      </w:r>
      <w:r w:rsidR="006A62D1" w:rsidRPr="005E33F5">
        <w:t>MFA Results</w:t>
      </w:r>
      <w:r w:rsidR="005E33F5" w:rsidRPr="005E33F5">
        <w:t xml:space="preserve"> </w:t>
      </w:r>
    </w:p>
    <w:p w:rsidR="006A62D1" w:rsidRPr="005B3139" w:rsidRDefault="00CC009D" w:rsidP="006A62D1">
      <w:pPr>
        <w:pStyle w:val="Heading2"/>
        <w:spacing w:line="360" w:lineRule="auto"/>
        <w:rPr>
          <w:rFonts w:ascii="Times New Roman" w:eastAsia="Calibri Light" w:hAnsi="Times New Roman" w:cs="Times New Roman"/>
          <w:sz w:val="22"/>
          <w:szCs w:val="22"/>
        </w:rPr>
      </w:pPr>
      <w:r>
        <w:rPr>
          <w:rFonts w:ascii="Times New Roman" w:eastAsia="Calibri Light" w:hAnsi="Times New Roman" w:cs="Times New Roman"/>
          <w:sz w:val="22"/>
          <w:szCs w:val="22"/>
        </w:rPr>
        <w:t>5</w:t>
      </w:r>
      <w:r w:rsidR="00FC6740">
        <w:rPr>
          <w:rFonts w:ascii="Times New Roman" w:eastAsia="Calibri Light" w:hAnsi="Times New Roman" w:cs="Times New Roman"/>
          <w:sz w:val="22"/>
          <w:szCs w:val="22"/>
        </w:rPr>
        <w:t xml:space="preserve">.1 Global Steel MFA Model 2008 </w:t>
      </w:r>
    </w:p>
    <w:p w:rsidR="006A62D1" w:rsidRPr="005B3139" w:rsidRDefault="009F4D2E" w:rsidP="006A62D1">
      <w:pPr>
        <w:spacing w:line="360" w:lineRule="auto"/>
        <w:rPr>
          <w:rFonts w:ascii="Times New Roman" w:eastAsia="Calibri" w:hAnsi="Times New Roman" w:cs="Times New Roman"/>
        </w:rPr>
      </w:pPr>
      <w:r>
        <w:rPr>
          <w:rFonts w:ascii="Times New Roman" w:eastAsia="Calibri" w:hAnsi="Times New Roman" w:cs="Times New Roman"/>
          <w:noProof/>
        </w:rPr>
        <w:drawing>
          <wp:inline distT="0" distB="0" distL="0" distR="0">
            <wp:extent cx="7644384" cy="4334444"/>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662561" cy="4344750"/>
                    </a:xfrm>
                    <a:prstGeom prst="rect">
                      <a:avLst/>
                    </a:prstGeom>
                    <a:noFill/>
                    <a:ln>
                      <a:noFill/>
                    </a:ln>
                  </pic:spPr>
                </pic:pic>
              </a:graphicData>
            </a:graphic>
          </wp:inline>
        </w:drawing>
      </w:r>
    </w:p>
    <w:p w:rsidR="0055327E" w:rsidRPr="005E33F5" w:rsidRDefault="006A62D1" w:rsidP="0055327E">
      <w:pPr>
        <w:spacing w:line="240" w:lineRule="auto"/>
        <w:jc w:val="both"/>
        <w:rPr>
          <w:rFonts w:ascii="Times New Roman" w:eastAsia="Calibri" w:hAnsi="Times New Roman" w:cs="Times New Roman"/>
        </w:rPr>
      </w:pPr>
      <w:bookmarkStart w:id="104" w:name="_Ref468302516"/>
      <w:bookmarkStart w:id="105" w:name="_Toc495848344"/>
      <w:r w:rsidRPr="005E33F5">
        <w:rPr>
          <w:rFonts w:ascii="Times New Roman" w:hAnsi="Times New Roman" w:cs="Times New Roman"/>
        </w:rPr>
        <w:t xml:space="preserve">Figure </w:t>
      </w:r>
      <w:r w:rsidR="009A0ED7" w:rsidRPr="005E33F5">
        <w:rPr>
          <w:rFonts w:ascii="Times New Roman" w:hAnsi="Times New Roman" w:cs="Times New Roman"/>
        </w:rPr>
        <w:fldChar w:fldCharType="begin"/>
      </w:r>
      <w:r w:rsidR="00881486" w:rsidRPr="005E33F5">
        <w:rPr>
          <w:rFonts w:ascii="Times New Roman" w:hAnsi="Times New Roman" w:cs="Times New Roman"/>
        </w:rPr>
        <w:instrText xml:space="preserve"> SEQ Figure \* ARABIC </w:instrText>
      </w:r>
      <w:r w:rsidR="009A0ED7" w:rsidRPr="005E33F5">
        <w:rPr>
          <w:rFonts w:ascii="Times New Roman" w:hAnsi="Times New Roman" w:cs="Times New Roman"/>
        </w:rPr>
        <w:fldChar w:fldCharType="separate"/>
      </w:r>
      <w:r w:rsidR="009F5483">
        <w:rPr>
          <w:rFonts w:ascii="Times New Roman" w:hAnsi="Times New Roman" w:cs="Times New Roman"/>
          <w:noProof/>
        </w:rPr>
        <w:t>11</w:t>
      </w:r>
      <w:r w:rsidR="009A0ED7" w:rsidRPr="005E33F5">
        <w:rPr>
          <w:rFonts w:ascii="Times New Roman" w:hAnsi="Times New Roman" w:cs="Times New Roman"/>
          <w:noProof/>
        </w:rPr>
        <w:fldChar w:fldCharType="end"/>
      </w:r>
      <w:bookmarkEnd w:id="104"/>
      <w:r w:rsidRPr="005E33F5">
        <w:rPr>
          <w:rFonts w:ascii="Times New Roman" w:hAnsi="Times New Roman" w:cs="Times New Roman"/>
        </w:rPr>
        <w:t xml:space="preserve">. </w:t>
      </w:r>
      <w:r w:rsidR="00330083" w:rsidRPr="005E33F5">
        <w:rPr>
          <w:rFonts w:ascii="Times New Roman" w:eastAsia="Calibri" w:hAnsi="Times New Roman" w:cs="Times New Roman"/>
        </w:rPr>
        <w:t>Sankey diagram representin</w:t>
      </w:r>
      <w:r w:rsidR="00FC6740" w:rsidRPr="005E33F5">
        <w:rPr>
          <w:rFonts w:ascii="Times New Roman" w:eastAsia="Calibri" w:hAnsi="Times New Roman" w:cs="Times New Roman"/>
        </w:rPr>
        <w:t>g the estimated global flow of s</w:t>
      </w:r>
      <w:r w:rsidR="00330083" w:rsidRPr="005E33F5">
        <w:rPr>
          <w:rFonts w:ascii="Times New Roman" w:eastAsia="Calibri" w:hAnsi="Times New Roman" w:cs="Times New Roman"/>
        </w:rPr>
        <w:t>teel for the year 2008.</w:t>
      </w:r>
      <w:bookmarkEnd w:id="105"/>
      <w:r w:rsidR="00330083" w:rsidRPr="005E33F5">
        <w:rPr>
          <w:rFonts w:ascii="Times New Roman" w:eastAsia="Calibri" w:hAnsi="Times New Roman" w:cs="Times New Roman"/>
        </w:rPr>
        <w:t xml:space="preserve"> </w:t>
      </w:r>
    </w:p>
    <w:p w:rsidR="006A62D1" w:rsidRPr="003B1BD7" w:rsidRDefault="006A62D1" w:rsidP="0055327E">
      <w:pPr>
        <w:spacing w:line="240" w:lineRule="auto"/>
        <w:jc w:val="both"/>
        <w:rPr>
          <w:rFonts w:ascii="Times New Roman" w:eastAsia="Calibri" w:hAnsi="Times New Roman" w:cs="Times New Roman"/>
          <w:color w:val="FF0000"/>
        </w:rPr>
        <w:sectPr w:rsidR="006A62D1" w:rsidRPr="003B1BD7" w:rsidSect="00D271A7">
          <w:footerReference w:type="default" r:id="rId63"/>
          <w:pgSz w:w="16838" w:h="11906" w:orient="landscape"/>
          <w:pgMar w:top="1440" w:right="1440" w:bottom="1440" w:left="1440" w:header="708" w:footer="708" w:gutter="0"/>
          <w:cols w:space="708"/>
          <w:titlePg/>
          <w:docGrid w:linePitch="360"/>
        </w:sectPr>
      </w:pPr>
      <w:r w:rsidRPr="005E33F5">
        <w:rPr>
          <w:rFonts w:ascii="Times New Roman" w:eastAsia="Calibri" w:hAnsi="Times New Roman" w:cs="Times New Roman"/>
        </w:rPr>
        <w:t xml:space="preserve">Key: </w:t>
      </w:r>
      <w:r w:rsidR="009F4D2E">
        <w:rPr>
          <w:rFonts w:ascii="Times New Roman" w:eastAsia="Calibri" w:hAnsi="Times New Roman" w:cs="Times New Roman"/>
        </w:rPr>
        <w:t xml:space="preserve">Text Colours: Blue = Main Processes, Fuchsia = End Products. Flow Colours: </w:t>
      </w:r>
      <w:r w:rsidRPr="005E33F5">
        <w:rPr>
          <w:rFonts w:ascii="Times New Roman" w:eastAsia="Calibri" w:hAnsi="Times New Roman" w:cs="Times New Roman"/>
        </w:rPr>
        <w:t>Ironmaking = Red, Scrap = Lime, Steelmaking = Amber, Hot Rolling = Blue and Intermediate/End products = Purple. Minor losses</w:t>
      </w:r>
      <w:r w:rsidR="00330083" w:rsidRPr="005E33F5">
        <w:rPr>
          <w:rFonts w:ascii="Times New Roman" w:eastAsia="Calibri" w:hAnsi="Times New Roman" w:cs="Times New Roman"/>
        </w:rPr>
        <w:t xml:space="preserve"> are present but</w:t>
      </w:r>
      <w:r w:rsidRPr="005E33F5">
        <w:rPr>
          <w:rFonts w:ascii="Times New Roman" w:eastAsia="Calibri" w:hAnsi="Times New Roman" w:cs="Times New Roman"/>
        </w:rPr>
        <w:t xml:space="preserve"> not included </w:t>
      </w:r>
      <w:r w:rsidR="00330083" w:rsidRPr="005E33F5">
        <w:rPr>
          <w:rFonts w:ascii="Times New Roman" w:eastAsia="Calibri" w:hAnsi="Times New Roman" w:cs="Times New Roman"/>
        </w:rPr>
        <w:t>here.</w:t>
      </w:r>
      <w:r w:rsidR="003B1BD7">
        <w:rPr>
          <w:rFonts w:ascii="Times New Roman" w:eastAsia="Calibri" w:hAnsi="Times New Roman" w:cs="Times New Roman"/>
        </w:rPr>
        <w:t xml:space="preserve"> </w:t>
      </w:r>
      <w:r w:rsidR="00A064C3" w:rsidRPr="000906E1">
        <w:rPr>
          <w:rFonts w:ascii="Times New Roman" w:eastAsia="Calibri" w:hAnsi="Times New Roman" w:cs="Times New Roman"/>
        </w:rPr>
        <w:t>Refer back to Pg.6</w:t>
      </w:r>
      <w:r w:rsidR="00CA0F0C">
        <w:rPr>
          <w:rFonts w:ascii="Times New Roman" w:eastAsia="Calibri" w:hAnsi="Times New Roman" w:cs="Times New Roman"/>
        </w:rPr>
        <w:t>0</w:t>
      </w:r>
      <w:r w:rsidR="003B1BD7" w:rsidRPr="000906E1">
        <w:rPr>
          <w:rFonts w:ascii="Times New Roman" w:eastAsia="Calibri" w:hAnsi="Times New Roman" w:cs="Times New Roman"/>
        </w:rPr>
        <w:t xml:space="preserve"> for list of alterations from original model.</w:t>
      </w:r>
    </w:p>
    <w:p w:rsidR="006A62D1" w:rsidRPr="005E33F5" w:rsidRDefault="00A6415F" w:rsidP="00BE375B">
      <w:pPr>
        <w:spacing w:after="0" w:line="360" w:lineRule="auto"/>
        <w:ind w:firstLine="720"/>
        <w:jc w:val="both"/>
        <w:rPr>
          <w:rFonts w:ascii="Times New Roman" w:eastAsia="Calibri" w:hAnsi="Times New Roman" w:cs="Times New Roman"/>
        </w:rPr>
      </w:pPr>
      <w:r w:rsidRPr="005E33F5">
        <w:lastRenderedPageBreak/>
        <w:fldChar w:fldCharType="begin"/>
      </w:r>
      <w:r w:rsidRPr="005E33F5">
        <w:instrText xml:space="preserve"> REF _Ref468302516 \h  \* MERGEFORMAT </w:instrText>
      </w:r>
      <w:r w:rsidRPr="005E33F5">
        <w:fldChar w:fldCharType="separate"/>
      </w:r>
      <w:r w:rsidR="009F5483" w:rsidRPr="005E33F5">
        <w:rPr>
          <w:rFonts w:ascii="Times New Roman" w:hAnsi="Times New Roman" w:cs="Times New Roman"/>
        </w:rPr>
        <w:t xml:space="preserve">Figure </w:t>
      </w:r>
      <w:r w:rsidR="009F5483">
        <w:rPr>
          <w:rFonts w:ascii="Times New Roman" w:hAnsi="Times New Roman" w:cs="Times New Roman"/>
          <w:noProof/>
        </w:rPr>
        <w:t>11</w:t>
      </w:r>
      <w:r w:rsidRPr="005E33F5">
        <w:fldChar w:fldCharType="end"/>
      </w:r>
      <w:r w:rsidR="006A62D1" w:rsidRPr="005E33F5">
        <w:rPr>
          <w:rFonts w:ascii="Times New Roman" w:eastAsia="Calibri" w:hAnsi="Times New Roman" w:cs="Times New Roman"/>
        </w:rPr>
        <w:t xml:space="preserve"> illustrates that tw</w:t>
      </w:r>
      <w:r w:rsidR="007814E9">
        <w:rPr>
          <w:rFonts w:ascii="Times New Roman" w:eastAsia="Calibri" w:hAnsi="Times New Roman" w:cs="Times New Roman"/>
        </w:rPr>
        <w:t>o-thirds of the world’s steel was</w:t>
      </w:r>
      <w:r w:rsidR="006A62D1" w:rsidRPr="005E33F5">
        <w:rPr>
          <w:rFonts w:ascii="Times New Roman" w:eastAsia="Calibri" w:hAnsi="Times New Roman" w:cs="Times New Roman"/>
        </w:rPr>
        <w:t xml:space="preserve"> produced from mined ore, with the remainder from recycl</w:t>
      </w:r>
      <w:r w:rsidR="009457CC">
        <w:rPr>
          <w:rFonts w:ascii="Times New Roman" w:eastAsia="Calibri" w:hAnsi="Times New Roman" w:cs="Times New Roman"/>
        </w:rPr>
        <w:t>ed scrap. Mined ore production was</w:t>
      </w:r>
      <w:r w:rsidR="006A62D1" w:rsidRPr="005E33F5">
        <w:rPr>
          <w:rFonts w:ascii="Times New Roman" w:eastAsia="Calibri" w:hAnsi="Times New Roman" w:cs="Times New Roman"/>
        </w:rPr>
        <w:t xml:space="preserve"> predominantly from</w:t>
      </w:r>
      <w:r w:rsidR="008E7865" w:rsidRPr="005E33F5">
        <w:rPr>
          <w:rFonts w:ascii="Times New Roman" w:eastAsia="Calibri" w:hAnsi="Times New Roman" w:cs="Times New Roman"/>
        </w:rPr>
        <w:t xml:space="preserve"> the</w:t>
      </w:r>
      <w:r w:rsidR="006A62D1" w:rsidRPr="005E33F5">
        <w:rPr>
          <w:rFonts w:ascii="Times New Roman" w:eastAsia="Calibri" w:hAnsi="Times New Roman" w:cs="Times New Roman"/>
        </w:rPr>
        <w:t xml:space="preserve"> basic oxygen steelmaking process where</w:t>
      </w:r>
      <w:r w:rsidR="009457CC">
        <w:rPr>
          <w:rFonts w:ascii="Times New Roman" w:eastAsia="Calibri" w:hAnsi="Times New Roman" w:cs="Times New Roman"/>
        </w:rPr>
        <w:t>as electric arc furnace accounted</w:t>
      </w:r>
      <w:r w:rsidR="006A62D1" w:rsidRPr="005E33F5">
        <w:rPr>
          <w:rFonts w:ascii="Times New Roman" w:eastAsia="Calibri" w:hAnsi="Times New Roman" w:cs="Times New Roman"/>
        </w:rPr>
        <w:t xml:space="preserve"> for production from scra</w:t>
      </w:r>
      <w:r w:rsidR="00A336EC" w:rsidRPr="005E33F5">
        <w:rPr>
          <w:rFonts w:ascii="Times New Roman" w:eastAsia="Calibri" w:hAnsi="Times New Roman" w:cs="Times New Roman"/>
        </w:rPr>
        <w:t xml:space="preserve">p. In terms of scrap, roughly 20% </w:t>
      </w:r>
      <w:r w:rsidR="009457CC">
        <w:rPr>
          <w:rFonts w:ascii="Times New Roman" w:eastAsia="Calibri" w:hAnsi="Times New Roman" w:cs="Times New Roman"/>
        </w:rPr>
        <w:t>of it was produced</w:t>
      </w:r>
      <w:r w:rsidR="006A62D1" w:rsidRPr="005E33F5">
        <w:rPr>
          <w:rFonts w:ascii="Times New Roman" w:eastAsia="Calibri" w:hAnsi="Times New Roman" w:cs="Times New Roman"/>
        </w:rPr>
        <w:t xml:space="preserve"> internally </w:t>
      </w:r>
      <w:r w:rsidR="00A336EC" w:rsidRPr="005E33F5">
        <w:rPr>
          <w:rFonts w:ascii="Times New Roman" w:eastAsia="Calibri" w:hAnsi="Times New Roman" w:cs="Times New Roman"/>
        </w:rPr>
        <w:t xml:space="preserve">within steel. Whilst about 40% </w:t>
      </w:r>
      <w:r w:rsidR="009457CC">
        <w:rPr>
          <w:rFonts w:ascii="Times New Roman" w:eastAsia="Calibri" w:hAnsi="Times New Roman" w:cs="Times New Roman"/>
        </w:rPr>
        <w:t>was</w:t>
      </w:r>
      <w:r w:rsidR="006A62D1" w:rsidRPr="005E33F5">
        <w:rPr>
          <w:rFonts w:ascii="Times New Roman" w:eastAsia="Calibri" w:hAnsi="Times New Roman" w:cs="Times New Roman"/>
        </w:rPr>
        <w:t xml:space="preserve"> produced each </w:t>
      </w:r>
      <w:r w:rsidR="00CC7651" w:rsidRPr="005E33F5">
        <w:rPr>
          <w:rFonts w:ascii="Times New Roman" w:eastAsia="Calibri" w:hAnsi="Times New Roman" w:cs="Times New Roman"/>
        </w:rPr>
        <w:t>from fabrication and EoL</w:t>
      </w:r>
      <w:r w:rsidR="006A62D1" w:rsidRPr="005E33F5">
        <w:rPr>
          <w:rFonts w:ascii="Times New Roman" w:eastAsia="Calibri" w:hAnsi="Times New Roman" w:cs="Times New Roman"/>
        </w:rPr>
        <w:t xml:space="preserve"> products.</w:t>
      </w:r>
    </w:p>
    <w:p w:rsidR="006A62D1" w:rsidRPr="005E33F5" w:rsidRDefault="006A62D1" w:rsidP="00BE375B">
      <w:pPr>
        <w:spacing w:after="0" w:line="360" w:lineRule="auto"/>
        <w:ind w:firstLine="720"/>
        <w:jc w:val="both"/>
        <w:rPr>
          <w:rFonts w:ascii="Times New Roman" w:eastAsia="Calibri" w:hAnsi="Times New Roman" w:cs="Times New Roman"/>
        </w:rPr>
      </w:pPr>
      <w:r w:rsidRPr="005E33F5">
        <w:rPr>
          <w:rFonts w:ascii="Times New Roman" w:eastAsia="Calibri" w:hAnsi="Times New Roman" w:cs="Times New Roman"/>
        </w:rPr>
        <w:t>Approxima</w:t>
      </w:r>
      <w:r w:rsidR="009457CC">
        <w:rPr>
          <w:rFonts w:ascii="Times New Roman" w:eastAsia="Calibri" w:hAnsi="Times New Roman" w:cs="Times New Roman"/>
        </w:rPr>
        <w:t>tely 99% of the world’s steel was</w:t>
      </w:r>
      <w:r w:rsidRPr="005E33F5">
        <w:rPr>
          <w:rFonts w:ascii="Times New Roman" w:eastAsia="Calibri" w:hAnsi="Times New Roman" w:cs="Times New Roman"/>
        </w:rPr>
        <w:t xml:space="preserve"> rolled after casting with </w:t>
      </w:r>
      <w:r w:rsidR="00A336EC" w:rsidRPr="005E33F5">
        <w:rPr>
          <w:rFonts w:ascii="Times New Roman" w:eastAsia="Calibri" w:hAnsi="Times New Roman" w:cs="Times New Roman"/>
        </w:rPr>
        <w:t xml:space="preserve">roughly 45% of it </w:t>
      </w:r>
      <w:r w:rsidRPr="005E33F5">
        <w:rPr>
          <w:rFonts w:ascii="Times New Roman" w:eastAsia="Calibri" w:hAnsi="Times New Roman" w:cs="Times New Roman"/>
        </w:rPr>
        <w:t>ending up as hot rolled lo</w:t>
      </w:r>
      <w:r w:rsidR="00A336EC" w:rsidRPr="005E33F5">
        <w:rPr>
          <w:rFonts w:ascii="Times New Roman" w:eastAsia="Calibri" w:hAnsi="Times New Roman" w:cs="Times New Roman"/>
        </w:rPr>
        <w:t>ng products and the remainder (55%)</w:t>
      </w:r>
      <w:r w:rsidRPr="005E33F5">
        <w:rPr>
          <w:rFonts w:ascii="Times New Roman" w:eastAsia="Calibri" w:hAnsi="Times New Roman" w:cs="Times New Roman"/>
        </w:rPr>
        <w:t xml:space="preserve"> as hot rolled flat products. The resulting stock prod</w:t>
      </w:r>
      <w:r w:rsidR="00A336EC" w:rsidRPr="005E33F5">
        <w:rPr>
          <w:rFonts w:ascii="Times New Roman" w:eastAsia="Calibri" w:hAnsi="Times New Roman" w:cs="Times New Roman"/>
        </w:rPr>
        <w:t>ucts are approximately broken down into (10%) plate (thick sheets), (10%)</w:t>
      </w:r>
      <w:r w:rsidRPr="005E33F5">
        <w:rPr>
          <w:rFonts w:ascii="Times New Roman" w:eastAsia="Calibri" w:hAnsi="Times New Roman" w:cs="Times New Roman"/>
        </w:rPr>
        <w:t xml:space="preserve"> sections, </w:t>
      </w:r>
      <w:r w:rsidR="00A336EC" w:rsidRPr="005E33F5">
        <w:rPr>
          <w:rFonts w:ascii="Times New Roman" w:eastAsia="Calibri" w:hAnsi="Times New Roman" w:cs="Times New Roman"/>
        </w:rPr>
        <w:t xml:space="preserve">(40%) </w:t>
      </w:r>
      <w:r w:rsidRPr="005E33F5">
        <w:rPr>
          <w:rFonts w:ascii="Times New Roman" w:eastAsia="Calibri" w:hAnsi="Times New Roman" w:cs="Times New Roman"/>
        </w:rPr>
        <w:t>str</w:t>
      </w:r>
      <w:r w:rsidR="00A336EC" w:rsidRPr="005E33F5">
        <w:rPr>
          <w:rFonts w:ascii="Times New Roman" w:eastAsia="Calibri" w:hAnsi="Times New Roman" w:cs="Times New Roman"/>
        </w:rPr>
        <w:t>ip (thin sheets) and (40%)</w:t>
      </w:r>
      <w:r w:rsidRPr="005E33F5">
        <w:rPr>
          <w:rFonts w:ascii="Times New Roman" w:eastAsia="Calibri" w:hAnsi="Times New Roman" w:cs="Times New Roman"/>
        </w:rPr>
        <w:t xml:space="preserve"> rod and bar.</w:t>
      </w:r>
    </w:p>
    <w:p w:rsidR="00CC7651" w:rsidRPr="005E33F5" w:rsidRDefault="006A62D1" w:rsidP="00CC7651">
      <w:pPr>
        <w:spacing w:after="0" w:line="360" w:lineRule="auto"/>
        <w:ind w:firstLine="720"/>
        <w:jc w:val="both"/>
        <w:rPr>
          <w:rFonts w:ascii="Times New Roman" w:eastAsia="Calibri" w:hAnsi="Times New Roman" w:cs="Times New Roman"/>
        </w:rPr>
      </w:pPr>
      <w:r w:rsidRPr="005E33F5">
        <w:rPr>
          <w:rFonts w:ascii="Times New Roman" w:eastAsia="Calibri" w:hAnsi="Times New Roman" w:cs="Times New Roman"/>
        </w:rPr>
        <w:t xml:space="preserve">In terms of end products, </w:t>
      </w:r>
      <w:r w:rsidR="00A336EC" w:rsidRPr="005E33F5">
        <w:rPr>
          <w:rFonts w:ascii="Times New Roman" w:eastAsia="Calibri" w:hAnsi="Times New Roman" w:cs="Times New Roman"/>
        </w:rPr>
        <w:t xml:space="preserve">50% </w:t>
      </w:r>
      <w:r w:rsidR="009457CC">
        <w:rPr>
          <w:rFonts w:ascii="Times New Roman" w:eastAsia="Calibri" w:hAnsi="Times New Roman" w:cs="Times New Roman"/>
        </w:rPr>
        <w:t>of the world’s steel was</w:t>
      </w:r>
      <w:r w:rsidRPr="005E33F5">
        <w:rPr>
          <w:rFonts w:ascii="Times New Roman" w:eastAsia="Calibri" w:hAnsi="Times New Roman" w:cs="Times New Roman"/>
        </w:rPr>
        <w:t xml:space="preserve"> used in con</w:t>
      </w:r>
      <w:r w:rsidR="009457CC">
        <w:rPr>
          <w:rFonts w:ascii="Times New Roman" w:eastAsia="Calibri" w:hAnsi="Times New Roman" w:cs="Times New Roman"/>
        </w:rPr>
        <w:t>struction, of which one-third was</w:t>
      </w:r>
      <w:r w:rsidRPr="005E33F5">
        <w:rPr>
          <w:rFonts w:ascii="Times New Roman" w:eastAsia="Calibri" w:hAnsi="Times New Roman" w:cs="Times New Roman"/>
        </w:rPr>
        <w:t xml:space="preserve"> from r</w:t>
      </w:r>
      <w:r w:rsidR="00CC7651" w:rsidRPr="005E33F5">
        <w:rPr>
          <w:rFonts w:ascii="Times New Roman" w:eastAsia="Calibri" w:hAnsi="Times New Roman" w:cs="Times New Roman"/>
        </w:rPr>
        <w:t xml:space="preserve">einforcing steel in buildings. </w:t>
      </w:r>
      <w:r w:rsidRPr="005E33F5">
        <w:rPr>
          <w:rFonts w:ascii="Times New Roman" w:eastAsia="Calibri" w:hAnsi="Times New Roman" w:cs="Times New Roman"/>
        </w:rPr>
        <w:t>The majority of steel used in vehi</w:t>
      </w:r>
      <w:r w:rsidR="009457CC">
        <w:rPr>
          <w:rFonts w:ascii="Times New Roman" w:eastAsia="Calibri" w:hAnsi="Times New Roman" w:cs="Times New Roman"/>
        </w:rPr>
        <w:t>cle manufacture was</w:t>
      </w:r>
      <w:r w:rsidRPr="005E33F5">
        <w:rPr>
          <w:rFonts w:ascii="Times New Roman" w:eastAsia="Calibri" w:hAnsi="Times New Roman" w:cs="Times New Roman"/>
        </w:rPr>
        <w:t xml:space="preserve"> from cold rolled</w:t>
      </w:r>
      <w:r w:rsidR="00966752" w:rsidRPr="005E33F5">
        <w:rPr>
          <w:rFonts w:ascii="Times New Roman" w:eastAsia="Calibri" w:hAnsi="Times New Roman" w:cs="Times New Roman"/>
        </w:rPr>
        <w:t xml:space="preserve"> coil or from castings.</w:t>
      </w:r>
      <w:r w:rsidR="00CC7651" w:rsidRPr="005E33F5">
        <w:rPr>
          <w:rFonts w:ascii="Times New Roman" w:eastAsia="Calibri" w:hAnsi="Times New Roman" w:cs="Times New Roman"/>
        </w:rPr>
        <w:t xml:space="preserve"> </w:t>
      </w:r>
    </w:p>
    <w:p w:rsidR="001655EE" w:rsidRPr="005E33F5" w:rsidRDefault="008123AD" w:rsidP="00CC7651">
      <w:pPr>
        <w:spacing w:after="0" w:line="360" w:lineRule="auto"/>
        <w:ind w:firstLine="720"/>
        <w:jc w:val="both"/>
        <w:rPr>
          <w:rFonts w:ascii="Times New Roman" w:hAnsi="Times New Roman" w:cs="Times New Roman"/>
        </w:rPr>
      </w:pPr>
      <w:r w:rsidRPr="005E33F5">
        <w:rPr>
          <w:rFonts w:ascii="Times New Roman" w:hAnsi="Times New Roman" w:cs="Times New Roman"/>
        </w:rPr>
        <w:t>Whilst not as critical in terms of global supply and demand, modelling the global flow of steel can be justified in a number of ways. In terms of the method used, although the model is a replication of results already present in the current literature, by Allwood and Cullen, replication of the results</w:t>
      </w:r>
      <w:r w:rsidR="009B7B04" w:rsidRPr="005E33F5">
        <w:rPr>
          <w:rFonts w:ascii="Times New Roman" w:hAnsi="Times New Roman" w:cs="Times New Roman"/>
        </w:rPr>
        <w:t xml:space="preserve"> allowed a profound</w:t>
      </w:r>
      <w:r w:rsidRPr="005E33F5">
        <w:rPr>
          <w:rFonts w:ascii="Times New Roman" w:hAnsi="Times New Roman" w:cs="Times New Roman"/>
        </w:rPr>
        <w:t xml:space="preserve"> understanding of the methodology used to create the model. From this understanding, mistakes from </w:t>
      </w:r>
      <w:r w:rsidR="007814E9">
        <w:rPr>
          <w:rFonts w:ascii="Times New Roman" w:hAnsi="Times New Roman" w:cs="Times New Roman"/>
        </w:rPr>
        <w:t xml:space="preserve">the original </w:t>
      </w:r>
      <w:r w:rsidR="007814E9" w:rsidRPr="000906E1">
        <w:rPr>
          <w:rFonts w:ascii="Times New Roman" w:hAnsi="Times New Roman" w:cs="Times New Roman"/>
        </w:rPr>
        <w:t xml:space="preserve">author </w:t>
      </w:r>
      <w:r w:rsidR="00A064C3" w:rsidRPr="000906E1">
        <w:rPr>
          <w:rFonts w:ascii="Times New Roman" w:hAnsi="Times New Roman" w:cs="Times New Roman"/>
        </w:rPr>
        <w:t>(refer to Pg.61</w:t>
      </w:r>
      <w:r w:rsidR="007814E9" w:rsidRPr="000906E1">
        <w:rPr>
          <w:rFonts w:ascii="Times New Roman" w:hAnsi="Times New Roman" w:cs="Times New Roman"/>
        </w:rPr>
        <w:t xml:space="preserve">) </w:t>
      </w:r>
      <w:r w:rsidRPr="000906E1">
        <w:rPr>
          <w:rFonts w:ascii="Times New Roman" w:hAnsi="Times New Roman" w:cs="Times New Roman"/>
        </w:rPr>
        <w:t>were able to be noticed and rectified</w:t>
      </w:r>
      <w:r w:rsidR="009B7B04" w:rsidRPr="000906E1">
        <w:rPr>
          <w:rFonts w:ascii="Times New Roman" w:hAnsi="Times New Roman" w:cs="Times New Roman"/>
        </w:rPr>
        <w:t>,</w:t>
      </w:r>
      <w:r w:rsidRPr="000906E1">
        <w:rPr>
          <w:rFonts w:ascii="Times New Roman" w:hAnsi="Times New Roman" w:cs="Times New Roman"/>
        </w:rPr>
        <w:t xml:space="preserve"> as well as identifying </w:t>
      </w:r>
      <w:r w:rsidR="009B7B04" w:rsidRPr="000906E1">
        <w:rPr>
          <w:rFonts w:ascii="Times New Roman" w:hAnsi="Times New Roman" w:cs="Times New Roman"/>
        </w:rPr>
        <w:t>th</w:t>
      </w:r>
      <w:r w:rsidR="00E11387" w:rsidRPr="000906E1">
        <w:rPr>
          <w:rFonts w:ascii="Times New Roman" w:hAnsi="Times New Roman" w:cs="Times New Roman"/>
        </w:rPr>
        <w:t>e difficulty in obtaining data for this type of model</w:t>
      </w:r>
      <w:r w:rsidR="00E11387" w:rsidRPr="005E33F5">
        <w:rPr>
          <w:rFonts w:ascii="Times New Roman" w:hAnsi="Times New Roman" w:cs="Times New Roman"/>
        </w:rPr>
        <w:t>.</w:t>
      </w:r>
    </w:p>
    <w:p w:rsidR="001655EE" w:rsidRPr="005E33F5" w:rsidRDefault="009B7B04" w:rsidP="00D27C05">
      <w:pPr>
        <w:spacing w:after="0" w:line="360" w:lineRule="auto"/>
        <w:ind w:firstLine="720"/>
        <w:jc w:val="both"/>
        <w:rPr>
          <w:rFonts w:ascii="Times New Roman" w:hAnsi="Times New Roman" w:cs="Times New Roman"/>
        </w:rPr>
      </w:pPr>
      <w:r w:rsidRPr="005E33F5">
        <w:rPr>
          <w:rFonts w:ascii="Times New Roman" w:hAnsi="Times New Roman" w:cs="Times New Roman"/>
        </w:rPr>
        <w:t xml:space="preserve">Although an attempt was made here to update the model for the year 2014, intricacies of creating the model (i.e. formulae and assumptions), as well as the quantity (i.e. 116 flows) and interlinkage of flows within the model, did not allow this. </w:t>
      </w:r>
      <w:r w:rsidR="001655EE" w:rsidRPr="005E33F5">
        <w:rPr>
          <w:rFonts w:ascii="Times New Roman" w:hAnsi="Times New Roman" w:cs="Times New Roman"/>
        </w:rPr>
        <w:t>However, with the 2014 model set-up, when the relevant data appears</w:t>
      </w:r>
      <w:r w:rsidR="00D155CC">
        <w:rPr>
          <w:rFonts w:ascii="Times New Roman" w:hAnsi="Times New Roman" w:cs="Times New Roman"/>
        </w:rPr>
        <w:t xml:space="preserve"> from future literature sources</w:t>
      </w:r>
      <w:r w:rsidR="001655EE" w:rsidRPr="005E33F5">
        <w:rPr>
          <w:rFonts w:ascii="Times New Roman" w:hAnsi="Times New Roman" w:cs="Times New Roman"/>
        </w:rPr>
        <w:t>, the model can be finished and potentially published.</w:t>
      </w:r>
    </w:p>
    <w:p w:rsidR="00043F03" w:rsidRPr="005E33F5" w:rsidRDefault="00121DF0" w:rsidP="00CC7651">
      <w:pPr>
        <w:spacing w:after="0" w:line="360" w:lineRule="auto"/>
        <w:ind w:firstLine="720"/>
        <w:jc w:val="both"/>
        <w:rPr>
          <w:rFonts w:ascii="Times New Roman" w:eastAsia="Calibri" w:hAnsi="Times New Roman" w:cs="Times New Roman"/>
        </w:rPr>
      </w:pPr>
      <w:r w:rsidRPr="005E33F5">
        <w:rPr>
          <w:rFonts w:ascii="Times New Roman" w:eastAsia="Calibri" w:hAnsi="Times New Roman" w:cs="Times New Roman"/>
        </w:rPr>
        <w:t xml:space="preserve">Nevertheless as indicated by </w:t>
      </w:r>
      <w:r w:rsidR="00A6415F" w:rsidRPr="005E33F5">
        <w:fldChar w:fldCharType="begin"/>
      </w:r>
      <w:r w:rsidR="00A6415F" w:rsidRPr="005E33F5">
        <w:instrText xml:space="preserve"> REF _Ref468302516 \h  \* MERGEFORMAT </w:instrText>
      </w:r>
      <w:r w:rsidR="00A6415F" w:rsidRPr="005E33F5">
        <w:fldChar w:fldCharType="separate"/>
      </w:r>
      <w:r w:rsidR="009F5483" w:rsidRPr="005E33F5">
        <w:rPr>
          <w:rFonts w:ascii="Times New Roman" w:hAnsi="Times New Roman" w:cs="Times New Roman"/>
        </w:rPr>
        <w:t xml:space="preserve">Figure </w:t>
      </w:r>
      <w:r w:rsidR="009F5483">
        <w:rPr>
          <w:rFonts w:ascii="Times New Roman" w:hAnsi="Times New Roman" w:cs="Times New Roman"/>
          <w:noProof/>
        </w:rPr>
        <w:t>11</w:t>
      </w:r>
      <w:r w:rsidR="00A6415F" w:rsidRPr="005E33F5">
        <w:fldChar w:fldCharType="end"/>
      </w:r>
      <w:r w:rsidRPr="005E33F5">
        <w:rPr>
          <w:rFonts w:ascii="Times New Roman" w:eastAsia="Calibri" w:hAnsi="Times New Roman" w:cs="Times New Roman"/>
        </w:rPr>
        <w:t>, half of the world’s steel is used in construction and it is this industry along with automobile, and white goods industries that</w:t>
      </w:r>
      <w:r w:rsidR="00043F03" w:rsidRPr="005E33F5">
        <w:rPr>
          <w:rFonts w:ascii="Times New Roman" w:eastAsia="Calibri" w:hAnsi="Times New Roman" w:cs="Times New Roman"/>
        </w:rPr>
        <w:t xml:space="preserve"> will present opportunities for</w:t>
      </w:r>
      <w:r w:rsidRPr="005E33F5">
        <w:rPr>
          <w:rFonts w:ascii="Times New Roman" w:eastAsia="Calibri" w:hAnsi="Times New Roman" w:cs="Times New Roman"/>
        </w:rPr>
        <w:t xml:space="preserve"> high </w:t>
      </w:r>
      <w:r w:rsidR="00043F03" w:rsidRPr="005E33F5">
        <w:rPr>
          <w:rFonts w:ascii="Times New Roman" w:eastAsia="Calibri" w:hAnsi="Times New Roman" w:cs="Times New Roman"/>
        </w:rPr>
        <w:t>steel demand</w:t>
      </w:r>
      <w:r w:rsidRPr="005E33F5">
        <w:rPr>
          <w:rFonts w:ascii="Times New Roman" w:eastAsia="Calibri" w:hAnsi="Times New Roman" w:cs="Times New Roman"/>
        </w:rPr>
        <w:t xml:space="preserve"> over the next decade.</w:t>
      </w:r>
    </w:p>
    <w:p w:rsidR="00043F03" w:rsidRPr="005E33F5" w:rsidRDefault="00121DF0" w:rsidP="00043F03">
      <w:pPr>
        <w:spacing w:after="0" w:line="360" w:lineRule="auto"/>
        <w:ind w:firstLine="720"/>
        <w:jc w:val="both"/>
        <w:rPr>
          <w:rFonts w:ascii="Times New Roman" w:eastAsia="Calibri" w:hAnsi="Times New Roman" w:cs="Times New Roman"/>
        </w:rPr>
      </w:pPr>
      <w:r w:rsidRPr="005E33F5">
        <w:rPr>
          <w:rFonts w:ascii="Times New Roman" w:eastAsia="Calibri" w:hAnsi="Times New Roman" w:cs="Times New Roman"/>
        </w:rPr>
        <w:t xml:space="preserve"> In terms of construction</w:t>
      </w:r>
      <w:r w:rsidR="00043F03" w:rsidRPr="005E33F5">
        <w:rPr>
          <w:rFonts w:ascii="Times New Roman" w:eastAsia="Calibri" w:hAnsi="Times New Roman" w:cs="Times New Roman"/>
        </w:rPr>
        <w:t>,</w:t>
      </w:r>
      <w:r w:rsidRPr="005E33F5">
        <w:rPr>
          <w:rFonts w:ascii="Times New Roman" w:eastAsia="Calibri" w:hAnsi="Times New Roman" w:cs="Times New Roman"/>
        </w:rPr>
        <w:t xml:space="preserve"> steel is already lighter and more durable compared to previous decades. These properties along</w:t>
      </w:r>
      <w:r w:rsidR="00043F03" w:rsidRPr="005E33F5">
        <w:rPr>
          <w:rFonts w:ascii="Times New Roman" w:eastAsia="Calibri" w:hAnsi="Times New Roman" w:cs="Times New Roman"/>
        </w:rPr>
        <w:t>side improvements on construction frameworks to distribute weight more evenly will allow construction of buildings to withstand natural disasters such as earthquakes and hurricane force winds. Thus, refining of such methods will aid in decreasing the risk to human life, particularly w</w:t>
      </w:r>
      <w:r w:rsidR="009B0BFF" w:rsidRPr="005E33F5">
        <w:rPr>
          <w:rFonts w:ascii="Times New Roman" w:eastAsia="Calibri" w:hAnsi="Times New Roman" w:cs="Times New Roman"/>
        </w:rPr>
        <w:t xml:space="preserve">ith different types of disaster </w:t>
      </w:r>
      <w:r w:rsidR="00043F03" w:rsidRPr="005E33F5">
        <w:rPr>
          <w:rFonts w:ascii="Times New Roman" w:eastAsia="Calibri" w:hAnsi="Times New Roman" w:cs="Times New Roman"/>
        </w:rPr>
        <w:t>events</w:t>
      </w:r>
      <w:r w:rsidR="00747842" w:rsidRPr="005E33F5">
        <w:rPr>
          <w:rFonts w:ascii="Times New Roman" w:eastAsia="Calibri" w:hAnsi="Times New Roman" w:cs="Times New Roman"/>
        </w:rPr>
        <w:t xml:space="preserve"> </w:t>
      </w:r>
      <w:r w:rsidR="00747842" w:rsidRPr="005E33F5">
        <w:rPr>
          <w:rFonts w:ascii="Times New Roman" w:eastAsia="Calibri" w:hAnsi="Times New Roman" w:cs="Times New Roman"/>
          <w:noProof/>
        </w:rPr>
        <w:t>(Steel Technology 2015)</w:t>
      </w:r>
      <w:r w:rsidR="00043F03" w:rsidRPr="005E33F5">
        <w:rPr>
          <w:rFonts w:ascii="Times New Roman" w:eastAsia="Calibri" w:hAnsi="Times New Roman" w:cs="Times New Roman"/>
        </w:rPr>
        <w:t>.</w:t>
      </w:r>
      <w:r w:rsidR="009B0BFF" w:rsidRPr="005E33F5">
        <w:rPr>
          <w:rFonts w:ascii="Times New Roman" w:eastAsia="Calibri" w:hAnsi="Times New Roman" w:cs="Times New Roman"/>
        </w:rPr>
        <w:t xml:space="preserve"> </w:t>
      </w:r>
      <w:r w:rsidR="0062684B">
        <w:rPr>
          <w:rFonts w:ascii="Times New Roman" w:eastAsia="Calibri" w:hAnsi="Times New Roman" w:cs="Times New Roman"/>
        </w:rPr>
        <w:t xml:space="preserve">But the concept of </w:t>
      </w:r>
      <w:r w:rsidR="009B0BFF" w:rsidRPr="005E33F5">
        <w:rPr>
          <w:rFonts w:ascii="Times New Roman" w:eastAsia="Calibri" w:hAnsi="Times New Roman" w:cs="Times New Roman"/>
        </w:rPr>
        <w:t>light-weighting is not only being used in construction, but also extensively in the automotive industry.</w:t>
      </w:r>
    </w:p>
    <w:p w:rsidR="00C07F77" w:rsidRPr="005E33F5" w:rsidRDefault="009B0BFF" w:rsidP="00C07F77">
      <w:pPr>
        <w:spacing w:after="0" w:line="360" w:lineRule="auto"/>
        <w:ind w:firstLine="720"/>
        <w:jc w:val="both"/>
        <w:rPr>
          <w:rFonts w:ascii="Times New Roman" w:eastAsia="Calibri" w:hAnsi="Times New Roman" w:cs="Times New Roman"/>
        </w:rPr>
      </w:pPr>
      <w:r w:rsidRPr="005E33F5">
        <w:rPr>
          <w:rFonts w:ascii="Times New Roman" w:eastAsia="Calibri" w:hAnsi="Times New Roman" w:cs="Times New Roman"/>
        </w:rPr>
        <w:t>Vehicle light-weighting will assist automobile manufacturers in reducing fuel emissions and meeting GHG requirements. Presently two tools, the use of aluminium alloys and Advanced High Strength Steel (AHSS) grades lead the market in making vehicles lighter. However steel does still lag behind aluminium in</w:t>
      </w:r>
      <w:r w:rsidR="00E16B36" w:rsidRPr="005E33F5">
        <w:rPr>
          <w:rFonts w:ascii="Times New Roman" w:eastAsia="Calibri" w:hAnsi="Times New Roman" w:cs="Times New Roman"/>
        </w:rPr>
        <w:t xml:space="preserve"> vehicle light-weighting (e.g. Ford F-150 the first aluminium pickup truck) particularly for heavy passenger</w:t>
      </w:r>
      <w:r w:rsidR="009457CC">
        <w:rPr>
          <w:rFonts w:ascii="Times New Roman" w:eastAsia="Calibri" w:hAnsi="Times New Roman" w:cs="Times New Roman"/>
        </w:rPr>
        <w:t xml:space="preserve"> vehicles, light trucks and SUV</w:t>
      </w:r>
      <w:r w:rsidR="00E16B36" w:rsidRPr="005E33F5">
        <w:rPr>
          <w:rFonts w:ascii="Times New Roman" w:eastAsia="Calibri" w:hAnsi="Times New Roman" w:cs="Times New Roman"/>
        </w:rPr>
        <w:t xml:space="preserve">s. However, the competition between </w:t>
      </w:r>
      <w:r w:rsidR="00E16B36" w:rsidRPr="005E33F5">
        <w:rPr>
          <w:rFonts w:ascii="Times New Roman" w:eastAsia="Calibri" w:hAnsi="Times New Roman" w:cs="Times New Roman"/>
        </w:rPr>
        <w:lastRenderedPageBreak/>
        <w:t>aluminium and steel presently, as well as with magnesium and composite materials eventually should relate to advance</w:t>
      </w:r>
      <w:r w:rsidR="00747842" w:rsidRPr="005E33F5">
        <w:rPr>
          <w:rFonts w:ascii="Times New Roman" w:eastAsia="Calibri" w:hAnsi="Times New Roman" w:cs="Times New Roman"/>
        </w:rPr>
        <w:t xml:space="preserve">d vehicle designs in the future </w:t>
      </w:r>
      <w:r w:rsidR="00747842" w:rsidRPr="005E33F5">
        <w:rPr>
          <w:rFonts w:ascii="Times New Roman" w:eastAsia="Calibri" w:hAnsi="Times New Roman" w:cs="Times New Roman"/>
          <w:noProof/>
        </w:rPr>
        <w:t>(Steel Technology 2015)</w:t>
      </w:r>
      <w:r w:rsidR="00747842" w:rsidRPr="005E33F5">
        <w:rPr>
          <w:rFonts w:ascii="Times New Roman" w:eastAsia="Calibri" w:hAnsi="Times New Roman" w:cs="Times New Roman"/>
        </w:rPr>
        <w:t xml:space="preserve">. Apart from opportunities in steel products, the use of recycled steel will also be pivotal in the future. </w:t>
      </w:r>
    </w:p>
    <w:p w:rsidR="00E11387" w:rsidRPr="005E33F5" w:rsidRDefault="00A6415F" w:rsidP="00E11387">
      <w:pPr>
        <w:spacing w:after="0" w:line="360" w:lineRule="auto"/>
        <w:ind w:firstLine="720"/>
        <w:jc w:val="both"/>
        <w:rPr>
          <w:rFonts w:ascii="Times New Roman" w:eastAsia="Calibri" w:hAnsi="Times New Roman" w:cs="Times New Roman"/>
        </w:rPr>
      </w:pPr>
      <w:r w:rsidRPr="005E33F5">
        <w:fldChar w:fldCharType="begin"/>
      </w:r>
      <w:r w:rsidRPr="005E33F5">
        <w:instrText xml:space="preserve"> REF _Ref468302516 \h  \* MERGEFORMAT </w:instrText>
      </w:r>
      <w:r w:rsidRPr="005E33F5">
        <w:fldChar w:fldCharType="separate"/>
      </w:r>
      <w:r w:rsidR="009F5483" w:rsidRPr="005E33F5">
        <w:rPr>
          <w:rFonts w:ascii="Times New Roman" w:hAnsi="Times New Roman" w:cs="Times New Roman"/>
        </w:rPr>
        <w:t xml:space="preserve">Figure </w:t>
      </w:r>
      <w:r w:rsidR="009F5483">
        <w:rPr>
          <w:rFonts w:ascii="Times New Roman" w:hAnsi="Times New Roman" w:cs="Times New Roman"/>
          <w:noProof/>
        </w:rPr>
        <w:t>11</w:t>
      </w:r>
      <w:r w:rsidRPr="005E33F5">
        <w:fldChar w:fldCharType="end"/>
      </w:r>
      <w:r w:rsidR="0084224E" w:rsidRPr="005E33F5">
        <w:rPr>
          <w:rFonts w:ascii="Times New Roman" w:eastAsia="Calibri" w:hAnsi="Times New Roman" w:cs="Times New Roman"/>
        </w:rPr>
        <w:t xml:space="preserve"> reveals that one third of global production of steel is via re</w:t>
      </w:r>
      <w:r w:rsidR="00D27C05" w:rsidRPr="005E33F5">
        <w:rPr>
          <w:rFonts w:ascii="Times New Roman" w:eastAsia="Calibri" w:hAnsi="Times New Roman" w:cs="Times New Roman"/>
        </w:rPr>
        <w:t>cycled steel. Recycled steel could potentially</w:t>
      </w:r>
      <w:r w:rsidR="0084224E" w:rsidRPr="005E33F5">
        <w:rPr>
          <w:rFonts w:ascii="Times New Roman" w:eastAsia="Calibri" w:hAnsi="Times New Roman" w:cs="Times New Roman"/>
        </w:rPr>
        <w:t xml:space="preserve"> be increasingly used as the world becomes less dependent on fossil fuels for the production of energy. Implementation of devices designed to generate energy using the sun (</w:t>
      </w:r>
      <w:r w:rsidR="001E1932" w:rsidRPr="005E33F5">
        <w:rPr>
          <w:rFonts w:ascii="Times New Roman" w:eastAsia="Calibri" w:hAnsi="Times New Roman" w:cs="Times New Roman"/>
        </w:rPr>
        <w:t xml:space="preserve">e.g. </w:t>
      </w:r>
      <w:proofErr w:type="spellStart"/>
      <w:r w:rsidR="001E1932" w:rsidRPr="005E33F5">
        <w:rPr>
          <w:rFonts w:ascii="Times New Roman" w:eastAsia="Calibri" w:hAnsi="Times New Roman" w:cs="Times New Roman"/>
        </w:rPr>
        <w:t>Tarfaya</w:t>
      </w:r>
      <w:proofErr w:type="spellEnd"/>
      <w:r w:rsidR="001E1932" w:rsidRPr="005E33F5">
        <w:rPr>
          <w:rFonts w:ascii="Times New Roman" w:eastAsia="Calibri" w:hAnsi="Times New Roman" w:cs="Times New Roman"/>
        </w:rPr>
        <w:t xml:space="preserve"> complex, Morocco</w:t>
      </w:r>
      <w:r w:rsidR="0084224E" w:rsidRPr="005E33F5">
        <w:rPr>
          <w:rFonts w:ascii="Times New Roman" w:eastAsia="Calibri" w:hAnsi="Times New Roman" w:cs="Times New Roman"/>
        </w:rPr>
        <w:t>), waves</w:t>
      </w:r>
      <w:r w:rsidR="00747842" w:rsidRPr="005E33F5">
        <w:rPr>
          <w:rFonts w:ascii="Times New Roman" w:eastAsia="Calibri" w:hAnsi="Times New Roman" w:cs="Times New Roman"/>
        </w:rPr>
        <w:t xml:space="preserve"> (e.g. Aquamarine Power, </w:t>
      </w:r>
      <w:r w:rsidR="00EC7B37" w:rsidRPr="005E33F5">
        <w:rPr>
          <w:rFonts w:ascii="Times New Roman" w:eastAsia="Calibri" w:hAnsi="Times New Roman" w:cs="Times New Roman"/>
        </w:rPr>
        <w:t xml:space="preserve">off the coast of Scotland) and even from </w:t>
      </w:r>
      <w:r w:rsidR="0084224E" w:rsidRPr="005E33F5">
        <w:rPr>
          <w:rFonts w:ascii="Times New Roman" w:eastAsia="Calibri" w:hAnsi="Times New Roman" w:cs="Times New Roman"/>
        </w:rPr>
        <w:t>wind</w:t>
      </w:r>
      <w:r w:rsidR="00EC7B37" w:rsidRPr="005E33F5">
        <w:rPr>
          <w:rFonts w:ascii="Times New Roman" w:eastAsia="Calibri" w:hAnsi="Times New Roman" w:cs="Times New Roman"/>
        </w:rPr>
        <w:t xml:space="preserve"> (e.g. </w:t>
      </w:r>
      <w:proofErr w:type="spellStart"/>
      <w:r w:rsidR="00EC7B37" w:rsidRPr="005E33F5">
        <w:rPr>
          <w:rFonts w:ascii="Times New Roman" w:eastAsia="Calibri" w:hAnsi="Times New Roman" w:cs="Times New Roman"/>
        </w:rPr>
        <w:t>Hornsea</w:t>
      </w:r>
      <w:proofErr w:type="spellEnd"/>
      <w:r w:rsidR="00EC7B37" w:rsidRPr="005E33F5">
        <w:rPr>
          <w:rFonts w:ascii="Times New Roman" w:eastAsia="Calibri" w:hAnsi="Times New Roman" w:cs="Times New Roman"/>
        </w:rPr>
        <w:t xml:space="preserve"> Project One, largest off-shore wind farm)</w:t>
      </w:r>
      <w:r w:rsidR="0084224E" w:rsidRPr="005E33F5">
        <w:rPr>
          <w:rFonts w:ascii="Times New Roman" w:eastAsia="Calibri" w:hAnsi="Times New Roman" w:cs="Times New Roman"/>
        </w:rPr>
        <w:t xml:space="preserve"> are already underway. Refinement of these devices over</w:t>
      </w:r>
      <w:r w:rsidR="009457CC">
        <w:rPr>
          <w:rFonts w:ascii="Times New Roman" w:eastAsia="Calibri" w:hAnsi="Times New Roman" w:cs="Times New Roman"/>
        </w:rPr>
        <w:t xml:space="preserve"> </w:t>
      </w:r>
      <w:r w:rsidR="0084224E" w:rsidRPr="005E33F5">
        <w:rPr>
          <w:rFonts w:ascii="Times New Roman" w:eastAsia="Calibri" w:hAnsi="Times New Roman" w:cs="Times New Roman"/>
        </w:rPr>
        <w:t>time, will make t</w:t>
      </w:r>
      <w:r w:rsidR="00303C10" w:rsidRPr="005E33F5">
        <w:rPr>
          <w:rFonts w:ascii="Times New Roman" w:eastAsia="Calibri" w:hAnsi="Times New Roman" w:cs="Times New Roman"/>
        </w:rPr>
        <w:t>hem</w:t>
      </w:r>
      <w:r w:rsidR="0084224E" w:rsidRPr="005E33F5">
        <w:rPr>
          <w:rFonts w:ascii="Times New Roman" w:eastAsia="Calibri" w:hAnsi="Times New Roman" w:cs="Times New Roman"/>
        </w:rPr>
        <w:t xml:space="preserve"> less expensive to manufacture, more readily a</w:t>
      </w:r>
      <w:r w:rsidR="00E11387" w:rsidRPr="005E33F5">
        <w:rPr>
          <w:rFonts w:ascii="Times New Roman" w:eastAsia="Calibri" w:hAnsi="Times New Roman" w:cs="Times New Roman"/>
        </w:rPr>
        <w:t>vailable and easier to install. Such devices would aid in either increasing usage of energy intensive EAF processes or implement these technologies into types of EAF which are less energy intensive.</w:t>
      </w:r>
    </w:p>
    <w:p w:rsidR="006A62D1" w:rsidRPr="00CF16F3" w:rsidRDefault="00E11387" w:rsidP="002929AD">
      <w:pPr>
        <w:spacing w:after="0" w:line="360" w:lineRule="auto"/>
        <w:ind w:firstLine="720"/>
        <w:jc w:val="both"/>
        <w:rPr>
          <w:rFonts w:ascii="Times New Roman" w:eastAsia="Calibri" w:hAnsi="Times New Roman" w:cs="Times New Roman"/>
          <w:color w:val="FF0000"/>
        </w:rPr>
        <w:sectPr w:rsidR="006A62D1" w:rsidRPr="00CF16F3">
          <w:pgSz w:w="11906" w:h="16838"/>
          <w:pgMar w:top="1440" w:right="1440" w:bottom="1440" w:left="1440" w:header="708" w:footer="708" w:gutter="0"/>
          <w:cols w:space="708"/>
          <w:docGrid w:linePitch="360"/>
        </w:sectPr>
      </w:pPr>
      <w:r w:rsidRPr="005E33F5">
        <w:rPr>
          <w:rFonts w:ascii="Times New Roman" w:eastAsia="Calibri" w:hAnsi="Times New Roman" w:cs="Times New Roman"/>
        </w:rPr>
        <w:t>Whatever the solution, steel i</w:t>
      </w:r>
      <w:r w:rsidR="00303C10" w:rsidRPr="005E33F5">
        <w:rPr>
          <w:rFonts w:ascii="Times New Roman" w:eastAsia="Calibri" w:hAnsi="Times New Roman" w:cs="Times New Roman"/>
        </w:rPr>
        <w:t>n th</w:t>
      </w:r>
      <w:r w:rsidRPr="005E33F5">
        <w:rPr>
          <w:rFonts w:ascii="Times New Roman" w:eastAsia="Calibri" w:hAnsi="Times New Roman" w:cs="Times New Roman"/>
        </w:rPr>
        <w:t xml:space="preserve">e upcoming years </w:t>
      </w:r>
      <w:r w:rsidR="00303C10" w:rsidRPr="005E33F5">
        <w:rPr>
          <w:rFonts w:ascii="Times New Roman" w:eastAsia="Calibri" w:hAnsi="Times New Roman" w:cs="Times New Roman"/>
        </w:rPr>
        <w:t xml:space="preserve">will not become obsolete. Steel will adapt with new </w:t>
      </w:r>
      <w:r w:rsidR="00303C10" w:rsidRPr="000906E1">
        <w:rPr>
          <w:rFonts w:ascii="Times New Roman" w:eastAsia="Calibri" w:hAnsi="Times New Roman" w:cs="Times New Roman"/>
        </w:rPr>
        <w:t>technology to become even more important than ever, as new ways emerge to put this important material to good use.</w:t>
      </w:r>
      <w:r w:rsidR="00CF16F3" w:rsidRPr="000906E1">
        <w:rPr>
          <w:rFonts w:ascii="Times New Roman" w:eastAsia="Calibri" w:hAnsi="Times New Roman" w:cs="Times New Roman"/>
        </w:rPr>
        <w:t xml:space="preserve"> With this in mind, it is recommended the steel MFA model should next be updated</w:t>
      </w:r>
      <w:r w:rsidR="002929AD" w:rsidRPr="000906E1">
        <w:rPr>
          <w:rFonts w:ascii="Times New Roman" w:eastAsia="Calibri" w:hAnsi="Times New Roman" w:cs="Times New Roman"/>
        </w:rPr>
        <w:t xml:space="preserve"> in 2020, since the current model although originally published in 2013, has been primarily constructed from the year 2008. This will provide sufficient time to gather the necessary data as well as incorporate potential changes to the steel sector in the new 2020 steel MFA model.</w:t>
      </w:r>
    </w:p>
    <w:p w:rsidR="006A62D1" w:rsidRPr="005B3139" w:rsidRDefault="00CC009D" w:rsidP="006A62D1">
      <w:pPr>
        <w:pStyle w:val="Heading2"/>
        <w:spacing w:line="360" w:lineRule="auto"/>
        <w:rPr>
          <w:rFonts w:ascii="Times New Roman" w:eastAsia="Calibri Light" w:hAnsi="Times New Roman" w:cs="Times New Roman"/>
          <w:sz w:val="22"/>
          <w:szCs w:val="22"/>
        </w:rPr>
      </w:pPr>
      <w:r>
        <w:rPr>
          <w:rFonts w:ascii="Times New Roman" w:eastAsia="Calibri Light" w:hAnsi="Times New Roman" w:cs="Times New Roman"/>
          <w:sz w:val="22"/>
          <w:szCs w:val="22"/>
        </w:rPr>
        <w:lastRenderedPageBreak/>
        <w:t>5</w:t>
      </w:r>
      <w:r w:rsidR="006A62D1" w:rsidRPr="005B3139">
        <w:rPr>
          <w:rFonts w:ascii="Times New Roman" w:eastAsia="Calibri Light" w:hAnsi="Times New Roman" w:cs="Times New Roman"/>
          <w:sz w:val="22"/>
          <w:szCs w:val="22"/>
        </w:rPr>
        <w:t>.2 Global Chromium MFA 2014</w:t>
      </w:r>
      <w:r w:rsidR="008C7E93">
        <w:rPr>
          <w:rFonts w:ascii="Times New Roman" w:eastAsia="Calibri Light" w:hAnsi="Times New Roman" w:cs="Times New Roman"/>
          <w:sz w:val="22"/>
          <w:szCs w:val="22"/>
        </w:rPr>
        <w:t xml:space="preserve"> </w:t>
      </w:r>
    </w:p>
    <w:p w:rsidR="006A62D1" w:rsidRPr="005B3139" w:rsidRDefault="00363AD2" w:rsidP="006A62D1">
      <w:pPr>
        <w:spacing w:line="360" w:lineRule="auto"/>
        <w:rPr>
          <w:rFonts w:ascii="Times New Roman" w:eastAsia="Calibri" w:hAnsi="Times New Roman" w:cs="Times New Roman"/>
        </w:rPr>
      </w:pPr>
      <w:r>
        <w:rPr>
          <w:rFonts w:ascii="Times New Roman" w:eastAsia="Calibri" w:hAnsi="Times New Roman" w:cs="Times New Roman"/>
          <w:noProof/>
        </w:rPr>
        <w:drawing>
          <wp:inline distT="0" distB="0" distL="0" distR="0">
            <wp:extent cx="9277669" cy="307238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285614" cy="3075015"/>
                    </a:xfrm>
                    <a:prstGeom prst="rect">
                      <a:avLst/>
                    </a:prstGeom>
                    <a:noFill/>
                    <a:ln>
                      <a:noFill/>
                    </a:ln>
                  </pic:spPr>
                </pic:pic>
              </a:graphicData>
            </a:graphic>
          </wp:inline>
        </w:drawing>
      </w:r>
    </w:p>
    <w:p w:rsidR="006A62D1" w:rsidRPr="005E33F5" w:rsidRDefault="006A62D1" w:rsidP="006A62D1">
      <w:pPr>
        <w:rPr>
          <w:rFonts w:ascii="Times New Roman" w:eastAsia="Calibri" w:hAnsi="Times New Roman" w:cs="Times New Roman"/>
        </w:rPr>
      </w:pPr>
      <w:bookmarkStart w:id="106" w:name="_Ref468302618"/>
      <w:bookmarkStart w:id="107" w:name="_Toc495848345"/>
      <w:r w:rsidRPr="005E33F5">
        <w:rPr>
          <w:rFonts w:ascii="Times New Roman" w:hAnsi="Times New Roman" w:cs="Times New Roman"/>
        </w:rPr>
        <w:t xml:space="preserve">Figure </w:t>
      </w:r>
      <w:r w:rsidR="009A0ED7" w:rsidRPr="005E33F5">
        <w:rPr>
          <w:rFonts w:ascii="Times New Roman" w:hAnsi="Times New Roman" w:cs="Times New Roman"/>
        </w:rPr>
        <w:fldChar w:fldCharType="begin"/>
      </w:r>
      <w:r w:rsidRPr="005E33F5">
        <w:rPr>
          <w:rFonts w:ascii="Times New Roman" w:hAnsi="Times New Roman" w:cs="Times New Roman"/>
        </w:rPr>
        <w:instrText xml:space="preserve"> SEQ Figure \* ARABIC </w:instrText>
      </w:r>
      <w:r w:rsidR="009A0ED7" w:rsidRPr="005E33F5">
        <w:rPr>
          <w:rFonts w:ascii="Times New Roman" w:hAnsi="Times New Roman" w:cs="Times New Roman"/>
        </w:rPr>
        <w:fldChar w:fldCharType="separate"/>
      </w:r>
      <w:r w:rsidR="009F5483">
        <w:rPr>
          <w:rFonts w:ascii="Times New Roman" w:hAnsi="Times New Roman" w:cs="Times New Roman"/>
          <w:noProof/>
        </w:rPr>
        <w:t>12</w:t>
      </w:r>
      <w:r w:rsidR="009A0ED7" w:rsidRPr="005E33F5">
        <w:rPr>
          <w:rFonts w:ascii="Times New Roman" w:hAnsi="Times New Roman" w:cs="Times New Roman"/>
        </w:rPr>
        <w:fldChar w:fldCharType="end"/>
      </w:r>
      <w:bookmarkEnd w:id="106"/>
      <w:r w:rsidRPr="005E33F5">
        <w:rPr>
          <w:rFonts w:ascii="Times New Roman" w:hAnsi="Times New Roman" w:cs="Times New Roman"/>
        </w:rPr>
        <w:t xml:space="preserve">. </w:t>
      </w:r>
      <w:r w:rsidRPr="005E33F5">
        <w:rPr>
          <w:rFonts w:ascii="Times New Roman" w:eastAsia="Calibri" w:hAnsi="Times New Roman" w:cs="Times New Roman"/>
        </w:rPr>
        <w:t>Sankey diagram representing t</w:t>
      </w:r>
      <w:r w:rsidR="00917E3E" w:rsidRPr="005E33F5">
        <w:rPr>
          <w:rFonts w:ascii="Times New Roman" w:eastAsia="Calibri" w:hAnsi="Times New Roman" w:cs="Times New Roman"/>
        </w:rPr>
        <w:t>he estimated material flow of chromium</w:t>
      </w:r>
      <w:r w:rsidRPr="005E33F5">
        <w:rPr>
          <w:rFonts w:ascii="Times New Roman" w:eastAsia="Calibri" w:hAnsi="Times New Roman" w:cs="Times New Roman"/>
        </w:rPr>
        <w:t xml:space="preserve"> within global industry as of 2014.</w:t>
      </w:r>
      <w:bookmarkEnd w:id="107"/>
      <w:r w:rsidRPr="005E33F5">
        <w:rPr>
          <w:rFonts w:ascii="Times New Roman" w:eastAsia="Calibri" w:hAnsi="Times New Roman" w:cs="Times New Roman"/>
        </w:rPr>
        <w:t xml:space="preserve"> </w:t>
      </w:r>
    </w:p>
    <w:p w:rsidR="00917E3E" w:rsidRPr="005E33F5" w:rsidRDefault="006A62D1" w:rsidP="006A62D1">
      <w:pPr>
        <w:spacing w:line="360" w:lineRule="auto"/>
        <w:jc w:val="both"/>
        <w:rPr>
          <w:rFonts w:ascii="Times New Roman" w:eastAsia="Calibri" w:hAnsi="Times New Roman" w:cs="Times New Roman"/>
        </w:rPr>
      </w:pPr>
      <w:r w:rsidRPr="005E33F5">
        <w:rPr>
          <w:rFonts w:ascii="Times New Roman" w:eastAsia="Calibri" w:hAnsi="Times New Roman" w:cs="Times New Roman"/>
        </w:rPr>
        <w:t xml:space="preserve">Key: Primary flow = Cyan, Recycled flow = Orange and Waste flow = Lime.  </w:t>
      </w:r>
    </w:p>
    <w:p w:rsidR="006A62D1" w:rsidRPr="005B3139" w:rsidRDefault="00A70E3C" w:rsidP="006A62D1">
      <w:pPr>
        <w:spacing w:line="360" w:lineRule="auto"/>
        <w:jc w:val="both"/>
        <w:rPr>
          <w:rFonts w:ascii="Times New Roman" w:eastAsia="Calibri" w:hAnsi="Times New Roman" w:cs="Times New Roman"/>
        </w:rPr>
        <w:sectPr w:rsidR="006A62D1" w:rsidRPr="005B3139" w:rsidSect="00D271A7">
          <w:footerReference w:type="default" r:id="rId65"/>
          <w:pgSz w:w="16838" w:h="11906" w:orient="landscape"/>
          <w:pgMar w:top="1440" w:right="1440" w:bottom="1440" w:left="1440" w:header="708" w:footer="708" w:gutter="0"/>
          <w:cols w:space="708"/>
          <w:titlePg/>
          <w:docGrid w:linePitch="360"/>
        </w:sectPr>
      </w:pPr>
      <w:r w:rsidRPr="005E33F5">
        <w:rPr>
          <w:rFonts w:ascii="Times New Roman" w:eastAsia="Calibri" w:hAnsi="Times New Roman" w:cs="Times New Roman"/>
        </w:rPr>
        <w:t xml:space="preserve">N.B. </w:t>
      </w:r>
      <w:r w:rsidR="00C926D8" w:rsidRPr="005E33F5">
        <w:rPr>
          <w:rFonts w:ascii="Times New Roman" w:eastAsia="Calibri" w:hAnsi="Times New Roman" w:cs="Times New Roman"/>
        </w:rPr>
        <w:t>The cyan flow from</w:t>
      </w:r>
      <w:r w:rsidR="006A62D1" w:rsidRPr="005E33F5">
        <w:rPr>
          <w:rFonts w:ascii="Times New Roman" w:eastAsia="Calibri" w:hAnsi="Times New Roman" w:cs="Times New Roman"/>
        </w:rPr>
        <w:t xml:space="preserve"> t</w:t>
      </w:r>
      <w:r w:rsidR="00917E3E" w:rsidRPr="005E33F5">
        <w:rPr>
          <w:rFonts w:ascii="Times New Roman" w:eastAsia="Calibri" w:hAnsi="Times New Roman" w:cs="Times New Roman"/>
        </w:rPr>
        <w:t>he applications sector in the chromium</w:t>
      </w:r>
      <w:r w:rsidR="006A62D1" w:rsidRPr="005E33F5">
        <w:rPr>
          <w:rFonts w:ascii="Times New Roman" w:eastAsia="Calibri" w:hAnsi="Times New Roman" w:cs="Times New Roman"/>
        </w:rPr>
        <w:t xml:space="preserve"> MFA constitutes of an amalgamation of the primary and recycled flows, as o</w:t>
      </w:r>
      <w:r w:rsidR="003B1FD8" w:rsidRPr="005E33F5">
        <w:rPr>
          <w:rFonts w:ascii="Times New Roman" w:eastAsia="Calibri" w:hAnsi="Times New Roman" w:cs="Times New Roman"/>
        </w:rPr>
        <w:t>pposed to a purely primary flow</w:t>
      </w:r>
      <w:r w:rsidR="00CE47D3" w:rsidRPr="005E33F5">
        <w:rPr>
          <w:rFonts w:ascii="Times New Roman" w:eastAsia="Calibri" w:hAnsi="Times New Roman" w:cs="Times New Roman"/>
        </w:rPr>
        <w:t>.</w:t>
      </w:r>
    </w:p>
    <w:p w:rsidR="00037ADF" w:rsidRPr="005E33F5" w:rsidRDefault="00A6415F" w:rsidP="00037ADF">
      <w:pPr>
        <w:spacing w:after="0" w:line="360" w:lineRule="auto"/>
        <w:ind w:firstLine="720"/>
        <w:jc w:val="both"/>
        <w:rPr>
          <w:rFonts w:ascii="Times New Roman" w:eastAsia="Calibri" w:hAnsi="Times New Roman" w:cs="Times New Roman"/>
        </w:rPr>
      </w:pPr>
      <w:r w:rsidRPr="005E33F5">
        <w:lastRenderedPageBreak/>
        <w:fldChar w:fldCharType="begin"/>
      </w:r>
      <w:r w:rsidRPr="005E33F5">
        <w:instrText xml:space="preserve"> REF _Ref468302618 \h  \* MERGEFORMAT </w:instrText>
      </w:r>
      <w:r w:rsidRPr="005E33F5">
        <w:fldChar w:fldCharType="separate"/>
      </w:r>
      <w:r w:rsidR="009F5483" w:rsidRPr="005E33F5">
        <w:rPr>
          <w:rFonts w:ascii="Times New Roman" w:hAnsi="Times New Roman" w:cs="Times New Roman"/>
        </w:rPr>
        <w:t xml:space="preserve">Figure </w:t>
      </w:r>
      <w:r w:rsidR="009F5483">
        <w:rPr>
          <w:rFonts w:ascii="Times New Roman" w:hAnsi="Times New Roman" w:cs="Times New Roman"/>
          <w:noProof/>
        </w:rPr>
        <w:t>12</w:t>
      </w:r>
      <w:r w:rsidRPr="005E33F5">
        <w:fldChar w:fldCharType="end"/>
      </w:r>
      <w:r w:rsidR="006F2D20" w:rsidRPr="005E33F5">
        <w:rPr>
          <w:rFonts w:ascii="Times New Roman" w:eastAsia="Calibri" w:hAnsi="Times New Roman" w:cs="Times New Roman"/>
        </w:rPr>
        <w:t xml:space="preserve"> depicts the global flow of chromium</w:t>
      </w:r>
      <w:r w:rsidR="004339D6" w:rsidRPr="005E33F5">
        <w:rPr>
          <w:rFonts w:ascii="Times New Roman" w:eastAsia="Calibri" w:hAnsi="Times New Roman" w:cs="Times New Roman"/>
        </w:rPr>
        <w:t>,</w:t>
      </w:r>
      <w:r w:rsidR="00A70E3C" w:rsidRPr="005E33F5">
        <w:rPr>
          <w:rFonts w:ascii="Times New Roman" w:eastAsia="Calibri" w:hAnsi="Times New Roman" w:cs="Times New Roman"/>
        </w:rPr>
        <w:t xml:space="preserve"> </w:t>
      </w:r>
      <w:r w:rsidR="006F2D20" w:rsidRPr="005E33F5">
        <w:rPr>
          <w:rFonts w:ascii="Times New Roman" w:eastAsia="Calibri" w:hAnsi="Times New Roman" w:cs="Times New Roman"/>
        </w:rPr>
        <w:t xml:space="preserve">from extraction to </w:t>
      </w:r>
      <w:r w:rsidR="008C7E93" w:rsidRPr="005E33F5">
        <w:rPr>
          <w:rFonts w:ascii="Times New Roman" w:eastAsia="Calibri" w:hAnsi="Times New Roman" w:cs="Times New Roman"/>
        </w:rPr>
        <w:t>end product as well as accounting for</w:t>
      </w:r>
      <w:r w:rsidR="006F2D20" w:rsidRPr="005E33F5">
        <w:rPr>
          <w:rFonts w:ascii="Times New Roman" w:eastAsia="Calibri" w:hAnsi="Times New Roman" w:cs="Times New Roman"/>
        </w:rPr>
        <w:t xml:space="preserve"> recycling of chromium.</w:t>
      </w:r>
      <w:r w:rsidR="008C7E93" w:rsidRPr="005E33F5">
        <w:rPr>
          <w:rFonts w:ascii="Times New Roman" w:eastAsia="Calibri" w:hAnsi="Times New Roman" w:cs="Times New Roman"/>
        </w:rPr>
        <w:t xml:space="preserve"> Global chromite mine production is primarily accounted by South Africa</w:t>
      </w:r>
      <w:r w:rsidR="004339D6" w:rsidRPr="005E33F5">
        <w:rPr>
          <w:rFonts w:ascii="Times New Roman" w:eastAsia="Calibri" w:hAnsi="Times New Roman" w:cs="Times New Roman"/>
        </w:rPr>
        <w:t>,</w:t>
      </w:r>
      <w:r w:rsidR="008C7E93" w:rsidRPr="005E33F5">
        <w:rPr>
          <w:rFonts w:ascii="Times New Roman" w:eastAsia="Calibri" w:hAnsi="Times New Roman" w:cs="Times New Roman"/>
        </w:rPr>
        <w:t xml:space="preserve"> making up roughly </w:t>
      </w:r>
      <w:r w:rsidR="004339D6" w:rsidRPr="005E33F5">
        <w:rPr>
          <w:rFonts w:ascii="Times New Roman" w:eastAsia="Calibri" w:hAnsi="Times New Roman" w:cs="Times New Roman"/>
        </w:rPr>
        <w:t>52%</w:t>
      </w:r>
      <w:r w:rsidR="008C7E93" w:rsidRPr="005E33F5">
        <w:rPr>
          <w:rFonts w:ascii="Times New Roman" w:eastAsia="Calibri" w:hAnsi="Times New Roman" w:cs="Times New Roman"/>
        </w:rPr>
        <w:t xml:space="preserve"> followed by Kazakhstan (14%) and India (10%)</w:t>
      </w:r>
      <w:r w:rsidR="004339D6" w:rsidRPr="005E33F5">
        <w:rPr>
          <w:rFonts w:ascii="Times New Roman" w:eastAsia="Calibri" w:hAnsi="Times New Roman" w:cs="Times New Roman"/>
        </w:rPr>
        <w:t xml:space="preserve"> respectively</w:t>
      </w:r>
      <w:r w:rsidR="008C7E93" w:rsidRPr="005E33F5">
        <w:rPr>
          <w:rFonts w:ascii="Times New Roman" w:eastAsia="Calibri" w:hAnsi="Times New Roman" w:cs="Times New Roman"/>
        </w:rPr>
        <w:t xml:space="preserve">. Beneficiation losses from ore processing account for 57%. </w:t>
      </w:r>
    </w:p>
    <w:p w:rsidR="00316448" w:rsidRPr="005E33F5" w:rsidRDefault="006A62D1" w:rsidP="00866A5A">
      <w:pPr>
        <w:spacing w:after="0" w:line="360" w:lineRule="auto"/>
        <w:ind w:firstLine="720"/>
        <w:jc w:val="both"/>
        <w:rPr>
          <w:rFonts w:ascii="Times New Roman" w:eastAsia="Calibri" w:hAnsi="Times New Roman" w:cs="Times New Roman"/>
        </w:rPr>
      </w:pPr>
      <w:r w:rsidRPr="005E33F5">
        <w:rPr>
          <w:rFonts w:ascii="Times New Roman" w:eastAsia="Calibri" w:hAnsi="Times New Roman" w:cs="Times New Roman"/>
        </w:rPr>
        <w:t>After mined pr</w:t>
      </w:r>
      <w:r w:rsidR="00037ADF" w:rsidRPr="005E33F5">
        <w:rPr>
          <w:rFonts w:ascii="Times New Roman" w:eastAsia="Calibri" w:hAnsi="Times New Roman" w:cs="Times New Roman"/>
        </w:rPr>
        <w:t>oduction of</w:t>
      </w:r>
      <w:r w:rsidR="00866A5A" w:rsidRPr="005E33F5">
        <w:rPr>
          <w:rFonts w:ascii="Times New Roman" w:eastAsia="Calibri" w:hAnsi="Times New Roman" w:cs="Times New Roman"/>
        </w:rPr>
        <w:t xml:space="preserve"> chromite</w:t>
      </w:r>
      <w:r w:rsidR="00037ADF" w:rsidRPr="005E33F5">
        <w:rPr>
          <w:rFonts w:ascii="Times New Roman" w:eastAsia="Calibri" w:hAnsi="Times New Roman" w:cs="Times New Roman"/>
        </w:rPr>
        <w:t xml:space="preserve"> ore, chromium is</w:t>
      </w:r>
      <w:r w:rsidRPr="005E33F5">
        <w:rPr>
          <w:rFonts w:ascii="Times New Roman" w:eastAsia="Calibri" w:hAnsi="Times New Roman" w:cs="Times New Roman"/>
        </w:rPr>
        <w:t xml:space="preserve"> extracted from the residual charge contained within the ore. For the production of ferro-chromium, high-grade chromium ore is extracted and reduced in a large scale electric arc furnace with the addition of aluminium or silicon reductants. Approx</w:t>
      </w:r>
      <w:r w:rsidR="00037ADF" w:rsidRPr="005E33F5">
        <w:rPr>
          <w:rFonts w:ascii="Times New Roman" w:eastAsia="Calibri" w:hAnsi="Times New Roman" w:cs="Times New Roman"/>
        </w:rPr>
        <w:t>imately 92% of global ferro-chromium is converted to charge/HC ferro-chromium</w:t>
      </w:r>
      <w:r w:rsidRPr="005E33F5">
        <w:rPr>
          <w:rFonts w:ascii="Times New Roman" w:eastAsia="Calibri" w:hAnsi="Times New Roman" w:cs="Times New Roman"/>
        </w:rPr>
        <w:t xml:space="preserve">, with </w:t>
      </w:r>
      <w:r w:rsidR="0069014E" w:rsidRPr="005E33F5">
        <w:rPr>
          <w:rFonts w:ascii="Times New Roman" w:eastAsia="Calibri" w:hAnsi="Times New Roman" w:cs="Times New Roman"/>
        </w:rPr>
        <w:t>the remainder</w:t>
      </w:r>
      <w:r w:rsidR="00866A5A" w:rsidRPr="005E33F5">
        <w:rPr>
          <w:rFonts w:ascii="Times New Roman" w:eastAsia="Calibri" w:hAnsi="Times New Roman" w:cs="Times New Roman"/>
        </w:rPr>
        <w:t xml:space="preserve"> being made up of MC </w:t>
      </w:r>
      <w:r w:rsidR="00037ADF" w:rsidRPr="005E33F5">
        <w:rPr>
          <w:rFonts w:ascii="Times New Roman" w:eastAsia="Calibri" w:hAnsi="Times New Roman" w:cs="Times New Roman"/>
        </w:rPr>
        <w:t>ferro-chromium (5%) and LC ferro-chromium</w:t>
      </w:r>
      <w:r w:rsidRPr="005E33F5">
        <w:rPr>
          <w:rFonts w:ascii="Times New Roman" w:eastAsia="Calibri" w:hAnsi="Times New Roman" w:cs="Times New Roman"/>
        </w:rPr>
        <w:t xml:space="preserve"> (2%).</w:t>
      </w:r>
    </w:p>
    <w:p w:rsidR="006A62D1" w:rsidRPr="005E33F5" w:rsidRDefault="00316448" w:rsidP="00316448">
      <w:pPr>
        <w:spacing w:after="0" w:line="360" w:lineRule="auto"/>
        <w:ind w:firstLine="720"/>
        <w:jc w:val="both"/>
        <w:rPr>
          <w:rFonts w:ascii="Times New Roman" w:eastAsia="Calibri" w:hAnsi="Times New Roman" w:cs="Times New Roman"/>
        </w:rPr>
      </w:pPr>
      <w:r w:rsidRPr="005E33F5">
        <w:rPr>
          <w:rFonts w:ascii="Times New Roman" w:eastAsia="Calibri" w:hAnsi="Times New Roman" w:cs="Times New Roman"/>
        </w:rPr>
        <w:t>In terms of primary and recycled chromium, p</w:t>
      </w:r>
      <w:r w:rsidR="006A62D1" w:rsidRPr="005E33F5">
        <w:rPr>
          <w:rFonts w:ascii="Times New Roman" w:eastAsia="Calibri" w:hAnsi="Times New Roman" w:cs="Times New Roman"/>
        </w:rPr>
        <w:t xml:space="preserve">rimary chromium </w:t>
      </w:r>
      <w:r w:rsidR="00037ADF" w:rsidRPr="005E33F5">
        <w:rPr>
          <w:rFonts w:ascii="Times New Roman" w:eastAsia="Calibri" w:hAnsi="Times New Roman" w:cs="Times New Roman"/>
        </w:rPr>
        <w:t>accounts for 70% of global ferro-chromium</w:t>
      </w:r>
      <w:r w:rsidRPr="005E33F5">
        <w:rPr>
          <w:rFonts w:ascii="Times New Roman" w:eastAsia="Calibri" w:hAnsi="Times New Roman" w:cs="Times New Roman"/>
        </w:rPr>
        <w:t xml:space="preserve"> production with the remainder of 30% </w:t>
      </w:r>
      <w:r w:rsidR="006A62D1" w:rsidRPr="005E33F5">
        <w:rPr>
          <w:rFonts w:ascii="Times New Roman" w:eastAsia="Calibri" w:hAnsi="Times New Roman" w:cs="Times New Roman"/>
        </w:rPr>
        <w:t>being provide</w:t>
      </w:r>
      <w:r w:rsidRPr="005E33F5">
        <w:rPr>
          <w:rFonts w:ascii="Times New Roman" w:eastAsia="Calibri" w:hAnsi="Times New Roman" w:cs="Times New Roman"/>
        </w:rPr>
        <w:t>d by recycled chromium. With respect to</w:t>
      </w:r>
      <w:r w:rsidR="006A62D1" w:rsidRPr="005E33F5">
        <w:rPr>
          <w:rFonts w:ascii="Times New Roman" w:eastAsia="Calibri" w:hAnsi="Times New Roman" w:cs="Times New Roman"/>
        </w:rPr>
        <w:t xml:space="preserve"> recycled chromium, 95% comes from stainless steel scrap with 5% from other alloy steel scrap. Within </w:t>
      </w:r>
      <w:r w:rsidRPr="005E33F5">
        <w:rPr>
          <w:rFonts w:ascii="Times New Roman" w:eastAsia="Calibri" w:hAnsi="Times New Roman" w:cs="Times New Roman"/>
        </w:rPr>
        <w:t>stainless steel scrap, 35% is equally provided by</w:t>
      </w:r>
      <w:r w:rsidR="006A62D1" w:rsidRPr="005E33F5">
        <w:rPr>
          <w:rFonts w:ascii="Times New Roman" w:eastAsia="Calibri" w:hAnsi="Times New Roman" w:cs="Times New Roman"/>
        </w:rPr>
        <w:t xml:space="preserve"> in-house and obsolete scr</w:t>
      </w:r>
      <w:r w:rsidR="004339D6" w:rsidRPr="005E33F5">
        <w:rPr>
          <w:rFonts w:ascii="Times New Roman" w:eastAsia="Calibri" w:hAnsi="Times New Roman" w:cs="Times New Roman"/>
        </w:rPr>
        <w:t>ap with industrial scrap (</w:t>
      </w:r>
      <w:r w:rsidR="006A62D1" w:rsidRPr="005E33F5">
        <w:rPr>
          <w:rFonts w:ascii="Times New Roman" w:eastAsia="Calibri" w:hAnsi="Times New Roman" w:cs="Times New Roman"/>
        </w:rPr>
        <w:t>17%</w:t>
      </w:r>
      <w:r w:rsidR="004339D6" w:rsidRPr="005E33F5">
        <w:rPr>
          <w:rFonts w:ascii="Times New Roman" w:eastAsia="Calibri" w:hAnsi="Times New Roman" w:cs="Times New Roman"/>
        </w:rPr>
        <w:t xml:space="preserve">), </w:t>
      </w:r>
      <w:r w:rsidR="006A62D1" w:rsidRPr="005E33F5">
        <w:rPr>
          <w:rFonts w:ascii="Times New Roman" w:eastAsia="Calibri" w:hAnsi="Times New Roman" w:cs="Times New Roman"/>
        </w:rPr>
        <w:t>imported</w:t>
      </w:r>
      <w:r w:rsidR="004339D6" w:rsidRPr="005E33F5">
        <w:rPr>
          <w:rFonts w:ascii="Times New Roman" w:eastAsia="Calibri" w:hAnsi="Times New Roman" w:cs="Times New Roman"/>
        </w:rPr>
        <w:t xml:space="preserve"> scrap</w:t>
      </w:r>
      <w:r w:rsidR="006A62D1" w:rsidRPr="005E33F5">
        <w:rPr>
          <w:rFonts w:ascii="Times New Roman" w:eastAsia="Calibri" w:hAnsi="Times New Roman" w:cs="Times New Roman"/>
        </w:rPr>
        <w:t xml:space="preserve"> </w:t>
      </w:r>
      <w:r w:rsidR="004339D6" w:rsidRPr="005E33F5">
        <w:rPr>
          <w:rFonts w:ascii="Times New Roman" w:eastAsia="Calibri" w:hAnsi="Times New Roman" w:cs="Times New Roman"/>
        </w:rPr>
        <w:t>(</w:t>
      </w:r>
      <w:r w:rsidR="006A62D1" w:rsidRPr="005E33F5">
        <w:rPr>
          <w:rFonts w:ascii="Times New Roman" w:eastAsia="Calibri" w:hAnsi="Times New Roman" w:cs="Times New Roman"/>
        </w:rPr>
        <w:t>8%</w:t>
      </w:r>
      <w:r w:rsidR="004339D6" w:rsidRPr="005E33F5">
        <w:rPr>
          <w:rFonts w:ascii="Times New Roman" w:eastAsia="Calibri" w:hAnsi="Times New Roman" w:cs="Times New Roman"/>
        </w:rPr>
        <w:t>) and OAS (Other Alloy Steel) scrap (5%) making up the remainder</w:t>
      </w:r>
      <w:r w:rsidR="006A62D1" w:rsidRPr="005E33F5">
        <w:rPr>
          <w:rFonts w:ascii="Times New Roman" w:eastAsia="Calibri" w:hAnsi="Times New Roman" w:cs="Times New Roman"/>
        </w:rPr>
        <w:t>.</w:t>
      </w:r>
    </w:p>
    <w:p w:rsidR="00C67CF0" w:rsidRPr="005E33F5" w:rsidRDefault="006A62D1" w:rsidP="00C67CF0">
      <w:pPr>
        <w:spacing w:after="0" w:line="360" w:lineRule="auto"/>
        <w:ind w:firstLine="720"/>
        <w:jc w:val="both"/>
        <w:rPr>
          <w:rFonts w:ascii="Times New Roman" w:eastAsia="Calibri" w:hAnsi="Times New Roman" w:cs="Times New Roman"/>
        </w:rPr>
      </w:pPr>
      <w:r w:rsidRPr="005E33F5">
        <w:rPr>
          <w:rFonts w:ascii="Times New Roman" w:eastAsia="Calibri" w:hAnsi="Times New Roman" w:cs="Times New Roman"/>
        </w:rPr>
        <w:t xml:space="preserve">In terms of generic applications, 90% of ferro-chromium is used in metallurgical applications, with the remainder equally split between chemicals and refractories. </w:t>
      </w:r>
      <w:r w:rsidR="004339D6" w:rsidRPr="005E33F5">
        <w:rPr>
          <w:rFonts w:ascii="Times New Roman" w:eastAsia="Calibri" w:hAnsi="Times New Roman" w:cs="Times New Roman"/>
        </w:rPr>
        <w:t>Specifically within metallurgical applications, stainless steel provides the bulk (90%) end use of ferro-chromium.</w:t>
      </w:r>
      <w:r w:rsidR="000865A2" w:rsidRPr="005E33F5">
        <w:rPr>
          <w:rFonts w:ascii="Times New Roman" w:eastAsia="Calibri" w:hAnsi="Times New Roman" w:cs="Times New Roman"/>
        </w:rPr>
        <w:t xml:space="preserve"> From the description of the global chromium flow, a number of knowledge gaps and queries </w:t>
      </w:r>
      <w:r w:rsidR="0069014E" w:rsidRPr="005E33F5">
        <w:rPr>
          <w:rFonts w:ascii="Times New Roman" w:eastAsia="Calibri" w:hAnsi="Times New Roman" w:cs="Times New Roman"/>
        </w:rPr>
        <w:t>were</w:t>
      </w:r>
      <w:r w:rsidR="000865A2" w:rsidRPr="005E33F5">
        <w:rPr>
          <w:rFonts w:ascii="Times New Roman" w:eastAsia="Calibri" w:hAnsi="Times New Roman" w:cs="Times New Roman"/>
        </w:rPr>
        <w:t xml:space="preserve"> identified for analysis.</w:t>
      </w:r>
    </w:p>
    <w:p w:rsidR="0069014E" w:rsidRPr="005E33F5" w:rsidRDefault="0069014E" w:rsidP="00152710">
      <w:pPr>
        <w:spacing w:after="0" w:line="360" w:lineRule="auto"/>
        <w:ind w:firstLine="720"/>
        <w:jc w:val="both"/>
        <w:rPr>
          <w:rFonts w:ascii="Times New Roman" w:eastAsia="Calibri" w:hAnsi="Times New Roman" w:cs="Times New Roman"/>
        </w:rPr>
      </w:pPr>
      <w:r w:rsidRPr="005E33F5">
        <w:rPr>
          <w:rFonts w:ascii="Times New Roman" w:eastAsia="Calibri" w:hAnsi="Times New Roman" w:cs="Times New Roman"/>
        </w:rPr>
        <w:t>With regards to recycling,</w:t>
      </w:r>
      <w:r w:rsidR="00DC3C55" w:rsidRPr="005E33F5">
        <w:rPr>
          <w:rFonts w:ascii="Times New Roman" w:eastAsia="Calibri" w:hAnsi="Times New Roman" w:cs="Times New Roman"/>
        </w:rPr>
        <w:t xml:space="preserve"> comparisons were made between previously undertaken studies, performed by </w:t>
      </w:r>
      <w:r w:rsidR="00DC3C55" w:rsidRPr="005E33F5">
        <w:rPr>
          <w:rStyle w:val="ReferenceChar"/>
          <w:noProof/>
          <w:color w:val="auto"/>
        </w:rPr>
        <w:t>(Daigo et al. 2010)</w:t>
      </w:r>
      <w:r w:rsidR="00DC3C55" w:rsidRPr="005E33F5">
        <w:rPr>
          <w:rStyle w:val="ReferenceChar"/>
          <w:color w:val="auto"/>
        </w:rPr>
        <w:t xml:space="preserve">. In this case </w:t>
      </w:r>
      <w:r w:rsidR="00BE59A9" w:rsidRPr="005E33F5">
        <w:rPr>
          <w:rFonts w:ascii="Times New Roman" w:eastAsia="Calibri" w:hAnsi="Times New Roman" w:cs="Times New Roman"/>
        </w:rPr>
        <w:t>the consumption of</w:t>
      </w:r>
      <w:r w:rsidR="000A0839" w:rsidRPr="005E33F5">
        <w:rPr>
          <w:rFonts w:ascii="Times New Roman" w:eastAsia="Calibri" w:hAnsi="Times New Roman" w:cs="Times New Roman"/>
        </w:rPr>
        <w:t xml:space="preserve"> </w:t>
      </w:r>
      <w:r w:rsidR="00BE59A9" w:rsidRPr="005E33F5">
        <w:rPr>
          <w:rFonts w:ascii="Times New Roman" w:eastAsia="Calibri" w:hAnsi="Times New Roman" w:cs="Times New Roman"/>
        </w:rPr>
        <w:t>chromium</w:t>
      </w:r>
      <w:r w:rsidR="00DC3C55" w:rsidRPr="005E33F5">
        <w:rPr>
          <w:rFonts w:ascii="Times New Roman" w:eastAsia="Calibri" w:hAnsi="Times New Roman" w:cs="Times New Roman"/>
        </w:rPr>
        <w:t xml:space="preserve"> from recycled sources was found to be 40% as of 2014 which compared favourably to the value of 34% put forward by Daigo in 2010, repres</w:t>
      </w:r>
      <w:r w:rsidR="00357A87" w:rsidRPr="005E33F5">
        <w:rPr>
          <w:rFonts w:ascii="Times New Roman" w:eastAsia="Calibri" w:hAnsi="Times New Roman" w:cs="Times New Roman"/>
        </w:rPr>
        <w:t>enting a potential increase of 6</w:t>
      </w:r>
      <w:r w:rsidR="00C67CF0" w:rsidRPr="005E33F5">
        <w:rPr>
          <w:rFonts w:ascii="Times New Roman" w:eastAsia="Calibri" w:hAnsi="Times New Roman" w:cs="Times New Roman"/>
        </w:rPr>
        <w:t>% within a 4-year period.</w:t>
      </w:r>
      <w:r w:rsidR="00152710" w:rsidRPr="005E33F5">
        <w:rPr>
          <w:rFonts w:ascii="Times New Roman" w:eastAsia="Calibri" w:hAnsi="Times New Roman" w:cs="Times New Roman"/>
        </w:rPr>
        <w:t xml:space="preserve"> </w:t>
      </w:r>
      <w:r w:rsidR="00C67CF0" w:rsidRPr="005E33F5">
        <w:rPr>
          <w:rFonts w:ascii="Times New Roman" w:eastAsia="Calibri" w:hAnsi="Times New Roman" w:cs="Times New Roman"/>
        </w:rPr>
        <w:t>Although the observed increase appears high, it is potentially a hugely pos</w:t>
      </w:r>
      <w:r w:rsidR="00BE59A9" w:rsidRPr="005E33F5">
        <w:rPr>
          <w:rFonts w:ascii="Times New Roman" w:eastAsia="Calibri" w:hAnsi="Times New Roman" w:cs="Times New Roman"/>
        </w:rPr>
        <w:t>itive result for the state of chromium</w:t>
      </w:r>
      <w:r w:rsidR="00C67CF0" w:rsidRPr="005E33F5">
        <w:rPr>
          <w:rFonts w:ascii="Times New Roman" w:eastAsia="Calibri" w:hAnsi="Times New Roman" w:cs="Times New Roman"/>
        </w:rPr>
        <w:t xml:space="preserve"> recycling. In the study by </w:t>
      </w:r>
      <w:r w:rsidR="00C67CF0" w:rsidRPr="005E33F5">
        <w:rPr>
          <w:rStyle w:val="ReferenceChar"/>
          <w:noProof/>
          <w:color w:val="auto"/>
        </w:rPr>
        <w:t>(Daigo et al. 2010)</w:t>
      </w:r>
      <w:r w:rsidR="00C67CF0" w:rsidRPr="005E33F5">
        <w:rPr>
          <w:rFonts w:ascii="Times New Roman" w:eastAsia="Calibri" w:hAnsi="Times New Roman" w:cs="Times New Roman"/>
        </w:rPr>
        <w:t>, the focus was placed solely on the Japanese stainless steel industry which is generally ahead of the global recycling trend. Therefore, on a purely global level the percentage increase in recycling rate from 2010 to 2014 could actually be quite accurate.</w:t>
      </w:r>
    </w:p>
    <w:p w:rsidR="0069014E" w:rsidRPr="005E33F5" w:rsidRDefault="00152710" w:rsidP="00152710">
      <w:pPr>
        <w:spacing w:after="0" w:line="360" w:lineRule="auto"/>
        <w:ind w:firstLine="720"/>
        <w:jc w:val="both"/>
        <w:rPr>
          <w:rFonts w:ascii="Times New Roman" w:eastAsia="Calibri" w:hAnsi="Times New Roman" w:cs="Times New Roman"/>
        </w:rPr>
      </w:pPr>
      <w:r w:rsidRPr="005E33F5">
        <w:rPr>
          <w:rFonts w:ascii="Times New Roman" w:eastAsia="Calibri" w:hAnsi="Times New Roman" w:cs="Times New Roman"/>
        </w:rPr>
        <w:t xml:space="preserve">The main issue </w:t>
      </w:r>
      <w:r w:rsidR="00BE59A9" w:rsidRPr="005E33F5">
        <w:rPr>
          <w:rFonts w:ascii="Times New Roman" w:eastAsia="Calibri" w:hAnsi="Times New Roman" w:cs="Times New Roman"/>
        </w:rPr>
        <w:t>present in the recycling of chromium is the removal of chromium</w:t>
      </w:r>
      <w:r w:rsidR="0069014E" w:rsidRPr="005E33F5">
        <w:rPr>
          <w:rFonts w:ascii="Times New Roman" w:eastAsia="Calibri" w:hAnsi="Times New Roman" w:cs="Times New Roman"/>
        </w:rPr>
        <w:t xml:space="preserve"> containing scrap as a contaminant, which occurs when these scrap grades are combined with carbon steel scrap. This accounts for </w:t>
      </w:r>
      <w:r w:rsidRPr="005E33F5">
        <w:rPr>
          <w:rFonts w:ascii="Times New Roman" w:eastAsia="Calibri" w:hAnsi="Times New Roman" w:cs="Times New Roman"/>
        </w:rPr>
        <w:t xml:space="preserve">compositional losses of </w:t>
      </w:r>
      <w:r w:rsidR="0069014E" w:rsidRPr="005E33F5">
        <w:rPr>
          <w:rFonts w:ascii="Times New Roman" w:eastAsia="Calibri" w:hAnsi="Times New Roman" w:cs="Times New Roman"/>
        </w:rPr>
        <w:t>up to 32%wt for</w:t>
      </w:r>
      <w:r w:rsidR="00BE59A9" w:rsidRPr="005E33F5">
        <w:rPr>
          <w:rFonts w:ascii="Times New Roman" w:eastAsia="Calibri" w:hAnsi="Times New Roman" w:cs="Times New Roman"/>
        </w:rPr>
        <w:t xml:space="preserve"> chromium. Therefore, the upturn in chromium</w:t>
      </w:r>
      <w:r w:rsidR="0069014E" w:rsidRPr="005E33F5">
        <w:rPr>
          <w:rFonts w:ascii="Times New Roman" w:eastAsia="Calibri" w:hAnsi="Times New Roman" w:cs="Times New Roman"/>
        </w:rPr>
        <w:t xml:space="preserve"> recycling levels can help to confirm that the recommendations mad</w:t>
      </w:r>
      <w:r w:rsidRPr="005E33F5">
        <w:rPr>
          <w:rFonts w:ascii="Times New Roman" w:eastAsia="Calibri" w:hAnsi="Times New Roman" w:cs="Times New Roman"/>
        </w:rPr>
        <w:t>e by academics such as Oda et al</w:t>
      </w:r>
      <w:r w:rsidR="0069014E" w:rsidRPr="005E33F5">
        <w:rPr>
          <w:rFonts w:ascii="Times New Roman" w:eastAsia="Calibri" w:hAnsi="Times New Roman" w:cs="Times New Roman"/>
        </w:rPr>
        <w:t xml:space="preserve">., </w:t>
      </w:r>
      <w:r w:rsidR="00F500FB" w:rsidRPr="005E33F5">
        <w:rPr>
          <w:rFonts w:ascii="Times New Roman" w:eastAsia="Calibri" w:hAnsi="Times New Roman" w:cs="Times New Roman"/>
        </w:rPr>
        <w:t xml:space="preserve">in </w:t>
      </w:r>
      <w:r w:rsidR="0069014E" w:rsidRPr="005E33F5">
        <w:rPr>
          <w:rFonts w:ascii="Times New Roman" w:eastAsia="Calibri" w:hAnsi="Times New Roman" w:cs="Times New Roman"/>
        </w:rPr>
        <w:t>specify</w:t>
      </w:r>
      <w:r w:rsidR="00BE59A9" w:rsidRPr="005E33F5">
        <w:rPr>
          <w:rFonts w:ascii="Times New Roman" w:eastAsia="Calibri" w:hAnsi="Times New Roman" w:cs="Times New Roman"/>
        </w:rPr>
        <w:t>ing the importance of keeping chromium</w:t>
      </w:r>
      <w:r w:rsidR="0069014E" w:rsidRPr="005E33F5">
        <w:rPr>
          <w:rFonts w:ascii="Times New Roman" w:eastAsia="Calibri" w:hAnsi="Times New Roman" w:cs="Times New Roman"/>
        </w:rPr>
        <w:t xml:space="preserve"> scrap grades separate to carbon steel grades, are having </w:t>
      </w:r>
      <w:r w:rsidR="00BE59A9" w:rsidRPr="005E33F5">
        <w:rPr>
          <w:rFonts w:ascii="Times New Roman" w:eastAsia="Calibri" w:hAnsi="Times New Roman" w:cs="Times New Roman"/>
        </w:rPr>
        <w:t>a positive impact upon global chromium</w:t>
      </w:r>
      <w:r w:rsidR="0069014E" w:rsidRPr="005E33F5">
        <w:rPr>
          <w:rFonts w:ascii="Times New Roman" w:eastAsia="Calibri" w:hAnsi="Times New Roman" w:cs="Times New Roman"/>
        </w:rPr>
        <w:t xml:space="preserve"> r</w:t>
      </w:r>
      <w:r w:rsidRPr="005E33F5">
        <w:rPr>
          <w:rFonts w:ascii="Times New Roman" w:eastAsia="Calibri" w:hAnsi="Times New Roman" w:cs="Times New Roman"/>
        </w:rPr>
        <w:t>ecycling levels.</w:t>
      </w:r>
    </w:p>
    <w:p w:rsidR="006956DB" w:rsidRPr="005E33F5" w:rsidRDefault="00824102" w:rsidP="006956DB">
      <w:pPr>
        <w:spacing w:after="0" w:line="360" w:lineRule="auto"/>
        <w:ind w:firstLine="720"/>
        <w:jc w:val="both"/>
        <w:rPr>
          <w:rFonts w:ascii="Times New Roman" w:eastAsia="Calibri" w:hAnsi="Times New Roman" w:cs="Times New Roman"/>
        </w:rPr>
      </w:pPr>
      <w:r w:rsidRPr="005E33F5">
        <w:rPr>
          <w:rFonts w:ascii="Times New Roman" w:eastAsia="Calibri" w:hAnsi="Times New Roman" w:cs="Times New Roman"/>
        </w:rPr>
        <w:t>Apart from the comparability of recycling with other such studies, one of the mo</w:t>
      </w:r>
      <w:r w:rsidR="00BE59A9" w:rsidRPr="005E33F5">
        <w:rPr>
          <w:rFonts w:ascii="Times New Roman" w:eastAsia="Calibri" w:hAnsi="Times New Roman" w:cs="Times New Roman"/>
        </w:rPr>
        <w:t>re noticeable findings of the chromium</w:t>
      </w:r>
      <w:r w:rsidRPr="005E33F5">
        <w:rPr>
          <w:rFonts w:ascii="Times New Roman" w:eastAsia="Calibri" w:hAnsi="Times New Roman" w:cs="Times New Roman"/>
        </w:rPr>
        <w:t xml:space="preserve"> MFA study was the identification of a key wastage pool during the processing stage. As displayed in </w:t>
      </w:r>
      <w:r w:rsidR="00A6415F" w:rsidRPr="005E33F5">
        <w:fldChar w:fldCharType="begin"/>
      </w:r>
      <w:r w:rsidR="00A6415F" w:rsidRPr="005E33F5">
        <w:instrText xml:space="preserve"> REF _Ref468302618 \h  \* MERGEFORMAT </w:instrText>
      </w:r>
      <w:r w:rsidR="00A6415F" w:rsidRPr="005E33F5">
        <w:fldChar w:fldCharType="separate"/>
      </w:r>
      <w:r w:rsidR="009F5483" w:rsidRPr="005E33F5">
        <w:rPr>
          <w:rFonts w:ascii="Times New Roman" w:hAnsi="Times New Roman" w:cs="Times New Roman"/>
        </w:rPr>
        <w:t xml:space="preserve">Figure </w:t>
      </w:r>
      <w:r w:rsidR="009F5483">
        <w:rPr>
          <w:rFonts w:ascii="Times New Roman" w:hAnsi="Times New Roman" w:cs="Times New Roman"/>
          <w:noProof/>
        </w:rPr>
        <w:t>12</w:t>
      </w:r>
      <w:r w:rsidR="00A6415F" w:rsidRPr="005E33F5">
        <w:fldChar w:fldCharType="end"/>
      </w:r>
      <w:r w:rsidRPr="005E33F5">
        <w:rPr>
          <w:rFonts w:ascii="Times New Roman" w:eastAsia="Calibri" w:hAnsi="Times New Roman" w:cs="Times New Roman"/>
        </w:rPr>
        <w:t xml:space="preserve">, </w:t>
      </w:r>
      <w:r w:rsidR="00A70E3C" w:rsidRPr="005E33F5">
        <w:rPr>
          <w:rFonts w:ascii="Times New Roman" w:eastAsia="Calibri" w:hAnsi="Times New Roman" w:cs="Times New Roman"/>
        </w:rPr>
        <w:t>approximately 16Mt of all c</w:t>
      </w:r>
      <w:r w:rsidRPr="005E33F5">
        <w:rPr>
          <w:rFonts w:ascii="Times New Roman" w:eastAsia="Calibri" w:hAnsi="Times New Roman" w:cs="Times New Roman"/>
        </w:rPr>
        <w:t xml:space="preserve">hromite ore extracted from global reserves, </w:t>
      </w:r>
      <w:r w:rsidRPr="005E33F5">
        <w:rPr>
          <w:rFonts w:ascii="Times New Roman" w:eastAsia="Calibri" w:hAnsi="Times New Roman" w:cs="Times New Roman"/>
        </w:rPr>
        <w:lastRenderedPageBreak/>
        <w:t>equating to 55.59%, was lost in the intermediate stage between ore extraction and production into Fe-Cr.</w:t>
      </w:r>
      <w:r w:rsidR="0010555E" w:rsidRPr="005E33F5">
        <w:rPr>
          <w:rFonts w:ascii="Times New Roman" w:eastAsia="Calibri" w:hAnsi="Times New Roman" w:cs="Times New Roman"/>
        </w:rPr>
        <w:t xml:space="preserve"> There are two potential reasons as to this large percentage loss.</w:t>
      </w:r>
    </w:p>
    <w:p w:rsidR="00824102" w:rsidRPr="005E33F5" w:rsidRDefault="00BE59A9" w:rsidP="006956DB">
      <w:pPr>
        <w:spacing w:after="0" w:line="360" w:lineRule="auto"/>
        <w:ind w:firstLine="720"/>
        <w:jc w:val="both"/>
        <w:rPr>
          <w:rFonts w:ascii="Times New Roman" w:eastAsia="Calibri" w:hAnsi="Times New Roman" w:cs="Times New Roman"/>
        </w:rPr>
      </w:pPr>
      <w:r w:rsidRPr="005E33F5">
        <w:rPr>
          <w:rFonts w:ascii="Times New Roman" w:eastAsia="Calibri" w:hAnsi="Times New Roman" w:cs="Times New Roman"/>
        </w:rPr>
        <w:t>Firstly the chromium</w:t>
      </w:r>
      <w:r w:rsidR="006956DB" w:rsidRPr="005E33F5">
        <w:rPr>
          <w:rFonts w:ascii="Times New Roman" w:eastAsia="Calibri" w:hAnsi="Times New Roman" w:cs="Times New Roman"/>
        </w:rPr>
        <w:t xml:space="preserve"> MFA model</w:t>
      </w:r>
      <w:r w:rsidR="0010555E" w:rsidRPr="005E33F5">
        <w:rPr>
          <w:rFonts w:ascii="Times New Roman" w:eastAsia="Calibri" w:hAnsi="Times New Roman" w:cs="Times New Roman"/>
        </w:rPr>
        <w:t xml:space="preserve"> could potentially be missing a vital production route</w:t>
      </w:r>
      <w:r w:rsidR="006956DB" w:rsidRPr="005E33F5">
        <w:rPr>
          <w:rFonts w:ascii="Times New Roman" w:eastAsia="Calibri" w:hAnsi="Times New Roman" w:cs="Times New Roman"/>
        </w:rPr>
        <w:t xml:space="preserve">, therefore leading to missing data. Thus explaining and accounting for such a large discrepancy. However input data utilised to create the MFA model was in line with data sources used, which included academic </w:t>
      </w:r>
      <w:r w:rsidR="006956DB" w:rsidRPr="005E33F5">
        <w:rPr>
          <w:rStyle w:val="ReferenceChar"/>
          <w:noProof/>
          <w:color w:val="auto"/>
        </w:rPr>
        <w:t>(Daigo et al. 2010)</w:t>
      </w:r>
      <w:r w:rsidR="006956DB" w:rsidRPr="005E33F5">
        <w:rPr>
          <w:rStyle w:val="ReferenceChar"/>
          <w:color w:val="auto"/>
        </w:rPr>
        <w:t xml:space="preserve"> </w:t>
      </w:r>
      <w:r w:rsidR="006956DB" w:rsidRPr="005E33F5">
        <w:rPr>
          <w:rFonts w:ascii="Times New Roman" w:eastAsia="Calibri" w:hAnsi="Times New Roman" w:cs="Times New Roman"/>
        </w:rPr>
        <w:t xml:space="preserve">and institutional (ICDA). The data sources stated that </w:t>
      </w:r>
      <w:r w:rsidR="002169D2" w:rsidRPr="005E33F5">
        <w:rPr>
          <w:rFonts w:ascii="Times New Roman" w:eastAsia="Calibri" w:hAnsi="Times New Roman" w:cs="Times New Roman"/>
        </w:rPr>
        <w:t>95% of c</w:t>
      </w:r>
      <w:r w:rsidR="006956DB" w:rsidRPr="005E33F5">
        <w:rPr>
          <w:rFonts w:ascii="Times New Roman" w:eastAsia="Calibri" w:hAnsi="Times New Roman" w:cs="Times New Roman"/>
        </w:rPr>
        <w:t xml:space="preserve">hromite used in metallurgical applications is consumed in the form of Fe-Cr. </w:t>
      </w:r>
      <w:r w:rsidR="00824102" w:rsidRPr="005E33F5">
        <w:rPr>
          <w:rFonts w:ascii="Times New Roman" w:eastAsia="Calibri" w:hAnsi="Times New Roman" w:cs="Times New Roman"/>
        </w:rPr>
        <w:t xml:space="preserve">Although the assumption that the chemical </w:t>
      </w:r>
      <w:r w:rsidR="002B1407" w:rsidRPr="005E33F5">
        <w:rPr>
          <w:rFonts w:ascii="Times New Roman" w:eastAsia="Calibri" w:hAnsi="Times New Roman" w:cs="Times New Roman"/>
        </w:rPr>
        <w:t>and refractory industries use chromium</w:t>
      </w:r>
      <w:r w:rsidR="00824102" w:rsidRPr="005E33F5">
        <w:rPr>
          <w:rFonts w:ascii="Times New Roman" w:eastAsia="Calibri" w:hAnsi="Times New Roman" w:cs="Times New Roman"/>
        </w:rPr>
        <w:t xml:space="preserve"> melt</w:t>
      </w:r>
      <w:r w:rsidR="006956DB" w:rsidRPr="005E33F5">
        <w:rPr>
          <w:rFonts w:ascii="Times New Roman" w:eastAsia="Calibri" w:hAnsi="Times New Roman" w:cs="Times New Roman"/>
        </w:rPr>
        <w:t>-</w:t>
      </w:r>
      <w:r w:rsidR="00824102" w:rsidRPr="005E33F5">
        <w:rPr>
          <w:rFonts w:ascii="Times New Roman" w:eastAsia="Calibri" w:hAnsi="Times New Roman" w:cs="Times New Roman"/>
        </w:rPr>
        <w:t>stock products in the same proportions as the metallurgical industry (9</w:t>
      </w:r>
      <w:r w:rsidR="006956DB" w:rsidRPr="005E33F5">
        <w:rPr>
          <w:rFonts w:ascii="Times New Roman" w:eastAsia="Calibri" w:hAnsi="Times New Roman" w:cs="Times New Roman"/>
        </w:rPr>
        <w:t>5% Fe</w:t>
      </w:r>
      <w:r w:rsidR="008C4F7C" w:rsidRPr="005E33F5">
        <w:rPr>
          <w:rFonts w:ascii="Times New Roman" w:eastAsia="Calibri" w:hAnsi="Times New Roman" w:cs="Times New Roman"/>
        </w:rPr>
        <w:t>-</w:t>
      </w:r>
      <w:r w:rsidR="006956DB" w:rsidRPr="005E33F5">
        <w:rPr>
          <w:rFonts w:ascii="Times New Roman" w:eastAsia="Calibri" w:hAnsi="Times New Roman" w:cs="Times New Roman"/>
        </w:rPr>
        <w:t>Cr, 5% Cr ore) may have le</w:t>
      </w:r>
      <w:r w:rsidR="00824102" w:rsidRPr="005E33F5">
        <w:rPr>
          <w:rFonts w:ascii="Times New Roman" w:eastAsia="Calibri" w:hAnsi="Times New Roman" w:cs="Times New Roman"/>
        </w:rPr>
        <w:t>d to some degree of inaccuracy</w:t>
      </w:r>
      <w:r w:rsidR="006956DB" w:rsidRPr="005E33F5">
        <w:rPr>
          <w:rFonts w:ascii="Times New Roman" w:eastAsia="Calibri" w:hAnsi="Times New Roman" w:cs="Times New Roman"/>
        </w:rPr>
        <w:t>. T</w:t>
      </w:r>
      <w:r w:rsidR="00824102" w:rsidRPr="005E33F5">
        <w:rPr>
          <w:rFonts w:ascii="Times New Roman" w:eastAsia="Calibri" w:hAnsi="Times New Roman" w:cs="Times New Roman"/>
        </w:rPr>
        <w:t>he</w:t>
      </w:r>
      <w:r w:rsidR="002169D2" w:rsidRPr="005E33F5">
        <w:rPr>
          <w:rFonts w:ascii="Times New Roman" w:eastAsia="Calibri" w:hAnsi="Times New Roman" w:cs="Times New Roman"/>
        </w:rPr>
        <w:t>se sectors make up only 10% of c</w:t>
      </w:r>
      <w:r w:rsidR="00824102" w:rsidRPr="005E33F5">
        <w:rPr>
          <w:rFonts w:ascii="Times New Roman" w:eastAsia="Calibri" w:hAnsi="Times New Roman" w:cs="Times New Roman"/>
        </w:rPr>
        <w:t>hromite consumption and hence would not be expected to lead to such a large potential discrepancy. Furthermore, chemical and refractory input data was accounted for at the application stage of the MFA m</w:t>
      </w:r>
      <w:r w:rsidR="006956DB" w:rsidRPr="005E33F5">
        <w:rPr>
          <w:rFonts w:ascii="Times New Roman" w:eastAsia="Calibri" w:hAnsi="Times New Roman" w:cs="Times New Roman"/>
        </w:rPr>
        <w:t>odel</w:t>
      </w:r>
      <w:r w:rsidR="00824102" w:rsidRPr="005E33F5">
        <w:rPr>
          <w:rFonts w:ascii="Times New Roman" w:eastAsia="Calibri" w:hAnsi="Times New Roman" w:cs="Times New Roman"/>
        </w:rPr>
        <w:t>.</w:t>
      </w:r>
    </w:p>
    <w:p w:rsidR="008C4F7C" w:rsidRPr="005E33F5" w:rsidRDefault="002169D2" w:rsidP="008C4F7C">
      <w:pPr>
        <w:spacing w:after="0" w:line="360" w:lineRule="auto"/>
        <w:ind w:firstLine="720"/>
        <w:jc w:val="both"/>
        <w:rPr>
          <w:rFonts w:ascii="Times New Roman" w:eastAsia="Calibri" w:hAnsi="Times New Roman" w:cs="Times New Roman"/>
        </w:rPr>
      </w:pPr>
      <w:r w:rsidRPr="005E33F5">
        <w:rPr>
          <w:rFonts w:ascii="Times New Roman" w:eastAsia="Calibri" w:hAnsi="Times New Roman" w:cs="Times New Roman"/>
        </w:rPr>
        <w:t xml:space="preserve">The second possible explanation for the low yield of Fe-Cr from chromite </w:t>
      </w:r>
      <w:r w:rsidR="00824102" w:rsidRPr="005E33F5">
        <w:rPr>
          <w:rFonts w:ascii="Times New Roman" w:eastAsia="Calibri" w:hAnsi="Times New Roman" w:cs="Times New Roman"/>
        </w:rPr>
        <w:t>is the clas</w:t>
      </w:r>
      <w:r w:rsidRPr="005E33F5">
        <w:rPr>
          <w:rFonts w:ascii="Times New Roman" w:eastAsia="Calibri" w:hAnsi="Times New Roman" w:cs="Times New Roman"/>
        </w:rPr>
        <w:t>sification of a shipping grade c</w:t>
      </w:r>
      <w:r w:rsidR="00824102" w:rsidRPr="005E33F5">
        <w:rPr>
          <w:rFonts w:ascii="Times New Roman" w:eastAsia="Calibri" w:hAnsi="Times New Roman" w:cs="Times New Roman"/>
        </w:rPr>
        <w:t xml:space="preserve">hromite reserve by the USGS. </w:t>
      </w:r>
      <w:r w:rsidR="005F3098" w:rsidRPr="005E33F5">
        <w:rPr>
          <w:rFonts w:ascii="Times New Roman" w:eastAsia="Calibri" w:hAnsi="Times New Roman" w:cs="Times New Roman"/>
        </w:rPr>
        <w:t xml:space="preserve">This classification states that a reserve classified as ‘shipping grade’, is normalised to contain 45% chromite. </w:t>
      </w:r>
      <w:r w:rsidR="008C4F7C" w:rsidRPr="005E33F5">
        <w:rPr>
          <w:rFonts w:ascii="Times New Roman" w:eastAsia="Calibri" w:hAnsi="Times New Roman" w:cs="Times New Roman"/>
        </w:rPr>
        <w:t>Therefore material will be lost as wastage in the form of charge and further losses would be occurred during processing of chromite to Fe-Cr. Hence a yield of approxim</w:t>
      </w:r>
      <w:r w:rsidR="002B1407" w:rsidRPr="005E33F5">
        <w:rPr>
          <w:rFonts w:ascii="Times New Roman" w:eastAsia="Calibri" w:hAnsi="Times New Roman" w:cs="Times New Roman"/>
        </w:rPr>
        <w:t>ately 40% Fe-Cr from extracted c</w:t>
      </w:r>
      <w:r w:rsidR="008C4F7C" w:rsidRPr="005E33F5">
        <w:rPr>
          <w:rFonts w:ascii="Times New Roman" w:eastAsia="Calibri" w:hAnsi="Times New Roman" w:cs="Times New Roman"/>
        </w:rPr>
        <w:t xml:space="preserve">hromite (plus charge) does not seem unreasonable, despite the volume of wastage looking to be very high initially. </w:t>
      </w:r>
      <w:r w:rsidR="005F3098" w:rsidRPr="005E33F5">
        <w:rPr>
          <w:rFonts w:ascii="Times New Roman" w:eastAsia="Calibri" w:hAnsi="Times New Roman" w:cs="Times New Roman"/>
        </w:rPr>
        <w:t>In addition not all chromite can be produced straight into Fe-Cr</w:t>
      </w:r>
      <w:r w:rsidR="008C4F7C" w:rsidRPr="005E33F5">
        <w:rPr>
          <w:rFonts w:ascii="Times New Roman" w:eastAsia="Calibri" w:hAnsi="Times New Roman" w:cs="Times New Roman"/>
        </w:rPr>
        <w:t>.</w:t>
      </w:r>
    </w:p>
    <w:p w:rsidR="008C4F7C" w:rsidRPr="005E33F5" w:rsidRDefault="00824102" w:rsidP="008C4F7C">
      <w:pPr>
        <w:spacing w:after="0" w:line="360" w:lineRule="auto"/>
        <w:ind w:firstLine="720"/>
        <w:jc w:val="both"/>
        <w:rPr>
          <w:rFonts w:ascii="Times New Roman" w:eastAsia="Calibri" w:hAnsi="Times New Roman" w:cs="Times New Roman"/>
        </w:rPr>
      </w:pPr>
      <w:r w:rsidRPr="005E33F5">
        <w:rPr>
          <w:rFonts w:ascii="Times New Roman" w:eastAsia="Calibri" w:hAnsi="Times New Roman" w:cs="Times New Roman"/>
        </w:rPr>
        <w:t>A potential hypothesis that can be drawn from these results is that the low yield of Fe</w:t>
      </w:r>
      <w:r w:rsidR="002B1407" w:rsidRPr="005E33F5">
        <w:rPr>
          <w:rFonts w:ascii="Times New Roman" w:eastAsia="Calibri" w:hAnsi="Times New Roman" w:cs="Times New Roman"/>
        </w:rPr>
        <w:t>-Cr from c</w:t>
      </w:r>
      <w:r w:rsidR="008C4F7C" w:rsidRPr="005E33F5">
        <w:rPr>
          <w:rFonts w:ascii="Times New Roman" w:eastAsia="Calibri" w:hAnsi="Times New Roman" w:cs="Times New Roman"/>
        </w:rPr>
        <w:t>hromite (29.0Mt to 12.1</w:t>
      </w:r>
      <w:r w:rsidRPr="005E33F5">
        <w:rPr>
          <w:rFonts w:ascii="Times New Roman" w:eastAsia="Calibri" w:hAnsi="Times New Roman" w:cs="Times New Roman"/>
        </w:rPr>
        <w:t xml:space="preserve"> Mt) could be the reasoning behind th</w:t>
      </w:r>
      <w:r w:rsidR="002B1407" w:rsidRPr="005E33F5">
        <w:rPr>
          <w:rFonts w:ascii="Times New Roman" w:eastAsia="Calibri" w:hAnsi="Times New Roman" w:cs="Times New Roman"/>
        </w:rPr>
        <w:t>e high levels of recycling for chromium</w:t>
      </w:r>
      <w:r w:rsidRPr="005E33F5">
        <w:rPr>
          <w:rFonts w:ascii="Times New Roman" w:eastAsia="Calibri" w:hAnsi="Times New Roman" w:cs="Times New Roman"/>
        </w:rPr>
        <w:t xml:space="preserve">. </w:t>
      </w:r>
      <w:r w:rsidR="008C4F7C" w:rsidRPr="005E33F5">
        <w:rPr>
          <w:rFonts w:ascii="Times New Roman" w:eastAsia="Calibri" w:hAnsi="Times New Roman" w:cs="Times New Roman"/>
        </w:rPr>
        <w:t xml:space="preserve">As is displayed in </w:t>
      </w:r>
      <w:r w:rsidR="00A6415F" w:rsidRPr="005E33F5">
        <w:fldChar w:fldCharType="begin"/>
      </w:r>
      <w:r w:rsidR="00A6415F" w:rsidRPr="005E33F5">
        <w:instrText xml:space="preserve"> REF _Ref474686765 \h  \* MERGEFORMAT </w:instrText>
      </w:r>
      <w:r w:rsidR="00A6415F" w:rsidRPr="005E33F5">
        <w:fldChar w:fldCharType="separate"/>
      </w:r>
      <w:r w:rsidR="009F5483" w:rsidRPr="009F5483">
        <w:rPr>
          <w:rStyle w:val="FiguresChar"/>
          <w:color w:val="auto"/>
        </w:rPr>
        <w:t>Figure 13</w:t>
      </w:r>
      <w:r w:rsidR="00A6415F" w:rsidRPr="005E33F5">
        <w:fldChar w:fldCharType="end"/>
      </w:r>
      <w:r w:rsidR="001B3E74">
        <w:rPr>
          <w:rFonts w:ascii="Times New Roman" w:eastAsia="Calibri" w:hAnsi="Times New Roman" w:cs="Times New Roman"/>
        </w:rPr>
        <w:t>, the EO</w:t>
      </w:r>
      <w:r w:rsidR="00331501" w:rsidRPr="005E33F5">
        <w:rPr>
          <w:rFonts w:ascii="Times New Roman" w:eastAsia="Calibri" w:hAnsi="Times New Roman" w:cs="Times New Roman"/>
        </w:rPr>
        <w:t>L-RR</w:t>
      </w:r>
      <w:r w:rsidR="002B1407" w:rsidRPr="005E33F5">
        <w:rPr>
          <w:rFonts w:ascii="Times New Roman" w:eastAsia="Calibri" w:hAnsi="Times New Roman" w:cs="Times New Roman"/>
        </w:rPr>
        <w:t xml:space="preserve"> of chromium</w:t>
      </w:r>
      <w:r w:rsidRPr="005E33F5">
        <w:rPr>
          <w:rFonts w:ascii="Times New Roman" w:eastAsia="Calibri" w:hAnsi="Times New Roman" w:cs="Times New Roman"/>
        </w:rPr>
        <w:t xml:space="preserve"> metal is in excess of 50%. </w:t>
      </w:r>
    </w:p>
    <w:p w:rsidR="008C4F7C" w:rsidRPr="005E33F5" w:rsidRDefault="008C4F7C" w:rsidP="008C4F7C">
      <w:pPr>
        <w:spacing w:after="0" w:line="360" w:lineRule="auto"/>
        <w:ind w:firstLine="720"/>
        <w:jc w:val="both"/>
        <w:rPr>
          <w:rFonts w:ascii="Times New Roman" w:eastAsia="Calibri" w:hAnsi="Times New Roman" w:cs="Times New Roman"/>
        </w:rPr>
      </w:pPr>
      <w:r w:rsidRPr="005E33F5">
        <w:rPr>
          <w:b/>
          <w:i/>
          <w:noProof/>
        </w:rPr>
        <w:drawing>
          <wp:inline distT="0" distB="0" distL="0" distR="0">
            <wp:extent cx="4009496" cy="2856877"/>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12-07 at 15.31.02.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016405" cy="2861800"/>
                    </a:xfrm>
                    <a:prstGeom prst="rect">
                      <a:avLst/>
                    </a:prstGeom>
                  </pic:spPr>
                </pic:pic>
              </a:graphicData>
            </a:graphic>
          </wp:inline>
        </w:drawing>
      </w:r>
    </w:p>
    <w:p w:rsidR="008C4F7C" w:rsidRPr="005E33F5" w:rsidRDefault="008C4F7C" w:rsidP="008C4F7C">
      <w:pPr>
        <w:spacing w:line="360" w:lineRule="auto"/>
        <w:jc w:val="both"/>
        <w:rPr>
          <w:rFonts w:ascii="Times New Roman" w:eastAsia="Calibri" w:hAnsi="Times New Roman" w:cs="Times New Roman"/>
        </w:rPr>
      </w:pPr>
      <w:bookmarkStart w:id="108" w:name="_Ref474686765"/>
      <w:bookmarkStart w:id="109" w:name="_Toc495848346"/>
      <w:r w:rsidRPr="005E33F5">
        <w:rPr>
          <w:rFonts w:ascii="Times New Roman" w:hAnsi="Times New Roman" w:cs="Times New Roman"/>
        </w:rPr>
        <w:t xml:space="preserve">Figure </w:t>
      </w:r>
      <w:r w:rsidR="009A0ED7" w:rsidRPr="005E33F5">
        <w:rPr>
          <w:rFonts w:ascii="Times New Roman" w:hAnsi="Times New Roman" w:cs="Times New Roman"/>
        </w:rPr>
        <w:fldChar w:fldCharType="begin"/>
      </w:r>
      <w:r w:rsidRPr="005E33F5">
        <w:rPr>
          <w:rFonts w:ascii="Times New Roman" w:hAnsi="Times New Roman" w:cs="Times New Roman"/>
        </w:rPr>
        <w:instrText xml:space="preserve"> SEQ Figure \* ARABIC </w:instrText>
      </w:r>
      <w:r w:rsidR="009A0ED7" w:rsidRPr="005E33F5">
        <w:rPr>
          <w:rFonts w:ascii="Times New Roman" w:hAnsi="Times New Roman" w:cs="Times New Roman"/>
        </w:rPr>
        <w:fldChar w:fldCharType="separate"/>
      </w:r>
      <w:r w:rsidR="009F5483">
        <w:rPr>
          <w:rFonts w:ascii="Times New Roman" w:hAnsi="Times New Roman" w:cs="Times New Roman"/>
          <w:noProof/>
        </w:rPr>
        <w:t>13</w:t>
      </w:r>
      <w:r w:rsidR="009A0ED7" w:rsidRPr="005E33F5">
        <w:rPr>
          <w:rFonts w:ascii="Times New Roman" w:hAnsi="Times New Roman" w:cs="Times New Roman"/>
        </w:rPr>
        <w:fldChar w:fldCharType="end"/>
      </w:r>
      <w:bookmarkEnd w:id="108"/>
      <w:r w:rsidRPr="005E33F5">
        <w:rPr>
          <w:rFonts w:ascii="Times New Roman" w:hAnsi="Times New Roman" w:cs="Times New Roman"/>
        </w:rPr>
        <w:t xml:space="preserve">. Periodic table, from UNEP </w:t>
      </w:r>
      <w:r w:rsidRPr="005E33F5">
        <w:rPr>
          <w:rFonts w:ascii="Times New Roman" w:hAnsi="Times New Roman" w:cs="Times New Roman"/>
          <w:lang w:eastAsia="ja-JP"/>
        </w:rPr>
        <w:t xml:space="preserve">Recycling Rates of Metals: A </w:t>
      </w:r>
      <w:r w:rsidR="001B3E74">
        <w:rPr>
          <w:rFonts w:ascii="Times New Roman" w:hAnsi="Times New Roman" w:cs="Times New Roman"/>
          <w:lang w:eastAsia="ja-JP"/>
        </w:rPr>
        <w:t>Status Report, displaying the EO</w:t>
      </w:r>
      <w:r w:rsidRPr="005E33F5">
        <w:rPr>
          <w:rFonts w:ascii="Times New Roman" w:hAnsi="Times New Roman" w:cs="Times New Roman"/>
          <w:lang w:eastAsia="ja-JP"/>
        </w:rPr>
        <w:t xml:space="preserve">L RR of metals </w:t>
      </w:r>
      <w:r w:rsidRPr="005E33F5">
        <w:rPr>
          <w:rStyle w:val="ReferenceChar"/>
          <w:noProof/>
          <w:color w:val="auto"/>
        </w:rPr>
        <w:t>(Graedel et al. 2011)</w:t>
      </w:r>
      <w:r w:rsidRPr="005E33F5">
        <w:rPr>
          <w:rFonts w:ascii="Times New Roman" w:hAnsi="Times New Roman" w:cs="Times New Roman"/>
          <w:lang w:eastAsia="ja-JP"/>
        </w:rPr>
        <w:t>.</w:t>
      </w:r>
      <w:bookmarkEnd w:id="109"/>
    </w:p>
    <w:p w:rsidR="006A62D1" w:rsidRPr="005B3139" w:rsidRDefault="00824102" w:rsidP="005E33F5">
      <w:pPr>
        <w:spacing w:after="0" w:line="360" w:lineRule="auto"/>
        <w:ind w:firstLine="720"/>
        <w:jc w:val="both"/>
        <w:rPr>
          <w:rFonts w:ascii="Times New Roman" w:eastAsia="Calibri" w:hAnsi="Times New Roman" w:cs="Times New Roman"/>
        </w:rPr>
      </w:pPr>
      <w:r w:rsidRPr="005E33F5">
        <w:rPr>
          <w:rFonts w:ascii="Times New Roman" w:eastAsia="Calibri" w:hAnsi="Times New Roman" w:cs="Times New Roman"/>
        </w:rPr>
        <w:lastRenderedPageBreak/>
        <w:t>Th</w:t>
      </w:r>
      <w:r w:rsidR="003B1BD7">
        <w:rPr>
          <w:rFonts w:ascii="Times New Roman" w:eastAsia="Calibri" w:hAnsi="Times New Roman" w:cs="Times New Roman"/>
        </w:rPr>
        <w:t xml:space="preserve">e EOL-RR </w:t>
      </w:r>
      <w:r w:rsidR="002B1407" w:rsidRPr="005E33F5">
        <w:rPr>
          <w:rFonts w:ascii="Times New Roman" w:eastAsia="Calibri" w:hAnsi="Times New Roman" w:cs="Times New Roman"/>
        </w:rPr>
        <w:t xml:space="preserve">of 93% and 87% has stated by </w:t>
      </w:r>
      <w:r w:rsidR="00275395" w:rsidRPr="005E33F5">
        <w:rPr>
          <w:rStyle w:val="ReferenceChar"/>
          <w:noProof/>
          <w:color w:val="auto"/>
        </w:rPr>
        <w:t>(Johnson et al. 2006)</w:t>
      </w:r>
      <w:r w:rsidR="002B1407" w:rsidRPr="005E33F5">
        <w:rPr>
          <w:rFonts w:ascii="Times New Roman" w:eastAsia="Calibri" w:hAnsi="Times New Roman" w:cs="Times New Roman"/>
        </w:rPr>
        <w:t xml:space="preserve"> </w:t>
      </w:r>
      <w:r w:rsidR="00275395" w:rsidRPr="005E33F5">
        <w:rPr>
          <w:rFonts w:ascii="Times New Roman" w:eastAsia="Calibri" w:hAnsi="Times New Roman" w:cs="Times New Roman"/>
        </w:rPr>
        <w:t xml:space="preserve">and </w:t>
      </w:r>
      <w:r w:rsidR="00275395" w:rsidRPr="005E33F5">
        <w:rPr>
          <w:rStyle w:val="ReferenceChar"/>
          <w:noProof/>
          <w:color w:val="auto"/>
        </w:rPr>
        <w:t>(Papp 2004)</w:t>
      </w:r>
      <w:r w:rsidR="002B1407" w:rsidRPr="005E33F5">
        <w:rPr>
          <w:rFonts w:ascii="Times New Roman" w:eastAsia="Calibri" w:hAnsi="Times New Roman" w:cs="Times New Roman"/>
        </w:rPr>
        <w:t xml:space="preserve"> are substantially highe</w:t>
      </w:r>
      <w:r w:rsidR="00A70E3C" w:rsidRPr="005E33F5">
        <w:rPr>
          <w:rFonts w:ascii="Times New Roman" w:eastAsia="Calibri" w:hAnsi="Times New Roman" w:cs="Times New Roman"/>
        </w:rPr>
        <w:t>r than the other metals (i.e. molybdenum, tungsten and seaborgium</w:t>
      </w:r>
      <w:r w:rsidR="002B1407" w:rsidRPr="005E33F5">
        <w:rPr>
          <w:rFonts w:ascii="Times New Roman" w:eastAsia="Calibri" w:hAnsi="Times New Roman" w:cs="Times New Roman"/>
        </w:rPr>
        <w:t>) also present in group VI of the periodic table. Indeed it is surprising to see chromium classified in the same ensemble of gold and silver since chromium is traditionally not a ‘valuable material’.</w:t>
      </w:r>
      <w:r w:rsidR="00034724" w:rsidRPr="005E33F5">
        <w:rPr>
          <w:rFonts w:ascii="Times New Roman" w:eastAsia="Calibri" w:hAnsi="Times New Roman" w:cs="Times New Roman"/>
        </w:rPr>
        <w:t xml:space="preserve"> </w:t>
      </w:r>
      <w:r w:rsidRPr="005E33F5">
        <w:rPr>
          <w:rFonts w:ascii="Times New Roman" w:eastAsia="Calibri" w:hAnsi="Times New Roman" w:cs="Times New Roman"/>
        </w:rPr>
        <w:t>Th</w:t>
      </w:r>
      <w:r w:rsidR="002B1407" w:rsidRPr="005E33F5">
        <w:rPr>
          <w:rFonts w:ascii="Times New Roman" w:eastAsia="Calibri" w:hAnsi="Times New Roman" w:cs="Times New Roman"/>
        </w:rPr>
        <w:t xml:space="preserve">erefore, the high levels of chromium </w:t>
      </w:r>
      <w:r w:rsidRPr="005E33F5">
        <w:rPr>
          <w:rFonts w:ascii="Times New Roman" w:eastAsia="Calibri" w:hAnsi="Times New Roman" w:cs="Times New Roman"/>
        </w:rPr>
        <w:t>recycling could be due to the inefficienc</w:t>
      </w:r>
      <w:r w:rsidR="002B1407" w:rsidRPr="005E33F5">
        <w:rPr>
          <w:rFonts w:ascii="Times New Roman" w:eastAsia="Calibri" w:hAnsi="Times New Roman" w:cs="Times New Roman"/>
        </w:rPr>
        <w:t>y of producing primary chromium from c</w:t>
      </w:r>
      <w:r w:rsidRPr="005E33F5">
        <w:rPr>
          <w:rFonts w:ascii="Times New Roman" w:eastAsia="Calibri" w:hAnsi="Times New Roman" w:cs="Times New Roman"/>
        </w:rPr>
        <w:t>hromite. For this reason, it may be industrially preferable to extract the maximum possible yield from ‘urban mines’, as coined by</w:t>
      </w:r>
      <w:r w:rsidR="002B1407" w:rsidRPr="005E33F5">
        <w:rPr>
          <w:rFonts w:ascii="Times New Roman" w:eastAsia="Calibri" w:hAnsi="Times New Roman" w:cs="Times New Roman"/>
        </w:rPr>
        <w:t xml:space="preserve"> </w:t>
      </w:r>
      <w:r w:rsidR="002B1407" w:rsidRPr="005E33F5">
        <w:rPr>
          <w:rStyle w:val="ReferenceChar"/>
          <w:noProof/>
          <w:color w:val="auto"/>
        </w:rPr>
        <w:t>(Hagelüken</w:t>
      </w:r>
      <w:r w:rsidR="005D780F" w:rsidRPr="005E33F5">
        <w:rPr>
          <w:rStyle w:val="ReferenceChar"/>
          <w:noProof/>
          <w:color w:val="auto"/>
        </w:rPr>
        <w:t xml:space="preserve"> &amp; Meskers,</w:t>
      </w:r>
      <w:r w:rsidR="002B1407" w:rsidRPr="005E33F5">
        <w:rPr>
          <w:rStyle w:val="ReferenceChar"/>
          <w:noProof/>
          <w:color w:val="auto"/>
        </w:rPr>
        <w:t xml:space="preserve"> 2010)</w:t>
      </w:r>
      <w:r w:rsidR="00034724" w:rsidRPr="005E33F5">
        <w:rPr>
          <w:rFonts w:ascii="Times New Roman" w:eastAsia="Calibri" w:hAnsi="Times New Roman" w:cs="Times New Roman"/>
        </w:rPr>
        <w:t xml:space="preserve"> via </w:t>
      </w:r>
      <w:r w:rsidRPr="005E33F5">
        <w:rPr>
          <w:rFonts w:ascii="Times New Roman" w:eastAsia="Calibri" w:hAnsi="Times New Roman" w:cs="Times New Roman"/>
        </w:rPr>
        <w:t>EOL</w:t>
      </w:r>
      <w:r w:rsidR="009D738B" w:rsidRPr="005E33F5">
        <w:rPr>
          <w:rFonts w:ascii="Times New Roman" w:eastAsia="Calibri" w:hAnsi="Times New Roman" w:cs="Times New Roman"/>
        </w:rPr>
        <w:t xml:space="preserve">-RR </w:t>
      </w:r>
      <w:r w:rsidRPr="005E33F5">
        <w:rPr>
          <w:rFonts w:ascii="Times New Roman" w:eastAsia="Calibri" w:hAnsi="Times New Roman" w:cs="Times New Roman"/>
        </w:rPr>
        <w:t>instead of purely r</w:t>
      </w:r>
      <w:r w:rsidR="00034724" w:rsidRPr="005E33F5">
        <w:rPr>
          <w:rFonts w:ascii="Times New Roman" w:eastAsia="Calibri" w:hAnsi="Times New Roman" w:cs="Times New Roman"/>
        </w:rPr>
        <w:t>elying upon primary sources of chromium</w:t>
      </w:r>
      <w:r w:rsidRPr="005E33F5">
        <w:rPr>
          <w:rFonts w:ascii="Times New Roman" w:eastAsia="Calibri" w:hAnsi="Times New Roman" w:cs="Times New Roman"/>
        </w:rPr>
        <w:t>. By utilising these ‘urban mines’, the entire process for obtaining Fe</w:t>
      </w:r>
      <w:r w:rsidR="008C4F7C" w:rsidRPr="005E33F5">
        <w:rPr>
          <w:rFonts w:ascii="Times New Roman" w:eastAsia="Calibri" w:hAnsi="Times New Roman" w:cs="Times New Roman"/>
        </w:rPr>
        <w:t>-</w:t>
      </w:r>
      <w:r w:rsidR="00034724" w:rsidRPr="005E33F5">
        <w:rPr>
          <w:rFonts w:ascii="Times New Roman" w:eastAsia="Calibri" w:hAnsi="Times New Roman" w:cs="Times New Roman"/>
        </w:rPr>
        <w:t>Cr from c</w:t>
      </w:r>
      <w:r w:rsidRPr="005E33F5">
        <w:rPr>
          <w:rFonts w:ascii="Times New Roman" w:eastAsia="Calibri" w:hAnsi="Times New Roman" w:cs="Times New Roman"/>
        </w:rPr>
        <w:t>hromite can p</w:t>
      </w:r>
      <w:r w:rsidR="00034724" w:rsidRPr="005E33F5">
        <w:rPr>
          <w:rFonts w:ascii="Times New Roman" w:eastAsia="Calibri" w:hAnsi="Times New Roman" w:cs="Times New Roman"/>
        </w:rPr>
        <w:t>otentially be bypassed.</w:t>
      </w:r>
    </w:p>
    <w:p w:rsidR="006A62D1" w:rsidRPr="005B3139" w:rsidRDefault="006A62D1" w:rsidP="006A62D1">
      <w:pPr>
        <w:spacing w:line="360" w:lineRule="auto"/>
        <w:jc w:val="both"/>
        <w:rPr>
          <w:rFonts w:ascii="Times New Roman" w:eastAsia="Calibri" w:hAnsi="Times New Roman" w:cs="Times New Roman"/>
        </w:rPr>
        <w:sectPr w:rsidR="006A62D1" w:rsidRPr="005B3139">
          <w:pgSz w:w="11906" w:h="16838"/>
          <w:pgMar w:top="1440" w:right="1440" w:bottom="1440" w:left="1440" w:header="708" w:footer="708" w:gutter="0"/>
          <w:cols w:space="708"/>
          <w:docGrid w:linePitch="360"/>
        </w:sectPr>
      </w:pPr>
    </w:p>
    <w:p w:rsidR="006A62D1" w:rsidRPr="00045A87" w:rsidRDefault="00CC009D" w:rsidP="00045A87">
      <w:pPr>
        <w:pStyle w:val="Heading2"/>
        <w:spacing w:line="360" w:lineRule="auto"/>
        <w:rPr>
          <w:rFonts w:ascii="Times New Roman" w:eastAsia="Calibri Light" w:hAnsi="Times New Roman" w:cs="Times New Roman"/>
          <w:sz w:val="22"/>
          <w:szCs w:val="22"/>
        </w:rPr>
      </w:pPr>
      <w:r>
        <w:rPr>
          <w:rFonts w:ascii="Times New Roman" w:eastAsia="Calibri Light" w:hAnsi="Times New Roman" w:cs="Times New Roman"/>
          <w:sz w:val="22"/>
          <w:szCs w:val="22"/>
        </w:rPr>
        <w:lastRenderedPageBreak/>
        <w:t>5</w:t>
      </w:r>
      <w:r w:rsidR="006A62D1" w:rsidRPr="005B3139">
        <w:rPr>
          <w:rFonts w:ascii="Times New Roman" w:eastAsia="Calibri Light" w:hAnsi="Times New Roman" w:cs="Times New Roman"/>
          <w:sz w:val="22"/>
          <w:szCs w:val="22"/>
        </w:rPr>
        <w:t>.3 Global Molybdenum MFA 2014</w:t>
      </w:r>
      <w:r w:rsidR="00FC6740">
        <w:rPr>
          <w:rFonts w:ascii="Times New Roman" w:eastAsia="Calibri Light" w:hAnsi="Times New Roman" w:cs="Times New Roman"/>
          <w:sz w:val="22"/>
          <w:szCs w:val="22"/>
        </w:rPr>
        <w:t xml:space="preserve"> </w:t>
      </w:r>
    </w:p>
    <w:p w:rsidR="006A62D1" w:rsidRDefault="008D3BDC" w:rsidP="006A62D1">
      <w:pPr>
        <w:spacing w:line="360" w:lineRule="auto"/>
        <w:jc w:val="both"/>
        <w:rPr>
          <w:rFonts w:ascii="Times New Roman" w:hAnsi="Times New Roman" w:cs="Times New Roman"/>
        </w:rPr>
      </w:pPr>
      <w:r>
        <w:rPr>
          <w:rFonts w:ascii="Times New Roman" w:hAnsi="Times New Roman" w:cs="Times New Roman"/>
          <w:noProof/>
        </w:rPr>
        <w:drawing>
          <wp:inline distT="0" distB="0" distL="0" distR="0">
            <wp:extent cx="9342727" cy="346740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355742" cy="3472234"/>
                    </a:xfrm>
                    <a:prstGeom prst="rect">
                      <a:avLst/>
                    </a:prstGeom>
                    <a:noFill/>
                    <a:ln>
                      <a:noFill/>
                    </a:ln>
                  </pic:spPr>
                </pic:pic>
              </a:graphicData>
            </a:graphic>
          </wp:inline>
        </w:drawing>
      </w:r>
    </w:p>
    <w:p w:rsidR="006A62D1" w:rsidRPr="00095771" w:rsidRDefault="006A62D1" w:rsidP="006A62D1">
      <w:pPr>
        <w:rPr>
          <w:rFonts w:ascii="Times New Roman" w:hAnsi="Times New Roman" w:cs="Times New Roman"/>
        </w:rPr>
      </w:pPr>
      <w:bookmarkStart w:id="110" w:name="_Ref468302702"/>
      <w:bookmarkStart w:id="111" w:name="_Toc495848347"/>
      <w:r w:rsidRPr="00095771">
        <w:rPr>
          <w:rFonts w:ascii="Times New Roman" w:hAnsi="Times New Roman" w:cs="Times New Roman"/>
        </w:rPr>
        <w:t xml:space="preserve">Figure </w:t>
      </w:r>
      <w:r w:rsidR="009A0ED7" w:rsidRPr="00095771">
        <w:rPr>
          <w:rFonts w:ascii="Times New Roman" w:hAnsi="Times New Roman" w:cs="Times New Roman"/>
        </w:rPr>
        <w:fldChar w:fldCharType="begin"/>
      </w:r>
      <w:r w:rsidRPr="00095771">
        <w:rPr>
          <w:rFonts w:ascii="Times New Roman" w:hAnsi="Times New Roman" w:cs="Times New Roman"/>
        </w:rPr>
        <w:instrText xml:space="preserve"> SEQ Figure \* ARABIC </w:instrText>
      </w:r>
      <w:r w:rsidR="009A0ED7" w:rsidRPr="00095771">
        <w:rPr>
          <w:rFonts w:ascii="Times New Roman" w:hAnsi="Times New Roman" w:cs="Times New Roman"/>
        </w:rPr>
        <w:fldChar w:fldCharType="separate"/>
      </w:r>
      <w:r w:rsidR="009F5483">
        <w:rPr>
          <w:rFonts w:ascii="Times New Roman" w:hAnsi="Times New Roman" w:cs="Times New Roman"/>
          <w:noProof/>
        </w:rPr>
        <w:t>14</w:t>
      </w:r>
      <w:r w:rsidR="009A0ED7" w:rsidRPr="00095771">
        <w:rPr>
          <w:rFonts w:ascii="Times New Roman" w:hAnsi="Times New Roman" w:cs="Times New Roman"/>
        </w:rPr>
        <w:fldChar w:fldCharType="end"/>
      </w:r>
      <w:bookmarkEnd w:id="110"/>
      <w:r w:rsidRPr="00095771">
        <w:rPr>
          <w:rFonts w:ascii="Times New Roman" w:hAnsi="Times New Roman" w:cs="Times New Roman"/>
        </w:rPr>
        <w:t xml:space="preserve">. </w:t>
      </w:r>
      <w:r w:rsidRPr="00095771">
        <w:rPr>
          <w:rFonts w:ascii="Times New Roman" w:eastAsia="Calibri" w:hAnsi="Times New Roman" w:cs="Times New Roman"/>
        </w:rPr>
        <w:t>Sankey diagram representing t</w:t>
      </w:r>
      <w:r w:rsidR="00487DB3" w:rsidRPr="00095771">
        <w:rPr>
          <w:rFonts w:ascii="Times New Roman" w:eastAsia="Calibri" w:hAnsi="Times New Roman" w:cs="Times New Roman"/>
        </w:rPr>
        <w:t>he estimated material flow of molybdenum</w:t>
      </w:r>
      <w:r w:rsidRPr="00095771">
        <w:rPr>
          <w:rFonts w:ascii="Times New Roman" w:eastAsia="Calibri" w:hAnsi="Times New Roman" w:cs="Times New Roman"/>
        </w:rPr>
        <w:t xml:space="preserve"> within global industry as of 2014.</w:t>
      </w:r>
      <w:bookmarkEnd w:id="111"/>
    </w:p>
    <w:p w:rsidR="006A62D1" w:rsidRPr="005B3139" w:rsidRDefault="006A62D1" w:rsidP="006A62D1">
      <w:pPr>
        <w:spacing w:line="360" w:lineRule="auto"/>
        <w:rPr>
          <w:rFonts w:ascii="Times New Roman" w:eastAsia="Calibri" w:hAnsi="Times New Roman" w:cs="Times New Roman"/>
        </w:rPr>
      </w:pPr>
      <w:r w:rsidRPr="00095771">
        <w:rPr>
          <w:rFonts w:ascii="Times New Roman" w:eastAsia="Calibri" w:hAnsi="Times New Roman" w:cs="Times New Roman"/>
        </w:rPr>
        <w:t>Key: Primary flow = Cyan, Recycled flow = Orange and Waste flow = Lime.</w:t>
      </w:r>
    </w:p>
    <w:p w:rsidR="006A62D1" w:rsidRPr="005B3139" w:rsidRDefault="006A62D1" w:rsidP="006A62D1">
      <w:pPr>
        <w:spacing w:line="360" w:lineRule="auto"/>
        <w:rPr>
          <w:rFonts w:ascii="Times New Roman" w:eastAsia="Calibri" w:hAnsi="Times New Roman" w:cs="Times New Roman"/>
        </w:rPr>
        <w:sectPr w:rsidR="006A62D1" w:rsidRPr="005B3139" w:rsidSect="00D271A7">
          <w:footerReference w:type="default" r:id="rId68"/>
          <w:pgSz w:w="16838" w:h="11906" w:orient="landscape"/>
          <w:pgMar w:top="1440" w:right="1440" w:bottom="1440" w:left="1440" w:header="708" w:footer="708" w:gutter="0"/>
          <w:cols w:space="708"/>
          <w:titlePg/>
          <w:docGrid w:linePitch="360"/>
        </w:sectPr>
      </w:pPr>
    </w:p>
    <w:p w:rsidR="00555ABD" w:rsidRPr="00095771" w:rsidRDefault="00555ABD" w:rsidP="00123540">
      <w:pPr>
        <w:spacing w:after="0" w:line="360" w:lineRule="auto"/>
        <w:ind w:firstLine="720"/>
        <w:jc w:val="both"/>
        <w:rPr>
          <w:rFonts w:ascii="Times New Roman" w:eastAsia="Calibri" w:hAnsi="Times New Roman" w:cs="Times New Roman"/>
        </w:rPr>
      </w:pPr>
      <w:r w:rsidRPr="00095771">
        <w:rPr>
          <w:rStyle w:val="FiguresChar"/>
          <w:color w:val="auto"/>
        </w:rPr>
        <w:lastRenderedPageBreak/>
        <w:t xml:space="preserve"> </w:t>
      </w:r>
      <w:r w:rsidRPr="00095771">
        <w:rPr>
          <w:rFonts w:ascii="Times New Roman" w:eastAsia="Calibri" w:hAnsi="Times New Roman" w:cs="Times New Roman"/>
        </w:rPr>
        <w:t xml:space="preserve">The molybdenum </w:t>
      </w:r>
      <w:r w:rsidR="00D547ED" w:rsidRPr="00095771">
        <w:rPr>
          <w:rFonts w:ascii="Times New Roman" w:eastAsia="Calibri" w:hAnsi="Times New Roman" w:cs="Times New Roman"/>
        </w:rPr>
        <w:t xml:space="preserve">MFA, displayed in </w:t>
      </w:r>
      <w:r w:rsidR="00A6415F" w:rsidRPr="00095771">
        <w:fldChar w:fldCharType="begin"/>
      </w:r>
      <w:r w:rsidR="00A6415F" w:rsidRPr="00095771">
        <w:instrText xml:space="preserve"> REF _Ref468302702 \h  \* MERGEFORMAT </w:instrText>
      </w:r>
      <w:r w:rsidR="00A6415F" w:rsidRPr="00095771">
        <w:fldChar w:fldCharType="separate"/>
      </w:r>
      <w:r w:rsidR="009F5483" w:rsidRPr="009F5483">
        <w:rPr>
          <w:rStyle w:val="FiguresChar"/>
          <w:color w:val="auto"/>
        </w:rPr>
        <w:t>Figure 14</w:t>
      </w:r>
      <w:r w:rsidR="00A6415F" w:rsidRPr="00095771">
        <w:fldChar w:fldCharType="end"/>
      </w:r>
      <w:r w:rsidR="00D547ED" w:rsidRPr="00095771">
        <w:rPr>
          <w:rStyle w:val="FiguresChar"/>
          <w:color w:val="auto"/>
        </w:rPr>
        <w:t>,</w:t>
      </w:r>
      <w:r w:rsidRPr="00095771">
        <w:rPr>
          <w:rStyle w:val="FiguresChar"/>
          <w:color w:val="auto"/>
        </w:rPr>
        <w:t xml:space="preserve"> </w:t>
      </w:r>
      <w:r w:rsidR="006A62D1" w:rsidRPr="00095771">
        <w:rPr>
          <w:rFonts w:ascii="Times New Roman" w:eastAsia="Calibri" w:hAnsi="Times New Roman" w:cs="Times New Roman"/>
        </w:rPr>
        <w:t>illustrates that 266,250t of molybdenite, primary molybdenum ore, was mined in 2014. This was made up of several countries with China (38%), USA (25%) and Chile (15%) comprising the top th</w:t>
      </w:r>
      <w:r w:rsidR="00123540" w:rsidRPr="00095771">
        <w:rPr>
          <w:rFonts w:ascii="Times New Roman" w:eastAsia="Calibri" w:hAnsi="Times New Roman" w:cs="Times New Roman"/>
        </w:rPr>
        <w:t>ree global countries that mine</w:t>
      </w:r>
      <w:r w:rsidRPr="00095771">
        <w:rPr>
          <w:rFonts w:ascii="Times New Roman" w:eastAsia="Calibri" w:hAnsi="Times New Roman" w:cs="Times New Roman"/>
        </w:rPr>
        <w:t>d</w:t>
      </w:r>
      <w:r w:rsidR="00123540" w:rsidRPr="00095771">
        <w:rPr>
          <w:rFonts w:ascii="Times New Roman" w:eastAsia="Calibri" w:hAnsi="Times New Roman" w:cs="Times New Roman"/>
        </w:rPr>
        <w:t xml:space="preserve"> molybdenite.</w:t>
      </w:r>
      <w:r w:rsidR="006A62D1" w:rsidRPr="00095771">
        <w:rPr>
          <w:rFonts w:ascii="Times New Roman" w:eastAsia="Calibri" w:hAnsi="Times New Roman" w:cs="Times New Roman"/>
        </w:rPr>
        <w:t xml:space="preserve"> </w:t>
      </w:r>
    </w:p>
    <w:p w:rsidR="002A1F73" w:rsidRPr="00095771" w:rsidRDefault="00123540" w:rsidP="00123540">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In terms of refining molybdenite, approximately </w:t>
      </w:r>
      <w:r w:rsidR="00555ABD" w:rsidRPr="00095771">
        <w:rPr>
          <w:rFonts w:ascii="Times New Roman" w:eastAsia="Calibri" w:hAnsi="Times New Roman" w:cs="Times New Roman"/>
        </w:rPr>
        <w:t>11.5% of molybdenite was</w:t>
      </w:r>
      <w:r w:rsidRPr="00095771">
        <w:rPr>
          <w:rFonts w:ascii="Times New Roman" w:eastAsia="Calibri" w:hAnsi="Times New Roman" w:cs="Times New Roman"/>
        </w:rPr>
        <w:t xml:space="preserve"> lost as industrially un-usable ore concentrate. </w:t>
      </w:r>
      <w:r w:rsidR="00555ABD" w:rsidRPr="00095771">
        <w:rPr>
          <w:rFonts w:ascii="Times New Roman" w:eastAsia="Calibri" w:hAnsi="Times New Roman" w:cs="Times New Roman"/>
        </w:rPr>
        <w:t xml:space="preserve">The remaining molybdenite was broken down into primary products: Fe-Mo (35%), Upgrade Products (20%) and Tech Oxide (45%). </w:t>
      </w:r>
    </w:p>
    <w:p w:rsidR="006A62D1" w:rsidRPr="00095771" w:rsidRDefault="002A1F73" w:rsidP="003B3FB0">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In terms of generic applications, the top three molybdenum applications consisted of engineering steels (43%), stainless steels (22%) and chemicals (12%). With the availability of percentage of molybdenum from scrap data from IMOA, </w:t>
      </w:r>
      <w:r w:rsidR="00A6415F" w:rsidRPr="00095771">
        <w:fldChar w:fldCharType="begin"/>
      </w:r>
      <w:r w:rsidR="00A6415F" w:rsidRPr="00095771">
        <w:instrText xml:space="preserve"> REF _Ref468302702 \h  \* MERGEFORMAT </w:instrText>
      </w:r>
      <w:r w:rsidR="00A6415F" w:rsidRPr="00095771">
        <w:fldChar w:fldCharType="separate"/>
      </w:r>
      <w:r w:rsidR="009F5483" w:rsidRPr="009F5483">
        <w:rPr>
          <w:rStyle w:val="FiguresChar"/>
          <w:color w:val="auto"/>
        </w:rPr>
        <w:t>Figure 14</w:t>
      </w:r>
      <w:r w:rsidR="00A6415F" w:rsidRPr="00095771">
        <w:fldChar w:fldCharType="end"/>
      </w:r>
      <w:r w:rsidRPr="00095771">
        <w:rPr>
          <w:rFonts w:ascii="Times New Roman" w:eastAsia="Calibri" w:hAnsi="Times New Roman" w:cs="Times New Roman"/>
        </w:rPr>
        <w:t xml:space="preserve"> reveals</w:t>
      </w:r>
      <w:r w:rsidR="00D547ED" w:rsidRPr="00095771">
        <w:rPr>
          <w:rFonts w:ascii="Times New Roman" w:eastAsia="Calibri" w:hAnsi="Times New Roman" w:cs="Times New Roman"/>
        </w:rPr>
        <w:t xml:space="preserve"> the</w:t>
      </w:r>
      <w:r w:rsidRPr="00095771">
        <w:rPr>
          <w:rFonts w:ascii="Times New Roman" w:eastAsia="Calibri" w:hAnsi="Times New Roman" w:cs="Times New Roman"/>
        </w:rPr>
        <w:t xml:space="preserve"> largest sources of recycled scrap provided by stainless steel (40%), engineering steels (20%) and tool steels (11%). End of life scrap is estimated to account for 27% of input material for refining. In terms of the overall model, primary production accounts for 75% whilst t</w:t>
      </w:r>
      <w:r w:rsidR="00D547ED" w:rsidRPr="00095771">
        <w:rPr>
          <w:rFonts w:ascii="Times New Roman" w:eastAsia="Calibri" w:hAnsi="Times New Roman" w:cs="Times New Roman"/>
        </w:rPr>
        <w:t>he remainder (</w:t>
      </w:r>
      <w:r w:rsidRPr="00095771">
        <w:rPr>
          <w:rFonts w:ascii="Times New Roman" w:eastAsia="Calibri" w:hAnsi="Times New Roman" w:cs="Times New Roman"/>
        </w:rPr>
        <w:t>25%)</w:t>
      </w:r>
      <w:r w:rsidR="00D547ED" w:rsidRPr="00095771">
        <w:rPr>
          <w:rFonts w:ascii="Times New Roman" w:eastAsia="Calibri" w:hAnsi="Times New Roman" w:cs="Times New Roman"/>
        </w:rPr>
        <w:t>,</w:t>
      </w:r>
      <w:r w:rsidR="00035C12" w:rsidRPr="00095771">
        <w:rPr>
          <w:rFonts w:ascii="Times New Roman" w:eastAsia="Calibri" w:hAnsi="Times New Roman" w:cs="Times New Roman"/>
        </w:rPr>
        <w:t xml:space="preserve"> was</w:t>
      </w:r>
      <w:r w:rsidRPr="00095771">
        <w:rPr>
          <w:rFonts w:ascii="Times New Roman" w:eastAsia="Calibri" w:hAnsi="Times New Roman" w:cs="Times New Roman"/>
        </w:rPr>
        <w:t xml:space="preserve"> assumed to be from recycled molybdenum</w:t>
      </w:r>
      <w:r w:rsidR="003B3FB0" w:rsidRPr="00095771">
        <w:rPr>
          <w:rFonts w:ascii="Times New Roman" w:eastAsia="Calibri" w:hAnsi="Times New Roman" w:cs="Times New Roman"/>
        </w:rPr>
        <w:t>.</w:t>
      </w:r>
    </w:p>
    <w:p w:rsidR="00DB5C4A" w:rsidRPr="00095771" w:rsidRDefault="00035C12" w:rsidP="00DB5C4A">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The initial findings from</w:t>
      </w:r>
      <w:r w:rsidR="00D547ED" w:rsidRPr="00095771">
        <w:rPr>
          <w:rFonts w:ascii="Times New Roman" w:eastAsia="Calibri" w:hAnsi="Times New Roman" w:cs="Times New Roman"/>
        </w:rPr>
        <w:t xml:space="preserve"> the molybdenum MFA study</w:t>
      </w:r>
      <w:r w:rsidR="00BE59A9" w:rsidRPr="00095771">
        <w:rPr>
          <w:rFonts w:ascii="Times New Roman" w:eastAsia="Calibri" w:hAnsi="Times New Roman" w:cs="Times New Roman"/>
        </w:rPr>
        <w:t xml:space="preserve"> </w:t>
      </w:r>
      <w:r w:rsidRPr="00095771">
        <w:rPr>
          <w:rFonts w:ascii="Times New Roman" w:eastAsia="Calibri" w:hAnsi="Times New Roman" w:cs="Times New Roman"/>
        </w:rPr>
        <w:t>established</w:t>
      </w:r>
      <w:r w:rsidR="00BE59A9" w:rsidRPr="00095771">
        <w:rPr>
          <w:rFonts w:ascii="Times New Roman" w:eastAsia="Calibri" w:hAnsi="Times New Roman" w:cs="Times New Roman"/>
        </w:rPr>
        <w:t xml:space="preserve"> that the results displayed good agreement with</w:t>
      </w:r>
      <w:r w:rsidR="00D547ED" w:rsidRPr="00095771">
        <w:rPr>
          <w:rFonts w:ascii="Times New Roman" w:eastAsia="Calibri" w:hAnsi="Times New Roman" w:cs="Times New Roman"/>
        </w:rPr>
        <w:t xml:space="preserve"> previously researched studies by</w:t>
      </w:r>
      <w:r w:rsidR="003B3FB0" w:rsidRPr="00095771">
        <w:rPr>
          <w:rFonts w:ascii="Times New Roman" w:eastAsia="Calibri" w:hAnsi="Times New Roman" w:cs="Times New Roman"/>
        </w:rPr>
        <w:t xml:space="preserve"> Nakajima. </w:t>
      </w:r>
      <w:r w:rsidR="003B3FB0" w:rsidRPr="00095771">
        <w:rPr>
          <w:rStyle w:val="ReferenceChar"/>
          <w:color w:val="auto"/>
        </w:rPr>
        <w:t xml:space="preserve">In particular, one study </w:t>
      </w:r>
      <w:r w:rsidR="003B3FB0" w:rsidRPr="00095771">
        <w:rPr>
          <w:rStyle w:val="ReferenceChar"/>
          <w:noProof/>
          <w:color w:val="auto"/>
        </w:rPr>
        <w:t>(Nakajima et al. 2007)</w:t>
      </w:r>
      <w:r w:rsidR="003B3FB0" w:rsidRPr="00095771">
        <w:rPr>
          <w:rStyle w:val="ReferenceChar"/>
          <w:color w:val="auto"/>
        </w:rPr>
        <w:t xml:space="preserve"> </w:t>
      </w:r>
      <w:r w:rsidRPr="00095771">
        <w:rPr>
          <w:rStyle w:val="ReferenceChar"/>
          <w:color w:val="auto"/>
        </w:rPr>
        <w:t>which</w:t>
      </w:r>
      <w:r w:rsidR="003B3FB0" w:rsidRPr="00095771">
        <w:rPr>
          <w:rStyle w:val="ReferenceChar"/>
          <w:color w:val="auto"/>
        </w:rPr>
        <w:t xml:space="preserve"> was able to </w:t>
      </w:r>
      <w:r w:rsidR="003B3FB0" w:rsidRPr="00095771">
        <w:rPr>
          <w:rFonts w:ascii="Times New Roman" w:eastAsia="Calibri" w:hAnsi="Times New Roman" w:cs="Times New Roman"/>
        </w:rPr>
        <w:t>determine that the iron and steel industry account</w:t>
      </w:r>
      <w:r w:rsidR="00C903DC" w:rsidRPr="00095771">
        <w:rPr>
          <w:rFonts w:ascii="Times New Roman" w:eastAsia="Calibri" w:hAnsi="Times New Roman" w:cs="Times New Roman"/>
        </w:rPr>
        <w:t xml:space="preserve">ed for 85% of molybdenum consumed by Japanese industry. This </w:t>
      </w:r>
      <w:r w:rsidR="00DB5C4A" w:rsidRPr="00095771">
        <w:rPr>
          <w:rFonts w:ascii="Times New Roman" w:eastAsia="Calibri" w:hAnsi="Times New Roman" w:cs="Times New Roman"/>
        </w:rPr>
        <w:t>was in line with the 1998 IMOA a</w:t>
      </w:r>
      <w:r w:rsidR="00C903DC" w:rsidRPr="00095771">
        <w:rPr>
          <w:rFonts w:ascii="Times New Roman" w:eastAsia="Calibri" w:hAnsi="Times New Roman" w:cs="Times New Roman"/>
        </w:rPr>
        <w:t>nnual report</w:t>
      </w:r>
      <w:r w:rsidR="00DB5C4A" w:rsidRPr="00095771">
        <w:rPr>
          <w:rFonts w:ascii="Times New Roman" w:eastAsia="Calibri" w:hAnsi="Times New Roman" w:cs="Times New Roman"/>
        </w:rPr>
        <w:t>, whose percentages were use</w:t>
      </w:r>
      <w:r w:rsidRPr="00095771">
        <w:rPr>
          <w:rFonts w:ascii="Times New Roman" w:eastAsia="Calibri" w:hAnsi="Times New Roman" w:cs="Times New Roman"/>
        </w:rPr>
        <w:t>d in the molybdenum MFA diagram: w</w:t>
      </w:r>
      <w:r w:rsidR="00C903DC" w:rsidRPr="00095771">
        <w:rPr>
          <w:rFonts w:ascii="Times New Roman" w:eastAsia="Calibri" w:hAnsi="Times New Roman" w:cs="Times New Roman"/>
        </w:rPr>
        <w:t xml:space="preserve">hich </w:t>
      </w:r>
      <w:r w:rsidR="00DB5C4A" w:rsidRPr="00095771">
        <w:rPr>
          <w:rFonts w:ascii="Times New Roman" w:eastAsia="Calibri" w:hAnsi="Times New Roman" w:cs="Times New Roman"/>
        </w:rPr>
        <w:t>reported a yield of between 85</w:t>
      </w:r>
      <w:r w:rsidRPr="00095771">
        <w:rPr>
          <w:rFonts w:ascii="Times New Roman" w:eastAsia="Calibri" w:hAnsi="Times New Roman" w:cs="Times New Roman"/>
        </w:rPr>
        <w:t xml:space="preserve"> and 92% m</w:t>
      </w:r>
      <w:r w:rsidR="00DB5C4A" w:rsidRPr="00095771">
        <w:rPr>
          <w:rFonts w:ascii="Times New Roman" w:eastAsia="Calibri" w:hAnsi="Times New Roman" w:cs="Times New Roman"/>
        </w:rPr>
        <w:t>olybdenite at the floatation stage, prior to processing the ore into melt stock products, such as Fe-Mo.</w:t>
      </w:r>
    </w:p>
    <w:p w:rsidR="000A0839" w:rsidRPr="00095771" w:rsidRDefault="00BE59A9" w:rsidP="000A0839">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Furthermore, the recycling data generated and implemented into the MFA study identified that 25% of</w:t>
      </w:r>
      <w:r w:rsidR="00C903DC" w:rsidRPr="00095771">
        <w:rPr>
          <w:rFonts w:ascii="Times New Roman" w:eastAsia="Calibri" w:hAnsi="Times New Roman" w:cs="Times New Roman"/>
        </w:rPr>
        <w:t xml:space="preserve"> the molybdenum</w:t>
      </w:r>
      <w:r w:rsidRPr="00095771">
        <w:rPr>
          <w:rFonts w:ascii="Times New Roman" w:eastAsia="Calibri" w:hAnsi="Times New Roman" w:cs="Times New Roman"/>
        </w:rPr>
        <w:t xml:space="preserve"> inputted into the production cycle originated from recycled sources, such as old, new and revert scrap. This recycling loop is in line with the published UNEP EOL</w:t>
      </w:r>
      <w:r w:rsidR="00C903DC" w:rsidRPr="00095771">
        <w:rPr>
          <w:rFonts w:ascii="Times New Roman" w:eastAsia="Calibri" w:hAnsi="Times New Roman" w:cs="Times New Roman"/>
        </w:rPr>
        <w:t xml:space="preserve">-RR data, displayed in </w:t>
      </w:r>
      <w:r w:rsidR="00A6415F" w:rsidRPr="00095771">
        <w:fldChar w:fldCharType="begin"/>
      </w:r>
      <w:r w:rsidR="00A6415F" w:rsidRPr="00095771">
        <w:instrText xml:space="preserve"> REF _Ref474686765 \h  \* MERGEFORMAT </w:instrText>
      </w:r>
      <w:r w:rsidR="00A6415F" w:rsidRPr="00095771">
        <w:fldChar w:fldCharType="separate"/>
      </w:r>
      <w:r w:rsidR="009F5483" w:rsidRPr="005E33F5">
        <w:rPr>
          <w:rFonts w:ascii="Times New Roman" w:hAnsi="Times New Roman" w:cs="Times New Roman"/>
        </w:rPr>
        <w:t xml:space="preserve">Figure </w:t>
      </w:r>
      <w:r w:rsidR="009F5483">
        <w:rPr>
          <w:rFonts w:ascii="Times New Roman" w:hAnsi="Times New Roman" w:cs="Times New Roman"/>
          <w:noProof/>
        </w:rPr>
        <w:t>13</w:t>
      </w:r>
      <w:r w:rsidR="00A6415F" w:rsidRPr="00095771">
        <w:fldChar w:fldCharType="end"/>
      </w:r>
      <w:r w:rsidRPr="00095771">
        <w:rPr>
          <w:rFonts w:ascii="Times New Roman" w:eastAsia="Calibri" w:hAnsi="Times New Roman" w:cs="Times New Roman"/>
        </w:rPr>
        <w:t xml:space="preserve">, which states that the recycling rate of </w:t>
      </w:r>
      <w:r w:rsidR="00C903DC" w:rsidRPr="00095771">
        <w:rPr>
          <w:rFonts w:ascii="Times New Roman" w:eastAsia="Calibri" w:hAnsi="Times New Roman" w:cs="Times New Roman"/>
        </w:rPr>
        <w:t>molybdenum</w:t>
      </w:r>
      <w:r w:rsidRPr="00095771">
        <w:rPr>
          <w:rFonts w:ascii="Times New Roman" w:eastAsia="Calibri" w:hAnsi="Times New Roman" w:cs="Times New Roman"/>
        </w:rPr>
        <w:t xml:space="preserve"> metal was estimated to be between 25-50% as of 2011. This is further backed up by USGS sources</w:t>
      </w:r>
      <w:r w:rsidR="00C903DC" w:rsidRPr="00095771">
        <w:rPr>
          <w:rStyle w:val="ReferenceChar"/>
          <w:color w:val="auto"/>
        </w:rPr>
        <w:t xml:space="preserve"> </w:t>
      </w:r>
      <w:r w:rsidR="00C903DC" w:rsidRPr="00095771">
        <w:rPr>
          <w:rStyle w:val="ReferenceChar"/>
          <w:noProof/>
          <w:color w:val="auto"/>
        </w:rPr>
        <w:t>(Polyak 2015)</w:t>
      </w:r>
      <w:r w:rsidRPr="00095771">
        <w:rPr>
          <w:rFonts w:ascii="Times New Roman" w:eastAsia="Calibri" w:hAnsi="Times New Roman" w:cs="Times New Roman"/>
        </w:rPr>
        <w:t xml:space="preserve"> that</w:t>
      </w:r>
      <w:r w:rsidR="00C903DC" w:rsidRPr="00095771">
        <w:rPr>
          <w:rFonts w:ascii="Times New Roman" w:eastAsia="Calibri" w:hAnsi="Times New Roman" w:cs="Times New Roman"/>
        </w:rPr>
        <w:t xml:space="preserve"> estimated the upper bound of molybdenum</w:t>
      </w:r>
      <w:r w:rsidRPr="00095771">
        <w:rPr>
          <w:rFonts w:ascii="Times New Roman" w:eastAsia="Calibri" w:hAnsi="Times New Roman" w:cs="Times New Roman"/>
        </w:rPr>
        <w:t xml:space="preserve"> recycling to be 30%. High levels of comparability aid in confirming the reliability and validity of the data achieved fro</w:t>
      </w:r>
      <w:r w:rsidR="00C903DC" w:rsidRPr="00095771">
        <w:rPr>
          <w:rFonts w:ascii="Times New Roman" w:eastAsia="Calibri" w:hAnsi="Times New Roman" w:cs="Times New Roman"/>
        </w:rPr>
        <w:t>m the MFA model.</w:t>
      </w:r>
    </w:p>
    <w:p w:rsidR="000A0839" w:rsidRPr="00095771" w:rsidRDefault="000A0839" w:rsidP="00035C12">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As was discussed in the recycling of chromium, the removal of chromium containi</w:t>
      </w:r>
      <w:r w:rsidR="00D271A7">
        <w:rPr>
          <w:rFonts w:ascii="Times New Roman" w:eastAsia="Calibri" w:hAnsi="Times New Roman" w:cs="Times New Roman"/>
        </w:rPr>
        <w:t>ng scrap as a contaminant,</w:t>
      </w:r>
      <w:r w:rsidRPr="00095771">
        <w:rPr>
          <w:rFonts w:ascii="Times New Roman" w:eastAsia="Calibri" w:hAnsi="Times New Roman" w:cs="Times New Roman"/>
        </w:rPr>
        <w:t xml:space="preserve"> occurs when these scrap grades are combined with carbon steel scrap. This also applies to molybdenum where compositional losses account for between 11-29%wt for molybdenum.  Thus specifying the importance of keeping molybdenum scrap grades s</w:t>
      </w:r>
      <w:r w:rsidR="00FD5A10" w:rsidRPr="00095771">
        <w:rPr>
          <w:rFonts w:ascii="Times New Roman" w:eastAsia="Calibri" w:hAnsi="Times New Roman" w:cs="Times New Roman"/>
        </w:rPr>
        <w:t>eparate to carbon steel grades.</w:t>
      </w:r>
    </w:p>
    <w:p w:rsidR="00035C12" w:rsidRPr="00095771" w:rsidRDefault="00FD5A10" w:rsidP="00035C12">
      <w:pPr>
        <w:spacing w:after="0" w:line="360" w:lineRule="auto"/>
        <w:jc w:val="both"/>
        <w:rPr>
          <w:rFonts w:ascii="Times New Roman" w:eastAsia="Calibri" w:hAnsi="Times New Roman" w:cs="Times New Roman"/>
        </w:rPr>
      </w:pPr>
      <w:r w:rsidRPr="00095771">
        <w:rPr>
          <w:rFonts w:ascii="Times New Roman" w:eastAsia="Calibri" w:hAnsi="Times New Roman" w:cs="Times New Roman"/>
        </w:rPr>
        <w:t xml:space="preserve">Additionally this would aid the future outlook of molybdenum recycling as this result remains in line with the predicted upturn in molybdenum scrap usage within the next 15 years. The predicted increase, from 2011 levels (i.e. 25%) is a climb back to 27% as of 2020 and a further climb to 35% as of 2030 </w:t>
      </w:r>
      <w:r w:rsidRPr="00095771">
        <w:rPr>
          <w:rStyle w:val="ReferenceChar"/>
          <w:noProof/>
          <w:color w:val="auto"/>
        </w:rPr>
        <w:t>(Graedel et al. 2011; Hagelüken</w:t>
      </w:r>
      <w:r w:rsidR="005D780F" w:rsidRPr="00095771">
        <w:rPr>
          <w:rStyle w:val="ReferenceChar"/>
          <w:noProof/>
          <w:color w:val="auto"/>
        </w:rPr>
        <w:t xml:space="preserve"> &amp; Meskers,</w:t>
      </w:r>
      <w:r w:rsidRPr="00095771">
        <w:rPr>
          <w:rStyle w:val="ReferenceChar"/>
          <w:noProof/>
          <w:color w:val="auto"/>
        </w:rPr>
        <w:t xml:space="preserve"> 2010)</w:t>
      </w:r>
      <w:r w:rsidRPr="00095771">
        <w:rPr>
          <w:rFonts w:ascii="Times New Roman" w:eastAsia="Calibri" w:hAnsi="Times New Roman" w:cs="Times New Roman"/>
        </w:rPr>
        <w:t>.</w:t>
      </w:r>
    </w:p>
    <w:p w:rsidR="006A62D1" w:rsidRPr="00095771" w:rsidRDefault="00026F8E" w:rsidP="00095771">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Finally in identification of key wastage pool, unlike chromium, waste for molybdenum was found to be only 11.5 % of extracted molybdenite containing ore. </w:t>
      </w:r>
      <w:r w:rsidR="00FD5A10" w:rsidRPr="00095771">
        <w:rPr>
          <w:rFonts w:ascii="Times New Roman" w:eastAsia="Calibri" w:hAnsi="Times New Roman" w:cs="Times New Roman"/>
        </w:rPr>
        <w:t>Although the pe</w:t>
      </w:r>
      <w:r w:rsidRPr="00095771">
        <w:rPr>
          <w:rFonts w:ascii="Times New Roman" w:eastAsia="Calibri" w:hAnsi="Times New Roman" w:cs="Times New Roman"/>
        </w:rPr>
        <w:t>rcentage yield of 42% Fe-Cr (12.1</w:t>
      </w:r>
      <w:r w:rsidR="00FD5A10" w:rsidRPr="00095771">
        <w:rPr>
          <w:rFonts w:ascii="Times New Roman" w:eastAsia="Calibri" w:hAnsi="Times New Roman" w:cs="Times New Roman"/>
        </w:rPr>
        <w:t xml:space="preserve"> Mt) fr</w:t>
      </w:r>
      <w:r w:rsidRPr="00095771">
        <w:rPr>
          <w:rFonts w:ascii="Times New Roman" w:eastAsia="Calibri" w:hAnsi="Times New Roman" w:cs="Times New Roman"/>
        </w:rPr>
        <w:t>om c</w:t>
      </w:r>
      <w:r w:rsidR="00FD5A10" w:rsidRPr="00095771">
        <w:rPr>
          <w:rFonts w:ascii="Times New Roman" w:eastAsia="Calibri" w:hAnsi="Times New Roman" w:cs="Times New Roman"/>
        </w:rPr>
        <w:t xml:space="preserve">hromite was greater than the corresponding </w:t>
      </w:r>
      <w:r w:rsidRPr="00095771">
        <w:rPr>
          <w:rFonts w:ascii="Times New Roman" w:hAnsi="Times New Roman" w:cs="Times New Roman"/>
        </w:rPr>
        <w:t>35</w:t>
      </w:r>
      <w:r w:rsidR="00FD5A10" w:rsidRPr="00095771">
        <w:rPr>
          <w:rFonts w:ascii="Times New Roman" w:hAnsi="Times New Roman" w:cs="Times New Roman"/>
        </w:rPr>
        <w:t>%</w:t>
      </w:r>
      <w:r w:rsidR="00FD5A10" w:rsidRPr="00095771">
        <w:rPr>
          <w:rFonts w:ascii="Times New Roman" w:eastAsia="Calibri" w:hAnsi="Times New Roman" w:cs="Times New Roman"/>
        </w:rPr>
        <w:t xml:space="preserve"> Fe</w:t>
      </w:r>
      <w:r w:rsidRPr="00095771">
        <w:rPr>
          <w:rFonts w:ascii="Times New Roman" w:eastAsia="Calibri" w:hAnsi="Times New Roman" w:cs="Times New Roman"/>
        </w:rPr>
        <w:t>-</w:t>
      </w:r>
      <w:r w:rsidR="00FD5A10" w:rsidRPr="00095771">
        <w:rPr>
          <w:rFonts w:ascii="Times New Roman" w:eastAsia="Calibri" w:hAnsi="Times New Roman" w:cs="Times New Roman"/>
        </w:rPr>
        <w:t xml:space="preserve">Mo yield (82,471 </w:t>
      </w:r>
      <w:r w:rsidRPr="00095771">
        <w:rPr>
          <w:rFonts w:ascii="Times New Roman" w:eastAsia="Calibri" w:hAnsi="Times New Roman" w:cs="Times New Roman"/>
        </w:rPr>
        <w:t xml:space="preserve">t) from </w:t>
      </w:r>
      <w:r w:rsidRPr="00095771">
        <w:rPr>
          <w:rFonts w:ascii="Times New Roman" w:eastAsia="Calibri" w:hAnsi="Times New Roman" w:cs="Times New Roman"/>
        </w:rPr>
        <w:lastRenderedPageBreak/>
        <w:t xml:space="preserve">molybdenite. The majority of </w:t>
      </w:r>
      <w:r w:rsidR="00D271A7">
        <w:rPr>
          <w:rFonts w:ascii="Times New Roman" w:eastAsia="Calibri" w:hAnsi="Times New Roman" w:cs="Times New Roman"/>
        </w:rPr>
        <w:t>molybdenite is not processed</w:t>
      </w:r>
      <w:r w:rsidRPr="00095771">
        <w:rPr>
          <w:rFonts w:ascii="Times New Roman" w:eastAsia="Calibri" w:hAnsi="Times New Roman" w:cs="Times New Roman"/>
        </w:rPr>
        <w:t xml:space="preserve"> into Fe-Mo, whereas</w:t>
      </w:r>
      <w:r w:rsidR="00D271A7">
        <w:rPr>
          <w:rFonts w:ascii="Times New Roman" w:eastAsia="Calibri" w:hAnsi="Times New Roman" w:cs="Times New Roman"/>
        </w:rPr>
        <w:t xml:space="preserve"> 95% of chromite ore is processed</w:t>
      </w:r>
      <w:r w:rsidRPr="00095771">
        <w:rPr>
          <w:rFonts w:ascii="Times New Roman" w:eastAsia="Calibri" w:hAnsi="Times New Roman" w:cs="Times New Roman"/>
        </w:rPr>
        <w:t xml:space="preserve"> into Fe-Cr.</w:t>
      </w:r>
      <w:r w:rsidR="001370A4" w:rsidRPr="00095771">
        <w:rPr>
          <w:rFonts w:ascii="Times New Roman" w:eastAsia="Calibri" w:hAnsi="Times New Roman" w:cs="Times New Roman"/>
        </w:rPr>
        <w:t xml:space="preserve"> However, when all the useful melt stock products produced from molybdenite, such as Tech oxide and upgraded Mo products, are included the overall desirable product yield for molybdenum, the value comes to 89.1%, which dwarfs the 44.4% yield achieved by chromium.</w:t>
      </w:r>
    </w:p>
    <w:p w:rsidR="006A62D1" w:rsidRPr="005B3139" w:rsidRDefault="006A62D1" w:rsidP="006A62D1">
      <w:pPr>
        <w:spacing w:line="360" w:lineRule="auto"/>
        <w:rPr>
          <w:rFonts w:ascii="Times New Roman" w:eastAsia="Calibri" w:hAnsi="Times New Roman" w:cs="Times New Roman"/>
        </w:rPr>
        <w:sectPr w:rsidR="006A62D1" w:rsidRPr="005B3139">
          <w:pgSz w:w="11906" w:h="16838"/>
          <w:pgMar w:top="1440" w:right="1440" w:bottom="1440" w:left="1440" w:header="708" w:footer="708" w:gutter="0"/>
          <w:cols w:space="708"/>
          <w:docGrid w:linePitch="360"/>
        </w:sectPr>
      </w:pPr>
    </w:p>
    <w:p w:rsidR="006A62D1" w:rsidRDefault="00CC009D" w:rsidP="00045A87">
      <w:pPr>
        <w:pStyle w:val="Heading2"/>
        <w:spacing w:line="360" w:lineRule="auto"/>
        <w:rPr>
          <w:rFonts w:ascii="Times New Roman" w:eastAsia="Calibri Light" w:hAnsi="Times New Roman" w:cs="Times New Roman"/>
          <w:sz w:val="22"/>
          <w:szCs w:val="22"/>
        </w:rPr>
      </w:pPr>
      <w:r>
        <w:rPr>
          <w:rFonts w:ascii="Times New Roman" w:eastAsia="Calibri Light" w:hAnsi="Times New Roman" w:cs="Times New Roman"/>
          <w:sz w:val="22"/>
          <w:szCs w:val="22"/>
        </w:rPr>
        <w:lastRenderedPageBreak/>
        <w:t>5</w:t>
      </w:r>
      <w:r w:rsidR="006A62D1" w:rsidRPr="005B3139">
        <w:rPr>
          <w:rFonts w:ascii="Times New Roman" w:eastAsia="Calibri Light" w:hAnsi="Times New Roman" w:cs="Times New Roman"/>
          <w:sz w:val="22"/>
          <w:szCs w:val="22"/>
        </w:rPr>
        <w:t>.4 Global Niobium MFA 2013</w:t>
      </w:r>
      <w:r w:rsidR="009D738B">
        <w:rPr>
          <w:rFonts w:ascii="Times New Roman" w:eastAsia="Calibri Light" w:hAnsi="Times New Roman" w:cs="Times New Roman"/>
          <w:sz w:val="22"/>
          <w:szCs w:val="22"/>
        </w:rPr>
        <w:t xml:space="preserve"> </w:t>
      </w:r>
    </w:p>
    <w:p w:rsidR="002F63D8" w:rsidRPr="002F63D8" w:rsidRDefault="005A78FD" w:rsidP="002F63D8">
      <w:r>
        <w:rPr>
          <w:noProof/>
        </w:rPr>
        <w:drawing>
          <wp:inline distT="0" distB="0" distL="0" distR="0">
            <wp:extent cx="8869680" cy="3231472"/>
            <wp:effectExtent l="0" t="0" r="762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76516" cy="3233962"/>
                    </a:xfrm>
                    <a:prstGeom prst="rect">
                      <a:avLst/>
                    </a:prstGeom>
                    <a:noFill/>
                    <a:ln>
                      <a:noFill/>
                    </a:ln>
                  </pic:spPr>
                </pic:pic>
              </a:graphicData>
            </a:graphic>
          </wp:inline>
        </w:drawing>
      </w:r>
    </w:p>
    <w:p w:rsidR="006A62D1" w:rsidRPr="00095771" w:rsidRDefault="006A62D1" w:rsidP="006A62D1">
      <w:pPr>
        <w:spacing w:after="0" w:line="360" w:lineRule="auto"/>
        <w:jc w:val="both"/>
        <w:rPr>
          <w:rFonts w:ascii="Times New Roman" w:eastAsia="Calibri" w:hAnsi="Times New Roman" w:cs="Times New Roman"/>
        </w:rPr>
      </w:pPr>
      <w:bookmarkStart w:id="112" w:name="_Ref474700479"/>
      <w:bookmarkStart w:id="113" w:name="_Toc495848348"/>
      <w:r w:rsidRPr="00095771">
        <w:rPr>
          <w:rFonts w:ascii="Times New Roman" w:hAnsi="Times New Roman" w:cs="Times New Roman"/>
        </w:rPr>
        <w:t xml:space="preserve">Figure </w:t>
      </w:r>
      <w:r w:rsidR="009A0ED7" w:rsidRPr="00095771">
        <w:rPr>
          <w:rFonts w:ascii="Times New Roman" w:hAnsi="Times New Roman" w:cs="Times New Roman"/>
        </w:rPr>
        <w:fldChar w:fldCharType="begin"/>
      </w:r>
      <w:r w:rsidRPr="00095771">
        <w:rPr>
          <w:rFonts w:ascii="Times New Roman" w:hAnsi="Times New Roman" w:cs="Times New Roman"/>
        </w:rPr>
        <w:instrText xml:space="preserve"> SEQ Figure \* ARABIC </w:instrText>
      </w:r>
      <w:r w:rsidR="009A0ED7" w:rsidRPr="00095771">
        <w:rPr>
          <w:rFonts w:ascii="Times New Roman" w:hAnsi="Times New Roman" w:cs="Times New Roman"/>
        </w:rPr>
        <w:fldChar w:fldCharType="separate"/>
      </w:r>
      <w:r w:rsidR="009F5483">
        <w:rPr>
          <w:rFonts w:ascii="Times New Roman" w:hAnsi="Times New Roman" w:cs="Times New Roman"/>
          <w:noProof/>
        </w:rPr>
        <w:t>15</w:t>
      </w:r>
      <w:r w:rsidR="009A0ED7" w:rsidRPr="00095771">
        <w:rPr>
          <w:rFonts w:ascii="Times New Roman" w:hAnsi="Times New Roman" w:cs="Times New Roman"/>
        </w:rPr>
        <w:fldChar w:fldCharType="end"/>
      </w:r>
      <w:bookmarkEnd w:id="112"/>
      <w:r w:rsidRPr="00095771">
        <w:rPr>
          <w:rFonts w:ascii="Times New Roman" w:hAnsi="Times New Roman" w:cs="Times New Roman"/>
        </w:rPr>
        <w:t xml:space="preserve">. </w:t>
      </w:r>
      <w:r w:rsidRPr="00095771">
        <w:rPr>
          <w:rFonts w:ascii="Times New Roman" w:eastAsia="Calibri" w:hAnsi="Times New Roman" w:cs="Times New Roman"/>
        </w:rPr>
        <w:t xml:space="preserve">Sankey diagram representing </w:t>
      </w:r>
      <w:r w:rsidR="00721AEA" w:rsidRPr="00095771">
        <w:rPr>
          <w:rFonts w:ascii="Times New Roman" w:eastAsia="Calibri" w:hAnsi="Times New Roman" w:cs="Times New Roman"/>
        </w:rPr>
        <w:t>the estimated material flow of n</w:t>
      </w:r>
      <w:r w:rsidRPr="00095771">
        <w:rPr>
          <w:rFonts w:ascii="Times New Roman" w:eastAsia="Calibri" w:hAnsi="Times New Roman" w:cs="Times New Roman"/>
        </w:rPr>
        <w:t>iobium w</w:t>
      </w:r>
      <w:r w:rsidR="00CE47D3" w:rsidRPr="00095771">
        <w:rPr>
          <w:rFonts w:ascii="Times New Roman" w:eastAsia="Calibri" w:hAnsi="Times New Roman" w:cs="Times New Roman"/>
        </w:rPr>
        <w:t>ithin global industry as of 2013</w:t>
      </w:r>
      <w:r w:rsidRPr="00095771">
        <w:rPr>
          <w:rFonts w:ascii="Times New Roman" w:eastAsia="Calibri" w:hAnsi="Times New Roman" w:cs="Times New Roman"/>
        </w:rPr>
        <w:t>.</w:t>
      </w:r>
      <w:bookmarkEnd w:id="113"/>
    </w:p>
    <w:p w:rsidR="006A62D1" w:rsidRPr="005B3139" w:rsidRDefault="006A62D1" w:rsidP="006A62D1">
      <w:pPr>
        <w:spacing w:line="360" w:lineRule="auto"/>
        <w:rPr>
          <w:rFonts w:ascii="Times New Roman" w:eastAsia="Calibri" w:hAnsi="Times New Roman" w:cs="Times New Roman"/>
        </w:rPr>
        <w:sectPr w:rsidR="006A62D1" w:rsidRPr="005B3139" w:rsidSect="00D271A7">
          <w:footerReference w:type="default" r:id="rId70"/>
          <w:pgSz w:w="16838" w:h="11906" w:orient="landscape"/>
          <w:pgMar w:top="1440" w:right="1440" w:bottom="1440" w:left="1440" w:header="708" w:footer="708" w:gutter="0"/>
          <w:cols w:space="708"/>
          <w:titlePg/>
          <w:docGrid w:linePitch="360"/>
        </w:sectPr>
      </w:pPr>
      <w:r w:rsidRPr="00095771">
        <w:rPr>
          <w:rFonts w:ascii="Times New Roman" w:eastAsia="Calibri" w:hAnsi="Times New Roman" w:cs="Times New Roman"/>
        </w:rPr>
        <w:t>Key: Primary flow = Cyan, Recycled flow = Orange and Waste flow = Lime</w:t>
      </w:r>
      <w:r w:rsidR="00CE47D3" w:rsidRPr="00095771">
        <w:rPr>
          <w:rFonts w:ascii="Times New Roman" w:eastAsia="Calibri" w:hAnsi="Times New Roman" w:cs="Times New Roman"/>
        </w:rPr>
        <w:t>.</w:t>
      </w:r>
    </w:p>
    <w:p w:rsidR="00B132FB" w:rsidRPr="00095771" w:rsidRDefault="00DF6F3F" w:rsidP="00CE47D3">
      <w:pPr>
        <w:spacing w:after="0" w:line="360" w:lineRule="auto"/>
        <w:ind w:firstLine="720"/>
        <w:jc w:val="both"/>
        <w:rPr>
          <w:rStyle w:val="FiguresChar"/>
          <w:color w:val="auto"/>
        </w:rPr>
      </w:pPr>
      <w:r w:rsidRPr="00095771">
        <w:rPr>
          <w:rStyle w:val="FiguresChar"/>
          <w:color w:val="auto"/>
        </w:rPr>
        <w:lastRenderedPageBreak/>
        <w:t>The niobium MFA model</w:t>
      </w:r>
      <w:r w:rsidR="001303F4" w:rsidRPr="00095771">
        <w:rPr>
          <w:rStyle w:val="FiguresChar"/>
          <w:color w:val="auto"/>
        </w:rPr>
        <w:t xml:space="preserve">, has illustrated by </w:t>
      </w:r>
      <w:r w:rsidR="00A6415F" w:rsidRPr="00095771">
        <w:fldChar w:fldCharType="begin"/>
      </w:r>
      <w:r w:rsidR="00A6415F" w:rsidRPr="00095771">
        <w:instrText xml:space="preserve"> REF _Ref474700479 \h  \* MERGEFORMAT </w:instrText>
      </w:r>
      <w:r w:rsidR="00A6415F" w:rsidRPr="00095771">
        <w:fldChar w:fldCharType="separate"/>
      </w:r>
      <w:r w:rsidR="009F5483" w:rsidRPr="00095771">
        <w:rPr>
          <w:rFonts w:ascii="Times New Roman" w:hAnsi="Times New Roman" w:cs="Times New Roman"/>
        </w:rPr>
        <w:t xml:space="preserve">Figure </w:t>
      </w:r>
      <w:r w:rsidR="009F5483">
        <w:rPr>
          <w:rFonts w:ascii="Times New Roman" w:hAnsi="Times New Roman" w:cs="Times New Roman"/>
          <w:noProof/>
        </w:rPr>
        <w:t>15</w:t>
      </w:r>
      <w:r w:rsidR="00A6415F" w:rsidRPr="00095771">
        <w:fldChar w:fldCharType="end"/>
      </w:r>
      <w:r w:rsidR="001303F4" w:rsidRPr="00095771">
        <w:rPr>
          <w:rStyle w:val="FiguresChar"/>
          <w:color w:val="auto"/>
        </w:rPr>
        <w:t>,</w:t>
      </w:r>
      <w:r w:rsidRPr="00095771">
        <w:rPr>
          <w:rStyle w:val="FiguresChar"/>
          <w:color w:val="auto"/>
        </w:rPr>
        <w:t xml:space="preserve"> depicts the</w:t>
      </w:r>
      <w:r w:rsidRPr="00095771">
        <w:rPr>
          <w:rFonts w:ascii="Times New Roman" w:eastAsia="Calibri" w:hAnsi="Times New Roman" w:cs="Times New Roman"/>
        </w:rPr>
        <w:t xml:space="preserve"> </w:t>
      </w:r>
      <w:r w:rsidRPr="00095771">
        <w:rPr>
          <w:rStyle w:val="FiguresChar"/>
          <w:color w:val="auto"/>
        </w:rPr>
        <w:t>flow of niobium from extraction, processing to end product as well as including recycling but not in terms of individual end product contribution.</w:t>
      </w:r>
      <w:r w:rsidR="00CE47D3" w:rsidRPr="00095771">
        <w:rPr>
          <w:rStyle w:val="FiguresChar"/>
          <w:color w:val="auto"/>
        </w:rPr>
        <w:t xml:space="preserve"> </w:t>
      </w:r>
    </w:p>
    <w:p w:rsidR="001303F4" w:rsidRPr="00095771" w:rsidRDefault="00E83B92" w:rsidP="00E83B92">
      <w:pPr>
        <w:spacing w:after="0" w:line="360" w:lineRule="auto"/>
        <w:ind w:firstLine="720"/>
        <w:jc w:val="both"/>
        <w:rPr>
          <w:rStyle w:val="FiguresChar"/>
          <w:color w:val="auto"/>
        </w:rPr>
      </w:pPr>
      <w:r w:rsidRPr="00095771">
        <w:rPr>
          <w:rStyle w:val="FiguresChar"/>
          <w:color w:val="auto"/>
        </w:rPr>
        <w:t>Explaining the flow of the model, m</w:t>
      </w:r>
      <w:r w:rsidR="001303F4" w:rsidRPr="00095771">
        <w:rPr>
          <w:rStyle w:val="FiguresChar"/>
          <w:color w:val="auto"/>
        </w:rPr>
        <w:t>ost niobium is extracted as a primary ore from pyrochlore minerals. The extraction of this ore is dominated by Brazil which accounted for over 90% of global niobium mine production in 2013. The average beneficiation recovery</w:t>
      </w:r>
      <w:r w:rsidRPr="00095771">
        <w:rPr>
          <w:rStyle w:val="FiguresChar"/>
          <w:color w:val="auto"/>
        </w:rPr>
        <w:t xml:space="preserve"> rate from mining pyrochlore is</w:t>
      </w:r>
      <w:r w:rsidR="001303F4" w:rsidRPr="00095771">
        <w:rPr>
          <w:rStyle w:val="FiguresChar"/>
          <w:color w:val="auto"/>
        </w:rPr>
        <w:t xml:space="preserve"> roughly 60%. </w:t>
      </w:r>
      <w:r w:rsidRPr="00095771">
        <w:rPr>
          <w:rStyle w:val="FiguresChar"/>
          <w:color w:val="auto"/>
        </w:rPr>
        <w:t xml:space="preserve"> From the model</w:t>
      </w:r>
      <w:r w:rsidR="001303F4" w:rsidRPr="00095771">
        <w:rPr>
          <w:rStyle w:val="FiguresChar"/>
          <w:color w:val="auto"/>
        </w:rPr>
        <w:t>, primary niobium production comprises 80% with recycled niobium attributing 20%. Within primary production, 98% is provided by niobium oxides with secondary sources such as tin smelter waste and columbite providing the remainder. With regards to recycling, niobium steels and super-alloys provide the majority of recycled material. But quantifying and including this has individual flows from the end products was not possible due to lack of quantitative data.</w:t>
      </w:r>
    </w:p>
    <w:p w:rsidR="007343A5" w:rsidRPr="00095771" w:rsidRDefault="00782B22" w:rsidP="007343A5">
      <w:pPr>
        <w:spacing w:after="0" w:line="360" w:lineRule="auto"/>
        <w:ind w:firstLine="720"/>
        <w:jc w:val="both"/>
        <w:rPr>
          <w:rStyle w:val="FiguresChar"/>
          <w:color w:val="auto"/>
        </w:rPr>
      </w:pPr>
      <w:r>
        <w:rPr>
          <w:rStyle w:val="FiguresChar"/>
          <w:color w:val="auto"/>
        </w:rPr>
        <w:t>A</w:t>
      </w:r>
      <w:r w:rsidR="00E83B92" w:rsidRPr="00095771">
        <w:rPr>
          <w:rStyle w:val="FiguresChar"/>
          <w:color w:val="auto"/>
        </w:rPr>
        <w:t xml:space="preserve">s indicated by </w:t>
      </w:r>
      <w:r w:rsidR="00A6415F" w:rsidRPr="00095771">
        <w:fldChar w:fldCharType="begin"/>
      </w:r>
      <w:r w:rsidR="00A6415F" w:rsidRPr="00095771">
        <w:instrText xml:space="preserve"> REF _Ref474700479 \h  \* MERGEFORMAT </w:instrText>
      </w:r>
      <w:r w:rsidR="00A6415F" w:rsidRPr="00095771">
        <w:fldChar w:fldCharType="separate"/>
      </w:r>
      <w:r w:rsidR="009F5483" w:rsidRPr="009F5483">
        <w:rPr>
          <w:rStyle w:val="FiguresChar"/>
          <w:color w:val="auto"/>
        </w:rPr>
        <w:t>Figure 15</w:t>
      </w:r>
      <w:r w:rsidR="00A6415F" w:rsidRPr="00095771">
        <w:fldChar w:fldCharType="end"/>
      </w:r>
      <w:r w:rsidR="00E83B92" w:rsidRPr="00095771">
        <w:rPr>
          <w:rStyle w:val="FiguresChar"/>
          <w:color w:val="auto"/>
        </w:rPr>
        <w:t xml:space="preserve"> the majority of niobium (88%), is converted into HSLA grade Fe-Nb for steel production, with processing losses accounting for about 12%.</w:t>
      </w:r>
      <w:r w:rsidR="007343A5" w:rsidRPr="00095771">
        <w:rPr>
          <w:rStyle w:val="FiguresChar"/>
          <w:color w:val="auto"/>
        </w:rPr>
        <w:t xml:space="preserve"> The large percentage into a </w:t>
      </w:r>
      <w:r w:rsidR="00176B66" w:rsidRPr="00095771">
        <w:rPr>
          <w:rStyle w:val="FiguresChar"/>
          <w:color w:val="auto"/>
        </w:rPr>
        <w:t>single product is</w:t>
      </w:r>
      <w:r w:rsidR="007343A5" w:rsidRPr="00095771">
        <w:rPr>
          <w:rStyle w:val="FiguresChar"/>
          <w:color w:val="auto"/>
        </w:rPr>
        <w:t xml:space="preserve"> due to the properties and usage of niobium in several industries including automotive, pipeline construction and stainless steel. </w:t>
      </w:r>
    </w:p>
    <w:p w:rsidR="007343A5" w:rsidRPr="00095771" w:rsidRDefault="007343A5" w:rsidP="007343A5">
      <w:pPr>
        <w:spacing w:after="0" w:line="360" w:lineRule="auto"/>
        <w:ind w:firstLine="720"/>
        <w:jc w:val="both"/>
        <w:rPr>
          <w:rStyle w:val="FiguresChar"/>
          <w:color w:val="auto"/>
        </w:rPr>
      </w:pPr>
      <w:r w:rsidRPr="00095771">
        <w:rPr>
          <w:rStyle w:val="FiguresChar"/>
          <w:color w:val="auto"/>
        </w:rPr>
        <w:t>The primary reason for the increased usage of niobium steels, especially in automotive steels is because of light-weighting. Reducing the weight of a vehicle means lower fuel consumption and lower CO</w:t>
      </w:r>
      <w:r w:rsidRPr="00095771">
        <w:rPr>
          <w:rStyle w:val="FiguresChar"/>
          <w:color w:val="auto"/>
          <w:vertAlign w:val="subscript"/>
        </w:rPr>
        <w:t>2</w:t>
      </w:r>
      <w:r w:rsidRPr="00095771">
        <w:rPr>
          <w:rStyle w:val="FiguresChar"/>
          <w:color w:val="auto"/>
        </w:rPr>
        <w:t xml:space="preserve"> emissions. For a mid-sized vehicle, a meagre 300 grams of niobium can reduce the weight of the vehicle by 200 kg, resulting in fuel economy of 1litre per 200 kilometres. </w:t>
      </w:r>
    </w:p>
    <w:p w:rsidR="007343A5" w:rsidRPr="00095771" w:rsidRDefault="007343A5" w:rsidP="007343A5">
      <w:pPr>
        <w:spacing w:after="0" w:line="360" w:lineRule="auto"/>
        <w:ind w:firstLine="720"/>
        <w:jc w:val="both"/>
        <w:rPr>
          <w:rStyle w:val="FiguresChar"/>
          <w:color w:val="auto"/>
        </w:rPr>
      </w:pPr>
      <w:r w:rsidRPr="00095771">
        <w:rPr>
          <w:rStyle w:val="FiguresChar"/>
          <w:color w:val="auto"/>
        </w:rPr>
        <w:t>In pipeline steels, niobium increases steel strength and toughness simultaneously. This enables pipelines to operate at higher pressures as well as allowing thinner walls and larger diameters to be designed. Leaner, larger diameter pipelines mean more oil and gas transportation at a lower cost.</w:t>
      </w:r>
    </w:p>
    <w:p w:rsidR="007343A5" w:rsidRPr="00095771" w:rsidRDefault="007343A5" w:rsidP="007343A5">
      <w:pPr>
        <w:spacing w:after="0" w:line="360" w:lineRule="auto"/>
        <w:ind w:firstLine="720"/>
        <w:jc w:val="both"/>
        <w:rPr>
          <w:rStyle w:val="FiguresChar"/>
          <w:color w:val="auto"/>
        </w:rPr>
      </w:pPr>
      <w:r w:rsidRPr="00095771">
        <w:rPr>
          <w:rStyle w:val="FiguresChar"/>
          <w:color w:val="auto"/>
        </w:rPr>
        <w:t xml:space="preserve"> In structural steels, niobium steels are far more beneficial compared to relying on concrete and conventional steel. Apart from increasing the strength and toughness of the steels, leaner and faster construction can occur with niobium steels. This means far less resources are consumed and the structures built are environmentally friendly. Final breakdown in terms of end sector uses is primarily made up of: structural steels (24.75%), tube steels (24.75%) and automobile steels (22.77%). </w:t>
      </w:r>
    </w:p>
    <w:p w:rsidR="007343A5" w:rsidRPr="00095771" w:rsidRDefault="003F0F8A" w:rsidP="003F0F8A">
      <w:pPr>
        <w:spacing w:after="0" w:line="360" w:lineRule="auto"/>
        <w:ind w:firstLine="720"/>
        <w:jc w:val="both"/>
        <w:rPr>
          <w:rStyle w:val="FiguresChar"/>
          <w:color w:val="auto"/>
        </w:rPr>
      </w:pPr>
      <w:r w:rsidRPr="00095771">
        <w:rPr>
          <w:rStyle w:val="FiguresChar"/>
          <w:color w:val="auto"/>
        </w:rPr>
        <w:t xml:space="preserve">To summarise, the niobium MFA model does reveal: that primary extraction is via pyrochlore, primary production comprises 80% and production from recycling 20% and the main end use being in HSLA steels. </w:t>
      </w:r>
      <w:r w:rsidR="007343A5" w:rsidRPr="00095771">
        <w:rPr>
          <w:rStyle w:val="FiguresChar"/>
          <w:color w:val="auto"/>
        </w:rPr>
        <w:t>However there are a number of knowledge gaps, particularly to do with recycling and the niobium supply chain that can be analysed.</w:t>
      </w:r>
    </w:p>
    <w:p w:rsidR="003F0F8A" w:rsidRPr="00095771" w:rsidRDefault="003F0F8A" w:rsidP="003F0F8A">
      <w:pPr>
        <w:spacing w:after="0" w:line="360" w:lineRule="auto"/>
        <w:ind w:firstLine="720"/>
        <w:jc w:val="both"/>
        <w:rPr>
          <w:rStyle w:val="FiguresChar"/>
          <w:color w:val="auto"/>
        </w:rPr>
      </w:pPr>
      <w:r w:rsidRPr="00095771">
        <w:rPr>
          <w:rStyle w:val="FiguresChar"/>
          <w:color w:val="auto"/>
        </w:rPr>
        <w:t>With regards to recycling, once niobium is embedded in steel, it is extremely difficult to recover as a single element. For one thing it is not known how much niobium is diluted and downgraded during steel recycling and thus how much is effectively recycled and used for its unique properties. Additionally it is not even known if it is physically possible to recover niobium from steel to avoid dilution. Consequently, even if recovery was physically possible</w:t>
      </w:r>
      <w:r w:rsidR="00D271A7">
        <w:rPr>
          <w:rStyle w:val="FiguresChar"/>
          <w:color w:val="auto"/>
        </w:rPr>
        <w:t xml:space="preserve"> would it be financially viable?</w:t>
      </w:r>
      <w:r w:rsidRPr="00095771">
        <w:rPr>
          <w:rStyle w:val="FiguresChar"/>
          <w:color w:val="auto"/>
        </w:rPr>
        <w:t xml:space="preserve"> </w:t>
      </w:r>
      <w:r w:rsidRPr="00095771">
        <w:rPr>
          <w:rStyle w:val="FiguresChar"/>
          <w:color w:val="auto"/>
        </w:rPr>
        <w:lastRenderedPageBreak/>
        <w:t xml:space="preserve">Currently, considerable amounts of scrap steel are recycled from EOL components and processing scrap. Niobium is consequently recycled as part of this operation. </w:t>
      </w:r>
    </w:p>
    <w:p w:rsidR="003F0F8A" w:rsidRPr="00095771" w:rsidRDefault="003F0F8A" w:rsidP="003F0F8A">
      <w:pPr>
        <w:spacing w:after="0" w:line="360" w:lineRule="auto"/>
        <w:ind w:firstLine="720"/>
        <w:jc w:val="both"/>
        <w:rPr>
          <w:rStyle w:val="FiguresChar"/>
          <w:color w:val="auto"/>
        </w:rPr>
      </w:pPr>
      <w:r w:rsidRPr="00095771">
        <w:rPr>
          <w:rStyle w:val="FiguresChar"/>
          <w:color w:val="auto"/>
        </w:rPr>
        <w:t>In conjunction, little is known about manufacturing losses and recycling rates from other niobium products processing routes. Thus highlighting the single flow of recycled niobium in the MFA model.  Because the current supply and reserves of niobium are dominated by one country Brazil, it is only through technological change or extreme increase in usage and intensity of niobium in products that emphasis to recycle niobium might occur. Thus until it does, the current status quo will exist.</w:t>
      </w:r>
    </w:p>
    <w:p w:rsidR="006A62D1" w:rsidRPr="00095771" w:rsidRDefault="003F0F8A" w:rsidP="00095771">
      <w:pPr>
        <w:spacing w:after="0" w:line="360" w:lineRule="auto"/>
        <w:ind w:firstLine="720"/>
        <w:jc w:val="both"/>
        <w:rPr>
          <w:rFonts w:ascii="Times New Roman" w:eastAsia="Calibri" w:hAnsi="Times New Roman" w:cs="Times New Roman"/>
        </w:rPr>
      </w:pPr>
      <w:r w:rsidRPr="00095771">
        <w:rPr>
          <w:rStyle w:val="FiguresChar"/>
          <w:color w:val="auto"/>
        </w:rPr>
        <w:t>Relating to supply chain, as an alloying element niobium strengthens steel, hence less steel is required for specific high strength applications. However the exact impact of niobium over the steel supply chain in terms of steel demand reduction is unknown and a possible area of investigation. Consequently, associated with the use of niobium as an alloying element in steel, would be its environmental impact in terms of carbon and energy emissions.</w:t>
      </w:r>
      <w:r w:rsidR="00310B56" w:rsidRPr="00095771">
        <w:rPr>
          <w:rStyle w:val="FiguresChar"/>
          <w:color w:val="auto"/>
        </w:rPr>
        <w:t xml:space="preserve"> Again another potential topic of investigation for future work.</w:t>
      </w:r>
    </w:p>
    <w:p w:rsidR="006A62D1" w:rsidRPr="00095771" w:rsidRDefault="006A62D1" w:rsidP="006A62D1">
      <w:pPr>
        <w:spacing w:line="360" w:lineRule="auto"/>
        <w:rPr>
          <w:rFonts w:ascii="Times New Roman" w:eastAsia="Calibri" w:hAnsi="Times New Roman" w:cs="Times New Roman"/>
        </w:rPr>
      </w:pPr>
    </w:p>
    <w:p w:rsidR="006A62D1" w:rsidRPr="00095771" w:rsidRDefault="006A62D1" w:rsidP="006A62D1">
      <w:pPr>
        <w:spacing w:line="360" w:lineRule="auto"/>
        <w:rPr>
          <w:rFonts w:ascii="Times New Roman" w:eastAsia="Calibri" w:hAnsi="Times New Roman" w:cs="Times New Roman"/>
        </w:rPr>
        <w:sectPr w:rsidR="006A62D1" w:rsidRPr="00095771">
          <w:pgSz w:w="11906" w:h="16838"/>
          <w:pgMar w:top="1440" w:right="1440" w:bottom="1440" w:left="1440" w:header="708" w:footer="708" w:gutter="0"/>
          <w:cols w:space="708"/>
          <w:docGrid w:linePitch="360"/>
        </w:sectPr>
      </w:pPr>
    </w:p>
    <w:p w:rsidR="006A62D1" w:rsidRDefault="00CC009D" w:rsidP="00045A87">
      <w:pPr>
        <w:pStyle w:val="Heading2"/>
        <w:spacing w:line="360" w:lineRule="auto"/>
        <w:rPr>
          <w:rFonts w:ascii="Times New Roman" w:eastAsia="Calibri Light" w:hAnsi="Times New Roman" w:cs="Times New Roman"/>
          <w:sz w:val="22"/>
          <w:szCs w:val="22"/>
        </w:rPr>
      </w:pPr>
      <w:r w:rsidRPr="00095771">
        <w:rPr>
          <w:rFonts w:ascii="Times New Roman" w:eastAsia="Calibri Light" w:hAnsi="Times New Roman" w:cs="Times New Roman"/>
          <w:color w:val="auto"/>
          <w:sz w:val="22"/>
          <w:szCs w:val="22"/>
        </w:rPr>
        <w:lastRenderedPageBreak/>
        <w:t>5</w:t>
      </w:r>
      <w:r w:rsidR="006A62D1" w:rsidRPr="005B3139">
        <w:rPr>
          <w:rFonts w:ascii="Times New Roman" w:eastAsia="Calibri Light" w:hAnsi="Times New Roman" w:cs="Times New Roman"/>
          <w:sz w:val="22"/>
          <w:szCs w:val="22"/>
        </w:rPr>
        <w:t xml:space="preserve">.5 Global Vanadium MFA 2014 </w:t>
      </w:r>
    </w:p>
    <w:p w:rsidR="00045A87" w:rsidRPr="00045A87" w:rsidRDefault="004B434A" w:rsidP="00045A87">
      <w:r>
        <w:rPr>
          <w:noProof/>
        </w:rPr>
        <w:drawing>
          <wp:inline distT="0" distB="0" distL="0" distR="0">
            <wp:extent cx="8869680" cy="3266983"/>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879252" cy="3270509"/>
                    </a:xfrm>
                    <a:prstGeom prst="rect">
                      <a:avLst/>
                    </a:prstGeom>
                    <a:noFill/>
                    <a:ln>
                      <a:noFill/>
                    </a:ln>
                  </pic:spPr>
                </pic:pic>
              </a:graphicData>
            </a:graphic>
          </wp:inline>
        </w:drawing>
      </w:r>
    </w:p>
    <w:p w:rsidR="006A62D1" w:rsidRPr="005B3139" w:rsidRDefault="006A62D1" w:rsidP="006A62D1">
      <w:pPr>
        <w:spacing w:after="0" w:line="360" w:lineRule="auto"/>
        <w:jc w:val="both"/>
        <w:rPr>
          <w:rFonts w:ascii="Times New Roman" w:eastAsia="Calibri" w:hAnsi="Times New Roman" w:cs="Times New Roman"/>
        </w:rPr>
      </w:pPr>
    </w:p>
    <w:p w:rsidR="006A62D1" w:rsidRPr="00095771" w:rsidRDefault="006A62D1" w:rsidP="006A62D1">
      <w:pPr>
        <w:rPr>
          <w:rFonts w:ascii="Times New Roman" w:eastAsia="Calibri" w:hAnsi="Times New Roman" w:cs="Times New Roman"/>
        </w:rPr>
      </w:pPr>
      <w:bookmarkStart w:id="114" w:name="_Ref474707613"/>
      <w:bookmarkStart w:id="115" w:name="_Toc495848349"/>
      <w:r w:rsidRPr="00095771">
        <w:rPr>
          <w:rFonts w:ascii="Times New Roman" w:hAnsi="Times New Roman" w:cs="Times New Roman"/>
        </w:rPr>
        <w:t xml:space="preserve">Figure </w:t>
      </w:r>
      <w:r w:rsidR="009A0ED7" w:rsidRPr="00095771">
        <w:rPr>
          <w:rFonts w:ascii="Times New Roman" w:hAnsi="Times New Roman" w:cs="Times New Roman"/>
        </w:rPr>
        <w:fldChar w:fldCharType="begin"/>
      </w:r>
      <w:r w:rsidRPr="00095771">
        <w:rPr>
          <w:rFonts w:ascii="Times New Roman" w:hAnsi="Times New Roman" w:cs="Times New Roman"/>
        </w:rPr>
        <w:instrText xml:space="preserve"> SEQ Figure \* ARABIC </w:instrText>
      </w:r>
      <w:r w:rsidR="009A0ED7" w:rsidRPr="00095771">
        <w:rPr>
          <w:rFonts w:ascii="Times New Roman" w:hAnsi="Times New Roman" w:cs="Times New Roman"/>
        </w:rPr>
        <w:fldChar w:fldCharType="separate"/>
      </w:r>
      <w:r w:rsidR="009F5483">
        <w:rPr>
          <w:rFonts w:ascii="Times New Roman" w:hAnsi="Times New Roman" w:cs="Times New Roman"/>
          <w:noProof/>
        </w:rPr>
        <w:t>16</w:t>
      </w:r>
      <w:r w:rsidR="009A0ED7" w:rsidRPr="00095771">
        <w:rPr>
          <w:rFonts w:ascii="Times New Roman" w:hAnsi="Times New Roman" w:cs="Times New Roman"/>
        </w:rPr>
        <w:fldChar w:fldCharType="end"/>
      </w:r>
      <w:bookmarkEnd w:id="114"/>
      <w:r w:rsidRPr="00095771">
        <w:rPr>
          <w:rFonts w:ascii="Times New Roman" w:hAnsi="Times New Roman" w:cs="Times New Roman"/>
        </w:rPr>
        <w:t xml:space="preserve">. </w:t>
      </w:r>
      <w:r w:rsidRPr="00095771">
        <w:rPr>
          <w:rFonts w:ascii="Times New Roman" w:eastAsia="Calibri" w:hAnsi="Times New Roman" w:cs="Times New Roman"/>
        </w:rPr>
        <w:t xml:space="preserve">Sankey diagram representing </w:t>
      </w:r>
      <w:r w:rsidR="00721AEA" w:rsidRPr="00095771">
        <w:rPr>
          <w:rFonts w:ascii="Times New Roman" w:eastAsia="Calibri" w:hAnsi="Times New Roman" w:cs="Times New Roman"/>
        </w:rPr>
        <w:t>the estimated material flow of vanadium</w:t>
      </w:r>
      <w:r w:rsidRPr="00095771">
        <w:rPr>
          <w:rFonts w:ascii="Times New Roman" w:eastAsia="Calibri" w:hAnsi="Times New Roman" w:cs="Times New Roman"/>
        </w:rPr>
        <w:t xml:space="preserve"> within global industry as of 2014.</w:t>
      </w:r>
      <w:bookmarkEnd w:id="115"/>
    </w:p>
    <w:p w:rsidR="006A62D1" w:rsidRPr="005B3139" w:rsidRDefault="006A62D1" w:rsidP="006A62D1">
      <w:pPr>
        <w:spacing w:line="360" w:lineRule="auto"/>
        <w:rPr>
          <w:rFonts w:ascii="Times New Roman" w:eastAsia="Calibri" w:hAnsi="Times New Roman" w:cs="Times New Roman"/>
        </w:rPr>
        <w:sectPr w:rsidR="006A62D1" w:rsidRPr="005B3139" w:rsidSect="00D271A7">
          <w:footerReference w:type="default" r:id="rId72"/>
          <w:pgSz w:w="16838" w:h="11906" w:orient="landscape"/>
          <w:pgMar w:top="1440" w:right="1440" w:bottom="1440" w:left="1440" w:header="708" w:footer="708" w:gutter="0"/>
          <w:cols w:space="708"/>
          <w:titlePg/>
          <w:docGrid w:linePitch="360"/>
        </w:sectPr>
      </w:pPr>
      <w:r w:rsidRPr="00095771">
        <w:rPr>
          <w:rFonts w:ascii="Times New Roman" w:eastAsia="Calibri" w:hAnsi="Times New Roman" w:cs="Times New Roman"/>
        </w:rPr>
        <w:t>Key: Primary flow = Cyan, Waste flow = Lime.</w:t>
      </w:r>
    </w:p>
    <w:p w:rsidR="00877418" w:rsidRPr="00095771" w:rsidRDefault="00877418" w:rsidP="00877418">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lastRenderedPageBreak/>
        <w:t>Global vanadium mine production is dominated by three countries: China (54.41%), South Africa (25.39%) and Russia (18.26%) which account for 98% of total global production. Although in terms of vanadium reserves, China and South Africa have identical global reserves of 38% followed by Russia with 21%.  However vanadium is unique compared to other metals because it cannot be recovered from a single ore.</w:t>
      </w:r>
    </w:p>
    <w:p w:rsidR="00CA3C67" w:rsidRPr="00095771" w:rsidRDefault="00CA3C67" w:rsidP="00CA3C67">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Vanadium is found</w:t>
      </w:r>
      <w:r w:rsidR="00D271A7">
        <w:rPr>
          <w:rFonts w:ascii="Times New Roman" w:eastAsia="Calibri" w:hAnsi="Times New Roman" w:cs="Times New Roman"/>
        </w:rPr>
        <w:t xml:space="preserve"> in over 65 different minerals </w:t>
      </w:r>
      <w:r w:rsidRPr="00095771">
        <w:rPr>
          <w:rFonts w:ascii="Times New Roman" w:eastAsia="Calibri" w:hAnsi="Times New Roman" w:cs="Times New Roman"/>
        </w:rPr>
        <w:t>as a trace element, and is commercially produced as a by-product of other mining operations. The primary source of vanadium is from Titaniferrous Magnetite (TFM) ores with an average grade of ~0.3 to +1% of vanadium pentoxide. However mining from ores only accounts for 13% of vanadium production with the majority of vanadium being produced as a co-product from steel making slag, approximately 68%. The remainder of vanadium, about 19%, is produced from secondary sources oils, uranium, fly ash and catalysts.</w:t>
      </w:r>
    </w:p>
    <w:p w:rsidR="00CA3C67" w:rsidRPr="00095771" w:rsidRDefault="00CA3C67" w:rsidP="00CA3C67">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The primary production of vanadium, approximately 80%, is as a by or co-product with the extraction of other metals. This route produces vanadium as an oxide, either in the form vanadium pentoxide or vanadium (III) oxide as explained in detail in the subsequent paragraph.</w:t>
      </w:r>
    </w:p>
    <w:p w:rsidR="00CA3C67" w:rsidRPr="00095771" w:rsidRDefault="00CA3C67" w:rsidP="00CA3C67">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From the initial stage a slag is produced containing most of the titanium and a pig iron containing most of the vanadium (1.6%). The slag is removed and oxygen blown into the molten pig iron to form a new slag containing vanadium pentoxide (V</w:t>
      </w:r>
      <w:r w:rsidRPr="00095771">
        <w:rPr>
          <w:rFonts w:ascii="Times New Roman" w:eastAsia="Calibri" w:hAnsi="Times New Roman" w:cs="Times New Roman"/>
          <w:vertAlign w:val="subscript"/>
        </w:rPr>
        <w:t>2</w:t>
      </w:r>
      <w:r w:rsidRPr="00095771">
        <w:rPr>
          <w:rFonts w:ascii="Times New Roman" w:eastAsia="Calibri" w:hAnsi="Times New Roman" w:cs="Times New Roman"/>
        </w:rPr>
        <w:t>O</w:t>
      </w:r>
      <w:r w:rsidRPr="00095771">
        <w:rPr>
          <w:rFonts w:ascii="Times New Roman" w:eastAsia="Calibri" w:hAnsi="Times New Roman" w:cs="Times New Roman"/>
          <w:vertAlign w:val="subscript"/>
        </w:rPr>
        <w:t>5</w:t>
      </w:r>
      <w:r w:rsidRPr="00095771">
        <w:rPr>
          <w:rFonts w:ascii="Times New Roman" w:eastAsia="Calibri" w:hAnsi="Times New Roman" w:cs="Times New Roman"/>
        </w:rPr>
        <w:t>). Each country performs this process slightly differently: In Russia a special oxygen steel converter is used, whilst China carries this out by spray refining and South Africa through a shaking ladle. As a consequence there is variation in V</w:t>
      </w:r>
      <w:r w:rsidRPr="00095771">
        <w:rPr>
          <w:rFonts w:ascii="Times New Roman" w:eastAsia="Calibri" w:hAnsi="Times New Roman" w:cs="Times New Roman"/>
          <w:vertAlign w:val="subscript"/>
        </w:rPr>
        <w:t>2</w:t>
      </w:r>
      <w:r w:rsidRPr="00095771">
        <w:rPr>
          <w:rFonts w:ascii="Times New Roman" w:eastAsia="Calibri" w:hAnsi="Times New Roman" w:cs="Times New Roman"/>
        </w:rPr>
        <w:t>O</w:t>
      </w:r>
      <w:r w:rsidRPr="00095771">
        <w:rPr>
          <w:rFonts w:ascii="Times New Roman" w:eastAsia="Calibri" w:hAnsi="Times New Roman" w:cs="Times New Roman"/>
          <w:vertAlign w:val="subscript"/>
        </w:rPr>
        <w:t>5</w:t>
      </w:r>
      <w:r w:rsidRPr="00095771">
        <w:rPr>
          <w:rFonts w:ascii="Times New Roman" w:eastAsia="Calibri" w:hAnsi="Times New Roman" w:cs="Times New Roman"/>
        </w:rPr>
        <w:t xml:space="preserve"> in the slag, with slag form South Africa containing the highest percentage of V</w:t>
      </w:r>
      <w:r w:rsidRPr="00095771">
        <w:rPr>
          <w:rFonts w:ascii="Times New Roman" w:eastAsia="Calibri" w:hAnsi="Times New Roman" w:cs="Times New Roman"/>
          <w:vertAlign w:val="subscript"/>
        </w:rPr>
        <w:t>2</w:t>
      </w:r>
      <w:r w:rsidRPr="00095771">
        <w:rPr>
          <w:rFonts w:ascii="Times New Roman" w:eastAsia="Calibri" w:hAnsi="Times New Roman" w:cs="Times New Roman"/>
        </w:rPr>
        <w:t>O</w:t>
      </w:r>
      <w:r w:rsidRPr="00095771">
        <w:rPr>
          <w:rFonts w:ascii="Times New Roman" w:eastAsia="Calibri" w:hAnsi="Times New Roman" w:cs="Times New Roman"/>
          <w:vertAlign w:val="subscript"/>
        </w:rPr>
        <w:t>5</w:t>
      </w:r>
      <w:r w:rsidRPr="00095771">
        <w:rPr>
          <w:rFonts w:ascii="Times New Roman" w:eastAsia="Calibri" w:hAnsi="Times New Roman" w:cs="Times New Roman"/>
        </w:rPr>
        <w:t xml:space="preserve"> (25%) compared to 14-22% for China and Russia </w:t>
      </w:r>
      <w:r w:rsidRPr="00095771">
        <w:rPr>
          <w:rStyle w:val="ReferenceChar"/>
          <w:noProof/>
          <w:color w:val="auto"/>
        </w:rPr>
        <w:t>(Vanitec 2015)</w:t>
      </w:r>
      <w:r w:rsidRPr="00095771">
        <w:rPr>
          <w:rFonts w:ascii="Times New Roman" w:eastAsia="Calibri" w:hAnsi="Times New Roman" w:cs="Times New Roman"/>
        </w:rPr>
        <w:t>.</w:t>
      </w:r>
    </w:p>
    <w:p w:rsidR="00CA3C67" w:rsidRPr="00095771" w:rsidRDefault="00CA3C67" w:rsidP="00CA3C67">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Once the metallurgical slag has been isolated the V</w:t>
      </w:r>
      <w:r w:rsidRPr="00095771">
        <w:rPr>
          <w:rFonts w:ascii="Times New Roman" w:eastAsia="Calibri" w:hAnsi="Times New Roman" w:cs="Times New Roman"/>
          <w:vertAlign w:val="subscript"/>
        </w:rPr>
        <w:t>2</w:t>
      </w:r>
      <w:r w:rsidRPr="00095771">
        <w:rPr>
          <w:rFonts w:ascii="Times New Roman" w:eastAsia="Calibri" w:hAnsi="Times New Roman" w:cs="Times New Roman"/>
        </w:rPr>
        <w:t>O</w:t>
      </w:r>
      <w:r w:rsidRPr="00095771">
        <w:rPr>
          <w:rFonts w:ascii="Times New Roman" w:eastAsia="Calibri" w:hAnsi="Times New Roman" w:cs="Times New Roman"/>
          <w:vertAlign w:val="subscript"/>
        </w:rPr>
        <w:t>5</w:t>
      </w:r>
      <w:r w:rsidRPr="00095771">
        <w:rPr>
          <w:rFonts w:ascii="Times New Roman" w:eastAsia="Calibri" w:hAnsi="Times New Roman" w:cs="Times New Roman"/>
        </w:rPr>
        <w:t xml:space="preserve"> undergoes three main extraction techniques; roasting, leaching and precipitation in order to obtain industrial grade purity (86.5%) or higher (99.5%) in order to produce Fe-V.</w:t>
      </w:r>
    </w:p>
    <w:p w:rsidR="00F04C82" w:rsidRPr="00095771" w:rsidRDefault="00CA3C67" w:rsidP="00CA3C67">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High grade industrial purity Fe-V is used in steel making accounting for 89% with the remainder of uses being in high performance alloys and vanadium chemicals. Within the steel making, HSLA steels account for 60% with special steels comprising 30% of metallurgical end product use.</w:t>
      </w:r>
    </w:p>
    <w:p w:rsidR="008176EF" w:rsidRPr="00095771" w:rsidRDefault="00F04C82" w:rsidP="00CA3C67">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Though the global vanadium MFA provides a very useful snapshot of the flow of vanadium,</w:t>
      </w:r>
      <w:r w:rsidR="008176EF" w:rsidRPr="00095771">
        <w:rPr>
          <w:rFonts w:ascii="Times New Roman" w:eastAsia="Calibri" w:hAnsi="Times New Roman" w:cs="Times New Roman"/>
        </w:rPr>
        <w:t xml:space="preserve"> </w:t>
      </w:r>
      <w:r w:rsidR="00C56F83" w:rsidRPr="00095771">
        <w:rPr>
          <w:rFonts w:ascii="Times New Roman" w:eastAsia="Calibri" w:hAnsi="Times New Roman" w:cs="Times New Roman"/>
        </w:rPr>
        <w:t xml:space="preserve">there are a several topics of interest, based on </w:t>
      </w:r>
      <w:r w:rsidR="008176EF" w:rsidRPr="00095771">
        <w:rPr>
          <w:rFonts w:ascii="Times New Roman" w:eastAsia="Calibri" w:hAnsi="Times New Roman" w:cs="Times New Roman"/>
        </w:rPr>
        <w:t xml:space="preserve">the nature of </w:t>
      </w:r>
      <w:r w:rsidR="00C56F83" w:rsidRPr="00095771">
        <w:rPr>
          <w:rFonts w:ascii="Times New Roman" w:eastAsia="Calibri" w:hAnsi="Times New Roman" w:cs="Times New Roman"/>
        </w:rPr>
        <w:t>vanadiums properties, supply and use.</w:t>
      </w:r>
    </w:p>
    <w:p w:rsidR="00C56F83" w:rsidRPr="00095771" w:rsidRDefault="00C56F83" w:rsidP="00C56F83">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In terms of supply, over the next couple of years between 2012 and 2017, only a few projects are predicted to come online. This is because expansion of vanadium</w:t>
      </w:r>
      <w:r w:rsidR="00D271A7">
        <w:rPr>
          <w:rFonts w:ascii="Times New Roman" w:eastAsia="Calibri" w:hAnsi="Times New Roman" w:cs="Times New Roman"/>
        </w:rPr>
        <w:t>’</w:t>
      </w:r>
      <w:r w:rsidRPr="00095771">
        <w:rPr>
          <w:rFonts w:ascii="Times New Roman" w:eastAsia="Calibri" w:hAnsi="Times New Roman" w:cs="Times New Roman"/>
        </w:rPr>
        <w:t>s</w:t>
      </w:r>
      <w:r w:rsidR="008176EF" w:rsidRPr="00095771">
        <w:rPr>
          <w:rFonts w:ascii="Times New Roman" w:eastAsia="Calibri" w:hAnsi="Times New Roman" w:cs="Times New Roman"/>
        </w:rPr>
        <w:t xml:space="preserve"> supply is highly dependent upon</w:t>
      </w:r>
      <w:r w:rsidRPr="00095771">
        <w:rPr>
          <w:rFonts w:ascii="Times New Roman" w:eastAsia="Calibri" w:hAnsi="Times New Roman" w:cs="Times New Roman"/>
        </w:rPr>
        <w:t xml:space="preserve"> the global steel market</w:t>
      </w:r>
      <w:r w:rsidR="008176EF" w:rsidRPr="00095771">
        <w:rPr>
          <w:rFonts w:ascii="Times New Roman" w:eastAsia="Calibri" w:hAnsi="Times New Roman" w:cs="Times New Roman"/>
        </w:rPr>
        <w:t>. The more developed and stable the steel market, the more likelihood current produ</w:t>
      </w:r>
      <w:r w:rsidRPr="00095771">
        <w:rPr>
          <w:rFonts w:ascii="Times New Roman" w:eastAsia="Calibri" w:hAnsi="Times New Roman" w:cs="Times New Roman"/>
        </w:rPr>
        <w:t>cers will expand and upgrade resulting in new projects being</w:t>
      </w:r>
      <w:r w:rsidR="008176EF" w:rsidRPr="00095771">
        <w:rPr>
          <w:rFonts w:ascii="Times New Roman" w:eastAsia="Calibri" w:hAnsi="Times New Roman" w:cs="Times New Roman"/>
        </w:rPr>
        <w:t xml:space="preserve"> mined, explored and developed. </w:t>
      </w:r>
    </w:p>
    <w:p w:rsidR="00C56F83" w:rsidRPr="00095771" w:rsidRDefault="008176EF" w:rsidP="00473A09">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Currently the most advanced project to come online will be Atlantic’s Windimurra project in Western Australia. The Windimurra mine is not a new project, rather an upgrade of an existing mill</w:t>
      </w:r>
      <w:r w:rsidR="00473A09" w:rsidRPr="00095771">
        <w:rPr>
          <w:rFonts w:ascii="Times New Roman" w:eastAsia="Calibri" w:hAnsi="Times New Roman" w:cs="Times New Roman"/>
        </w:rPr>
        <w:t>. Originally it first produced v</w:t>
      </w:r>
      <w:r w:rsidRPr="00095771">
        <w:rPr>
          <w:rFonts w:ascii="Times New Roman" w:eastAsia="Calibri" w:hAnsi="Times New Roman" w:cs="Times New Roman"/>
        </w:rPr>
        <w:t xml:space="preserve">anadium in 1999, but closed down in 2003 due to market conditions being </w:t>
      </w:r>
      <w:r w:rsidR="00C56F83" w:rsidRPr="00095771">
        <w:rPr>
          <w:rFonts w:ascii="Times New Roman" w:eastAsia="Calibri" w:hAnsi="Times New Roman" w:cs="Times New Roman"/>
        </w:rPr>
        <w:t>unfavourable</w:t>
      </w:r>
      <w:r w:rsidRPr="00095771">
        <w:rPr>
          <w:rFonts w:ascii="Times New Roman" w:eastAsia="Calibri" w:hAnsi="Times New Roman" w:cs="Times New Roman"/>
        </w:rPr>
        <w:t xml:space="preserve">. However it was expected to restart in 2011 but due to delays, this has been pushed back </w:t>
      </w:r>
      <w:r w:rsidRPr="00095771">
        <w:rPr>
          <w:rFonts w:ascii="Times New Roman" w:eastAsia="Calibri" w:hAnsi="Times New Roman" w:cs="Times New Roman"/>
        </w:rPr>
        <w:lastRenderedPageBreak/>
        <w:t xml:space="preserve">to late 2012 or early 2013. Windimurra will produce approximately 6,300 </w:t>
      </w:r>
      <w:r w:rsidR="00473A09" w:rsidRPr="00095771">
        <w:rPr>
          <w:rFonts w:ascii="Times New Roman" w:eastAsia="Calibri" w:hAnsi="Times New Roman" w:cs="Times New Roman"/>
        </w:rPr>
        <w:t>Metric tons Vanadium (</w:t>
      </w:r>
      <w:r w:rsidRPr="00095771">
        <w:rPr>
          <w:rFonts w:ascii="Times New Roman" w:eastAsia="Calibri" w:hAnsi="Times New Roman" w:cs="Times New Roman"/>
        </w:rPr>
        <w:t>MTV</w:t>
      </w:r>
      <w:r w:rsidR="00473A09" w:rsidRPr="00095771">
        <w:rPr>
          <w:rFonts w:ascii="Times New Roman" w:eastAsia="Calibri" w:hAnsi="Times New Roman" w:cs="Times New Roman"/>
        </w:rPr>
        <w:t>)</w:t>
      </w:r>
      <w:r w:rsidRPr="00095771">
        <w:rPr>
          <w:rFonts w:ascii="Times New Roman" w:eastAsia="Calibri" w:hAnsi="Times New Roman" w:cs="Times New Roman"/>
        </w:rPr>
        <w:t>, mainly Fe</w:t>
      </w:r>
      <w:r w:rsidR="00C56F83" w:rsidRPr="00095771">
        <w:rPr>
          <w:rFonts w:ascii="Times New Roman" w:eastAsia="Calibri" w:hAnsi="Times New Roman" w:cs="Times New Roman"/>
        </w:rPr>
        <w:t>-V</w:t>
      </w:r>
      <w:r w:rsidRPr="00095771">
        <w:rPr>
          <w:rFonts w:ascii="Times New Roman" w:eastAsia="Calibri" w:hAnsi="Times New Roman" w:cs="Times New Roman"/>
        </w:rPr>
        <w:t xml:space="preserve"> for usage in steel. Apart from the Wi</w:t>
      </w:r>
      <w:r w:rsidR="00C56F83" w:rsidRPr="00095771">
        <w:rPr>
          <w:rFonts w:ascii="Times New Roman" w:eastAsia="Calibri" w:hAnsi="Times New Roman" w:cs="Times New Roman"/>
        </w:rPr>
        <w:t xml:space="preserve">ndimurra project, </w:t>
      </w:r>
      <w:r w:rsidR="00473A09" w:rsidRPr="00095771">
        <w:rPr>
          <w:rFonts w:ascii="Times New Roman" w:eastAsia="Calibri" w:hAnsi="Times New Roman" w:cs="Times New Roman"/>
        </w:rPr>
        <w:t xml:space="preserve">not many Greenfield projects (i.e. projects built from scratch) are expected to come online. Thus the emphasis will be on primary vanadium producing countries to upgrade or expand production. The following are brief summaries, </w:t>
      </w:r>
      <w:r w:rsidR="00C56F83" w:rsidRPr="00095771">
        <w:rPr>
          <w:rFonts w:ascii="Times New Roman" w:eastAsia="Calibri" w:hAnsi="Times New Roman" w:cs="Times New Roman"/>
        </w:rPr>
        <w:t>examining projects in the near future from the 3 main vanadium producing countries.</w:t>
      </w:r>
    </w:p>
    <w:p w:rsidR="00473A09" w:rsidRPr="00095771" w:rsidRDefault="00C56F83" w:rsidP="00473A09">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China is expected to significantly upgrade its vanadium by-product production by strategically supporting growing internal steel production from its own domestic ores. Over the years China has become dependent on importing iron ore from aboard, and this strategy is designed to counteract that dependence. Currently low iron bearing ores (30%) rich in titanium and vanadium have been discovered in the provinces of Sichuan and Hebei. In addition</w:t>
      </w:r>
      <w:r w:rsidR="00473A09" w:rsidRPr="00095771">
        <w:rPr>
          <w:rFonts w:ascii="Times New Roman" w:eastAsia="Calibri" w:hAnsi="Times New Roman" w:cs="Times New Roman"/>
        </w:rPr>
        <w:t>, the</w:t>
      </w:r>
      <w:r w:rsidRPr="00095771">
        <w:rPr>
          <w:rFonts w:ascii="Times New Roman" w:eastAsia="Calibri" w:hAnsi="Times New Roman" w:cs="Times New Roman"/>
        </w:rPr>
        <w:t xml:space="preserve"> Daquan Project </w:t>
      </w:r>
      <w:r w:rsidR="00473A09" w:rsidRPr="00095771">
        <w:rPr>
          <w:rFonts w:ascii="Times New Roman" w:eastAsia="Calibri" w:hAnsi="Times New Roman" w:cs="Times New Roman"/>
        </w:rPr>
        <w:t>is also</w:t>
      </w:r>
      <w:r w:rsidRPr="00095771">
        <w:rPr>
          <w:rFonts w:ascii="Times New Roman" w:eastAsia="Calibri" w:hAnsi="Times New Roman" w:cs="Times New Roman"/>
        </w:rPr>
        <w:t xml:space="preserve"> expected to go on-line in 2012 with a cap</w:t>
      </w:r>
      <w:r w:rsidR="00473A09" w:rsidRPr="00095771">
        <w:rPr>
          <w:rFonts w:ascii="Times New Roman" w:eastAsia="Calibri" w:hAnsi="Times New Roman" w:cs="Times New Roman"/>
        </w:rPr>
        <w:t>acity of 6,400 tons per annum</w:t>
      </w:r>
      <w:r w:rsidRPr="00095771">
        <w:rPr>
          <w:rFonts w:ascii="Times New Roman" w:eastAsia="Calibri" w:hAnsi="Times New Roman" w:cs="Times New Roman"/>
        </w:rPr>
        <w:t>. According to this approach</w:t>
      </w:r>
      <w:r w:rsidR="00473A09" w:rsidRPr="00095771">
        <w:rPr>
          <w:rFonts w:ascii="Times New Roman" w:eastAsia="Calibri" w:hAnsi="Times New Roman" w:cs="Times New Roman"/>
        </w:rPr>
        <w:t>,</w:t>
      </w:r>
      <w:r w:rsidRPr="00095771">
        <w:rPr>
          <w:rFonts w:ascii="Times New Roman" w:eastAsia="Calibri" w:hAnsi="Times New Roman" w:cs="Times New Roman"/>
        </w:rPr>
        <w:t xml:space="preserve"> China is expected to produce an extra 20,000 tonnes of by-product vanadium from planned steel mill expansions over the next 5 years. </w:t>
      </w:r>
      <w:r w:rsidRPr="00095771">
        <w:rPr>
          <w:rStyle w:val="ReferenceChar"/>
          <w:noProof/>
          <w:color w:val="auto"/>
        </w:rPr>
        <w:t>(Perles 2012)</w:t>
      </w:r>
    </w:p>
    <w:p w:rsidR="00C56F83" w:rsidRPr="00095771" w:rsidRDefault="00C56F83" w:rsidP="00473A09">
      <w:pPr>
        <w:spacing w:after="0" w:line="360" w:lineRule="auto"/>
        <w:ind w:firstLine="720"/>
        <w:jc w:val="both"/>
        <w:rPr>
          <w:rStyle w:val="ReferenceChar"/>
          <w:color w:val="auto"/>
        </w:rPr>
      </w:pPr>
      <w:r w:rsidRPr="00095771">
        <w:rPr>
          <w:rFonts w:ascii="Times New Roman" w:eastAsia="Calibri" w:hAnsi="Times New Roman" w:cs="Times New Roman"/>
        </w:rPr>
        <w:t xml:space="preserve">Apart from China, the other 2 primary producing nations (South Africa and Russia) are also set to expand production. Expansion of existing plants such as Nizhny </w:t>
      </w:r>
      <w:proofErr w:type="spellStart"/>
      <w:r w:rsidRPr="00095771">
        <w:rPr>
          <w:rFonts w:ascii="Times New Roman" w:eastAsia="Calibri" w:hAnsi="Times New Roman" w:cs="Times New Roman"/>
        </w:rPr>
        <w:t>Tagilsteel</w:t>
      </w:r>
      <w:proofErr w:type="spellEnd"/>
      <w:r w:rsidRPr="00095771">
        <w:rPr>
          <w:rFonts w:ascii="Times New Roman" w:eastAsia="Calibri" w:hAnsi="Times New Roman" w:cs="Times New Roman"/>
        </w:rPr>
        <w:t xml:space="preserve"> mill (Russia) and Highveld Steel mill (South Africa) are expected in 2015 with increased production capacities of 7,000 </w:t>
      </w:r>
      <w:r w:rsidR="00473A09" w:rsidRPr="00095771">
        <w:rPr>
          <w:rFonts w:ascii="Times New Roman" w:eastAsia="Calibri" w:hAnsi="Times New Roman" w:cs="Times New Roman"/>
        </w:rPr>
        <w:t>and 1,500 MTV respectively. Additionally, unspecified expansion from eit</w:t>
      </w:r>
      <w:r w:rsidR="00D271A7">
        <w:rPr>
          <w:rFonts w:ascii="Times New Roman" w:eastAsia="Calibri" w:hAnsi="Times New Roman" w:cs="Times New Roman"/>
        </w:rPr>
        <w:t>her unfunded or not identified v</w:t>
      </w:r>
      <w:r w:rsidR="00473A09" w:rsidRPr="00095771">
        <w:rPr>
          <w:rFonts w:ascii="Times New Roman" w:eastAsia="Calibri" w:hAnsi="Times New Roman" w:cs="Times New Roman"/>
        </w:rPr>
        <w:t xml:space="preserve">anadium mining projects could bring an additional 6,000 MTV per year to market by 2017. </w:t>
      </w:r>
      <w:r w:rsidR="00473A09" w:rsidRPr="00095771">
        <w:rPr>
          <w:rStyle w:val="ReferenceChar"/>
          <w:noProof/>
          <w:color w:val="auto"/>
        </w:rPr>
        <w:t>(Atlantic Ltd 2013)</w:t>
      </w:r>
    </w:p>
    <w:p w:rsidR="00473A09" w:rsidRPr="00095771" w:rsidRDefault="00473A09" w:rsidP="00473A09">
      <w:pPr>
        <w:spacing w:after="0" w:line="360" w:lineRule="auto"/>
        <w:ind w:firstLine="720"/>
        <w:jc w:val="both"/>
        <w:rPr>
          <w:rFonts w:ascii="Times New Roman" w:eastAsia="Calibri" w:hAnsi="Times New Roman"/>
        </w:rPr>
      </w:pPr>
      <w:r w:rsidRPr="00095771">
        <w:rPr>
          <w:rStyle w:val="ReferenceChar"/>
          <w:color w:val="auto"/>
        </w:rPr>
        <w:t xml:space="preserve">Apart from supply, vanadium demand will also be susceptible to changes in the market and in particular the steel industry. Within steel, </w:t>
      </w:r>
      <w:r w:rsidRPr="00095771">
        <w:rPr>
          <w:rFonts w:ascii="Times New Roman" w:eastAsia="Calibri" w:hAnsi="Times New Roman" w:cs="Times New Roman"/>
        </w:rPr>
        <w:t xml:space="preserve">the production of titanium alloys predominantly in aerospace applications could have a significant impact on vanadium demand. In particularly Ti6-4 which contains about 4% vanadium. In 2011 over 3,000 MTV was consumed in titanium alloy production and increased to about 3,229 MTV in 2012. This meant titanium alloys accounted for about 4% of consumption of vanadium in 2012. However, with air traffic doubling over the next 15 years and military demand increasing by about 40% between 2010 to 2015, demands for vanadium consumption by titanium alloys is expected to reach 6,000 MTV by 2016. This therefore strategically places </w:t>
      </w:r>
      <w:r w:rsidR="00D271A7">
        <w:rPr>
          <w:rFonts w:ascii="Times New Roman" w:eastAsia="Calibri" w:hAnsi="Times New Roman" w:cs="Times New Roman"/>
        </w:rPr>
        <w:t>t</w:t>
      </w:r>
      <w:r w:rsidRPr="00095771">
        <w:rPr>
          <w:rFonts w:ascii="Times New Roman" w:eastAsia="Calibri" w:hAnsi="Times New Roman" w:cs="Times New Roman"/>
        </w:rPr>
        <w:t xml:space="preserve">itanium alloy demand in aerospace applications, as potentially one of the quickest growing markets for global vanadium demand. </w:t>
      </w:r>
      <w:r w:rsidRPr="00095771">
        <w:rPr>
          <w:rStyle w:val="ReferenceChar"/>
          <w:noProof/>
          <w:color w:val="auto"/>
        </w:rPr>
        <w:t>(Atlantic Ltd 2013)</w:t>
      </w:r>
    </w:p>
    <w:p w:rsidR="00F04C82" w:rsidRPr="00095771" w:rsidRDefault="00F04C82" w:rsidP="00CA3C67">
      <w:pPr>
        <w:spacing w:after="0" w:line="360" w:lineRule="auto"/>
        <w:ind w:firstLine="720"/>
        <w:jc w:val="both"/>
        <w:rPr>
          <w:rStyle w:val="ReferenceChar"/>
          <w:color w:val="auto"/>
        </w:rPr>
      </w:pPr>
      <w:r w:rsidRPr="00095771">
        <w:rPr>
          <w:rFonts w:ascii="Times New Roman" w:eastAsia="Calibri" w:hAnsi="Times New Roman" w:cs="Times New Roman"/>
        </w:rPr>
        <w:t>Outside the steel sector</w:t>
      </w:r>
      <w:r w:rsidR="00473A09" w:rsidRPr="00095771">
        <w:rPr>
          <w:rFonts w:ascii="Times New Roman" w:eastAsia="Calibri" w:hAnsi="Times New Roman" w:cs="Times New Roman"/>
        </w:rPr>
        <w:t>, v</w:t>
      </w:r>
      <w:r w:rsidRPr="00095771">
        <w:rPr>
          <w:rFonts w:ascii="Times New Roman" w:eastAsia="Calibri" w:hAnsi="Times New Roman" w:cs="Times New Roman"/>
        </w:rPr>
        <w:t xml:space="preserve">anadium has had little use up to now in the energy sector. In 2012 vanadium consumption was thought to be about 1% in energy storage applications. However with significant development in energy storage applications such as, lithium battery systems and vanadium redox flow batteries (VRB), this could change. Lithium batteries are in demand due to their improved energy to weight characteristics as well as their higher voltages which are ideal for use </w:t>
      </w:r>
      <w:r w:rsidR="00D271A7">
        <w:rPr>
          <w:rFonts w:ascii="Times New Roman" w:eastAsia="Calibri" w:hAnsi="Times New Roman" w:cs="Times New Roman"/>
        </w:rPr>
        <w:t>in electric cars. Whereas, VRB</w:t>
      </w:r>
      <w:r w:rsidRPr="00095771">
        <w:rPr>
          <w:rFonts w:ascii="Times New Roman" w:eastAsia="Calibri" w:hAnsi="Times New Roman" w:cs="Times New Roman"/>
        </w:rPr>
        <w:t xml:space="preserve"> are in demand due to their unlimited storage capacity and extremely rapid discharge ability which make them suitable for large power storage applications in wind or solar energy. These two energy storage applications have the potential to have a substantial impact on future global </w:t>
      </w:r>
      <w:r w:rsidRPr="00095771">
        <w:rPr>
          <w:rFonts w:ascii="Times New Roman" w:eastAsia="Calibri" w:hAnsi="Times New Roman" w:cs="Times New Roman"/>
        </w:rPr>
        <w:lastRenderedPageBreak/>
        <w:t xml:space="preserve">vanadium demand. In 2012 demand for lithium batteries </w:t>
      </w:r>
      <w:r w:rsidR="00D271A7">
        <w:rPr>
          <w:rFonts w:ascii="Times New Roman" w:eastAsia="Calibri" w:hAnsi="Times New Roman" w:cs="Times New Roman"/>
        </w:rPr>
        <w:t>was 200 tonnes whereas for VRB</w:t>
      </w:r>
      <w:r w:rsidRPr="00095771">
        <w:rPr>
          <w:rFonts w:ascii="Times New Roman" w:eastAsia="Calibri" w:hAnsi="Times New Roman" w:cs="Times New Roman"/>
        </w:rPr>
        <w:t xml:space="preserve"> it was 1,100 tonnes. However, conservative projections have put future demand for lithium batteries at 1,700 to</w:t>
      </w:r>
      <w:r w:rsidR="00D271A7">
        <w:rPr>
          <w:rFonts w:ascii="Times New Roman" w:eastAsia="Calibri" w:hAnsi="Times New Roman" w:cs="Times New Roman"/>
        </w:rPr>
        <w:t xml:space="preserve">nnes and 8,500 tonnes for VRB </w:t>
      </w:r>
      <w:r w:rsidRPr="00095771">
        <w:rPr>
          <w:rFonts w:ascii="Times New Roman" w:eastAsia="Calibri" w:hAnsi="Times New Roman" w:cs="Times New Roman"/>
        </w:rPr>
        <w:t xml:space="preserve">by 2017. </w:t>
      </w:r>
      <w:r w:rsidRPr="00095771">
        <w:rPr>
          <w:rStyle w:val="ReferenceChar"/>
          <w:noProof/>
          <w:color w:val="auto"/>
        </w:rPr>
        <w:t>(Atlantic Ltd 2013)</w:t>
      </w:r>
    </w:p>
    <w:p w:rsidR="00473A09" w:rsidRPr="00095771" w:rsidRDefault="008176EF" w:rsidP="00473A09">
      <w:pPr>
        <w:spacing w:after="0" w:line="360" w:lineRule="auto"/>
        <w:ind w:firstLine="720"/>
        <w:jc w:val="both"/>
        <w:rPr>
          <w:rFonts w:ascii="Times New Roman" w:eastAsia="Calibri" w:hAnsi="Times New Roman"/>
        </w:rPr>
      </w:pPr>
      <w:r w:rsidRPr="00095771">
        <w:rPr>
          <w:rFonts w:ascii="Times New Roman" w:eastAsia="Calibri" w:hAnsi="Times New Roman" w:cs="Times New Roman"/>
        </w:rPr>
        <w:t>Even-though energy storage applications and titanium alloy demand migh</w:t>
      </w:r>
      <w:r w:rsidR="00473A09" w:rsidRPr="00095771">
        <w:rPr>
          <w:rFonts w:ascii="Times New Roman" w:eastAsia="Calibri" w:hAnsi="Times New Roman" w:cs="Times New Roman"/>
        </w:rPr>
        <w:t>t have a substantial impact on v</w:t>
      </w:r>
      <w:r w:rsidRPr="00095771">
        <w:rPr>
          <w:rFonts w:ascii="Times New Roman" w:eastAsia="Calibri" w:hAnsi="Times New Roman" w:cs="Times New Roman"/>
        </w:rPr>
        <w:t>anadium demand, the steel indus</w:t>
      </w:r>
      <w:r w:rsidR="00473A09" w:rsidRPr="00095771">
        <w:rPr>
          <w:rFonts w:ascii="Times New Roman" w:eastAsia="Calibri" w:hAnsi="Times New Roman" w:cs="Times New Roman"/>
        </w:rPr>
        <w:t>try will still dominate global v</w:t>
      </w:r>
      <w:r w:rsidRPr="00095771">
        <w:rPr>
          <w:rFonts w:ascii="Times New Roman" w:eastAsia="Calibri" w:hAnsi="Times New Roman" w:cs="Times New Roman"/>
        </w:rPr>
        <w:t>anadium demand. Global vanadium demand today is driven by two basic variables: global steel production rates, and the Specific Vanadium Cons</w:t>
      </w:r>
      <w:r w:rsidR="00473A09" w:rsidRPr="00095771">
        <w:rPr>
          <w:rFonts w:ascii="Times New Roman" w:eastAsia="Calibri" w:hAnsi="Times New Roman" w:cs="Times New Roman"/>
        </w:rPr>
        <w:t>umption Rate (SVCR) (kilograms v</w:t>
      </w:r>
      <w:r w:rsidRPr="00095771">
        <w:rPr>
          <w:rFonts w:ascii="Times New Roman" w:eastAsia="Calibri" w:hAnsi="Times New Roman" w:cs="Times New Roman"/>
        </w:rPr>
        <w:t>anadium used per me</w:t>
      </w:r>
      <w:r w:rsidR="00FB69D9">
        <w:rPr>
          <w:rFonts w:ascii="Times New Roman" w:eastAsia="Calibri" w:hAnsi="Times New Roman" w:cs="Times New Roman"/>
        </w:rPr>
        <w:t>tric ton of steel produced, or k</w:t>
      </w:r>
      <w:r w:rsidRPr="00095771">
        <w:rPr>
          <w:rFonts w:ascii="Times New Roman" w:eastAsia="Calibri" w:hAnsi="Times New Roman" w:cs="Times New Roman"/>
        </w:rPr>
        <w:t>g</w:t>
      </w:r>
      <w:r w:rsidR="00FB69D9">
        <w:rPr>
          <w:rFonts w:ascii="Times New Roman" w:eastAsia="Calibri" w:hAnsi="Times New Roman" w:cs="Times New Roman"/>
        </w:rPr>
        <w:t>-</w:t>
      </w:r>
      <w:r w:rsidRPr="00095771">
        <w:rPr>
          <w:rFonts w:ascii="Times New Roman" w:eastAsia="Calibri" w:hAnsi="Times New Roman" w:cs="Times New Roman"/>
        </w:rPr>
        <w:t>V</w:t>
      </w:r>
      <w:r w:rsidR="00FB69D9">
        <w:rPr>
          <w:rFonts w:ascii="Times New Roman" w:eastAsia="Calibri" w:hAnsi="Times New Roman" w:cs="Times New Roman"/>
        </w:rPr>
        <w:t>anadium</w:t>
      </w:r>
      <w:r w:rsidRPr="00095771">
        <w:rPr>
          <w:rFonts w:ascii="Times New Roman" w:eastAsia="Calibri" w:hAnsi="Times New Roman" w:cs="Times New Roman"/>
        </w:rPr>
        <w:t>/MT steel) within the steel industry. Changes in these two variables will be the main</w:t>
      </w:r>
      <w:r w:rsidR="00473A09" w:rsidRPr="00095771">
        <w:rPr>
          <w:rFonts w:ascii="Times New Roman" w:eastAsia="Calibri" w:hAnsi="Times New Roman" w:cs="Times New Roman"/>
        </w:rPr>
        <w:t xml:space="preserve"> drivers for changes in global v</w:t>
      </w:r>
      <w:r w:rsidRPr="00095771">
        <w:rPr>
          <w:rFonts w:ascii="Times New Roman" w:eastAsia="Calibri" w:hAnsi="Times New Roman" w:cs="Times New Roman"/>
        </w:rPr>
        <w:t xml:space="preserve">anadium demand in the up-coming years. </w:t>
      </w:r>
      <w:r w:rsidRPr="00095771">
        <w:rPr>
          <w:rStyle w:val="ReferenceChar"/>
          <w:noProof/>
          <w:color w:val="auto"/>
        </w:rPr>
        <w:t>(Perles 2012)</w:t>
      </w:r>
    </w:p>
    <w:p w:rsidR="00095771" w:rsidRPr="003A30B0" w:rsidRDefault="00FB69D9" w:rsidP="003A30B0">
      <w:pPr>
        <w:spacing w:after="0" w:line="360" w:lineRule="auto"/>
        <w:ind w:firstLine="720"/>
        <w:jc w:val="both"/>
        <w:rPr>
          <w:rFonts w:ascii="Times New Roman" w:eastAsia="Calibri" w:hAnsi="Times New Roman"/>
          <w:noProof/>
        </w:rPr>
        <w:sectPr w:rsidR="00095771" w:rsidRPr="003A30B0">
          <w:pgSz w:w="11906" w:h="16838"/>
          <w:pgMar w:top="1440" w:right="1440" w:bottom="1440" w:left="1440" w:header="708" w:footer="708" w:gutter="0"/>
          <w:cols w:space="708"/>
          <w:docGrid w:linePitch="360"/>
        </w:sectPr>
      </w:pPr>
      <w:r>
        <w:rPr>
          <w:rFonts w:ascii="Times New Roman" w:eastAsia="Calibri" w:hAnsi="Times New Roman" w:cs="Times New Roman"/>
        </w:rPr>
        <w:t>As a summary, vanadium alloy</w:t>
      </w:r>
      <w:r w:rsidR="008176EF" w:rsidRPr="00095771">
        <w:rPr>
          <w:rFonts w:ascii="Times New Roman" w:eastAsia="Calibri" w:hAnsi="Times New Roman" w:cs="Times New Roman"/>
        </w:rPr>
        <w:t xml:space="preserve"> production is in the phase of stability and growth and this application will make a contribution in the next 5 years. Energy storage applications do offer potential to have a significant impact on vanadium demand growth in the coming years. Vanadium chemical applications are for the most part mature applications with growth in vanadium consumption in this field projected to be close to gl</w:t>
      </w:r>
      <w:r w:rsidR="00473A09" w:rsidRPr="00095771">
        <w:rPr>
          <w:rFonts w:ascii="Times New Roman" w:eastAsia="Calibri" w:hAnsi="Times New Roman" w:cs="Times New Roman"/>
        </w:rPr>
        <w:t>obal gross domestic product (GDP)</w:t>
      </w:r>
      <w:r w:rsidR="008176EF" w:rsidRPr="00095771">
        <w:rPr>
          <w:rFonts w:ascii="Times New Roman" w:eastAsia="Calibri" w:hAnsi="Times New Roman" w:cs="Times New Roman"/>
        </w:rPr>
        <w:t xml:space="preserve"> growth. But changes in the steel market will continue to drive and predominantly affect </w:t>
      </w:r>
      <w:r w:rsidR="00473A09" w:rsidRPr="00095771">
        <w:rPr>
          <w:rFonts w:ascii="Times New Roman" w:eastAsia="Calibri" w:hAnsi="Times New Roman" w:cs="Times New Roman"/>
        </w:rPr>
        <w:t>the global v</w:t>
      </w:r>
      <w:r w:rsidR="008176EF" w:rsidRPr="00095771">
        <w:rPr>
          <w:rFonts w:ascii="Times New Roman" w:eastAsia="Calibri" w:hAnsi="Times New Roman" w:cs="Times New Roman"/>
        </w:rPr>
        <w:t xml:space="preserve">anadium </w:t>
      </w:r>
      <w:r w:rsidR="00473A09" w:rsidRPr="00095771">
        <w:rPr>
          <w:rFonts w:ascii="Times New Roman" w:eastAsia="Calibri" w:hAnsi="Times New Roman" w:cs="Times New Roman"/>
        </w:rPr>
        <w:t>supply and demand</w:t>
      </w:r>
      <w:r w:rsidR="008176EF" w:rsidRPr="00095771">
        <w:rPr>
          <w:rFonts w:ascii="Times New Roman" w:eastAsia="Calibri" w:hAnsi="Times New Roman" w:cs="Times New Roman"/>
        </w:rPr>
        <w:t xml:space="preserve">. </w:t>
      </w:r>
      <w:r w:rsidR="008176EF" w:rsidRPr="00095771">
        <w:rPr>
          <w:rStyle w:val="ReferenceChar"/>
          <w:noProof/>
          <w:color w:val="auto"/>
        </w:rPr>
        <w:t>(Perles 2012)</w:t>
      </w:r>
      <w:r w:rsidR="00095771">
        <w:rPr>
          <w:rStyle w:val="ReferenceChar"/>
          <w:noProof/>
          <w:color w:val="auto"/>
        </w:rPr>
        <w:t>.</w:t>
      </w:r>
    </w:p>
    <w:p w:rsidR="006A62D1" w:rsidRPr="005B3139" w:rsidRDefault="00CC009D" w:rsidP="00BA176B">
      <w:pPr>
        <w:pStyle w:val="Heading2"/>
        <w:rPr>
          <w:rFonts w:eastAsia="Calibri"/>
        </w:rPr>
      </w:pPr>
      <w:r>
        <w:rPr>
          <w:rFonts w:eastAsia="Calibri"/>
        </w:rPr>
        <w:lastRenderedPageBreak/>
        <w:t>5</w:t>
      </w:r>
      <w:r w:rsidR="00BA176B">
        <w:rPr>
          <w:rFonts w:eastAsia="Calibri"/>
        </w:rPr>
        <w:t>.6 Summary</w:t>
      </w:r>
      <w:r w:rsidR="00CA3C67">
        <w:rPr>
          <w:rFonts w:eastAsia="Calibri"/>
        </w:rPr>
        <w:t xml:space="preserve"> </w:t>
      </w:r>
    </w:p>
    <w:p w:rsidR="006A62D1" w:rsidRPr="00095771" w:rsidRDefault="00C6246C" w:rsidP="00755E93">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 Mapping the flows of</w:t>
      </w:r>
      <w:r w:rsidR="00AB55C4" w:rsidRPr="00095771">
        <w:rPr>
          <w:rFonts w:ascii="Times New Roman" w:eastAsia="Calibri" w:hAnsi="Times New Roman" w:cs="Times New Roman"/>
        </w:rPr>
        <w:t xml:space="preserve"> critical</w:t>
      </w:r>
      <w:r w:rsidRPr="00095771">
        <w:rPr>
          <w:rFonts w:ascii="Times New Roman" w:eastAsia="Calibri" w:hAnsi="Times New Roman" w:cs="Times New Roman"/>
        </w:rPr>
        <w:t xml:space="preserve"> metal</w:t>
      </w:r>
      <w:r w:rsidR="00AB55C4" w:rsidRPr="00095771">
        <w:rPr>
          <w:rFonts w:ascii="Times New Roman" w:eastAsia="Calibri" w:hAnsi="Times New Roman" w:cs="Times New Roman"/>
        </w:rPr>
        <w:t>s to identify</w:t>
      </w:r>
      <w:r w:rsidR="00755E93">
        <w:rPr>
          <w:rFonts w:ascii="Times New Roman" w:eastAsia="Calibri" w:hAnsi="Times New Roman" w:cs="Times New Roman"/>
        </w:rPr>
        <w:t xml:space="preserve"> ‘</w:t>
      </w:r>
      <w:r w:rsidR="00AB55C4" w:rsidRPr="00095771">
        <w:rPr>
          <w:rFonts w:ascii="Times New Roman" w:eastAsia="Calibri" w:hAnsi="Times New Roman" w:cs="Times New Roman"/>
        </w:rPr>
        <w:t>hotspots</w:t>
      </w:r>
      <w:r w:rsidR="00755E93">
        <w:rPr>
          <w:rFonts w:ascii="Times New Roman" w:eastAsia="Calibri" w:hAnsi="Times New Roman" w:cs="Times New Roman"/>
        </w:rPr>
        <w:t>’</w:t>
      </w:r>
      <w:r w:rsidR="00AB55C4" w:rsidRPr="00095771">
        <w:rPr>
          <w:rFonts w:ascii="Times New Roman" w:eastAsia="Calibri" w:hAnsi="Times New Roman" w:cs="Times New Roman"/>
        </w:rPr>
        <w:t xml:space="preserve"> </w:t>
      </w:r>
      <w:r w:rsidR="005E75BC">
        <w:rPr>
          <w:rFonts w:ascii="Times New Roman" w:eastAsia="Calibri" w:hAnsi="Times New Roman" w:cs="Times New Roman"/>
        </w:rPr>
        <w:t>i.e. areas of interest</w:t>
      </w:r>
      <w:r w:rsidR="00755E93">
        <w:rPr>
          <w:rFonts w:ascii="Times New Roman" w:eastAsia="Calibri" w:hAnsi="Times New Roman" w:cs="Times New Roman"/>
        </w:rPr>
        <w:t xml:space="preserve">, </w:t>
      </w:r>
      <w:r w:rsidR="00AB55C4" w:rsidRPr="00095771">
        <w:rPr>
          <w:rFonts w:ascii="Times New Roman" w:eastAsia="Calibri" w:hAnsi="Times New Roman" w:cs="Times New Roman"/>
        </w:rPr>
        <w:t>is a challenging task. Most critical</w:t>
      </w:r>
      <w:r w:rsidR="00FB69D9">
        <w:rPr>
          <w:rFonts w:ascii="Times New Roman" w:eastAsia="Calibri" w:hAnsi="Times New Roman" w:cs="Times New Roman"/>
        </w:rPr>
        <w:t xml:space="preserve"> metals are mined in a handful</w:t>
      </w:r>
      <w:r w:rsidR="00AB55C4" w:rsidRPr="00095771">
        <w:rPr>
          <w:rFonts w:ascii="Times New Roman" w:eastAsia="Calibri" w:hAnsi="Times New Roman" w:cs="Times New Roman"/>
        </w:rPr>
        <w:t xml:space="preserve"> </w:t>
      </w:r>
      <w:r w:rsidR="00A83DDC" w:rsidRPr="00095771">
        <w:rPr>
          <w:rFonts w:ascii="Times New Roman" w:eastAsia="Calibri" w:hAnsi="Times New Roman" w:cs="Times New Roman"/>
        </w:rPr>
        <w:t>of countries and in minute</w:t>
      </w:r>
      <w:r w:rsidR="00AB55C4" w:rsidRPr="00095771">
        <w:rPr>
          <w:rFonts w:ascii="Times New Roman" w:eastAsia="Calibri" w:hAnsi="Times New Roman" w:cs="Times New Roman"/>
        </w:rPr>
        <w:t xml:space="preserve"> </w:t>
      </w:r>
      <w:r w:rsidR="00A83DDC" w:rsidRPr="00095771">
        <w:rPr>
          <w:rFonts w:ascii="Times New Roman" w:eastAsia="Calibri" w:hAnsi="Times New Roman" w:cs="Times New Roman"/>
        </w:rPr>
        <w:t>capacities</w:t>
      </w:r>
      <w:r w:rsidR="00AB55C4" w:rsidRPr="00095771">
        <w:rPr>
          <w:rFonts w:ascii="Times New Roman" w:eastAsia="Calibri" w:hAnsi="Times New Roman" w:cs="Times New Roman"/>
        </w:rPr>
        <w:t xml:space="preserve"> involving only a select number of organisations</w:t>
      </w:r>
      <w:r w:rsidR="00A83DDC" w:rsidRPr="00095771">
        <w:rPr>
          <w:rFonts w:ascii="Times New Roman" w:eastAsia="Calibri" w:hAnsi="Times New Roman" w:cs="Times New Roman"/>
        </w:rPr>
        <w:t>. On top of this, data availability in literature concerning these metals is low and not helped by data confidentiality being an issue particularly, when production is concentrated in countries such as China.</w:t>
      </w:r>
    </w:p>
    <w:p w:rsidR="00A83DDC" w:rsidRPr="00095771" w:rsidRDefault="00C37243" w:rsidP="00A83DDC">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The five</w:t>
      </w:r>
      <w:r w:rsidR="00A83DDC" w:rsidRPr="00095771">
        <w:rPr>
          <w:rFonts w:ascii="Times New Roman" w:eastAsia="Calibri" w:hAnsi="Times New Roman" w:cs="Times New Roman"/>
        </w:rPr>
        <w:t xml:space="preserve"> Sankey diagrams shown in </w:t>
      </w:r>
      <w:r w:rsidR="00FB69D9">
        <w:rPr>
          <w:rFonts w:ascii="Times New Roman" w:eastAsia="Calibri" w:hAnsi="Times New Roman" w:cs="Times New Roman"/>
        </w:rPr>
        <w:t>the preceding sections</w:t>
      </w:r>
      <w:r w:rsidR="00A83DDC" w:rsidRPr="00095771">
        <w:rPr>
          <w:rFonts w:ascii="Times New Roman" w:eastAsia="Calibri" w:hAnsi="Times New Roman" w:cs="Times New Roman"/>
        </w:rPr>
        <w:t xml:space="preserve"> were populated using industrial statistics obtained from a comprehensive literature review. In some instances, where direct data was not available, the missing data was back-calculated, estimated or inferred from revealing knowledge gaps in mapping flows. The only solution to overcome these knowledge gaps is wider stakeholder engagement across all levels of supply</w:t>
      </w:r>
      <w:r w:rsidR="00B86C6B" w:rsidRPr="00095771">
        <w:rPr>
          <w:rFonts w:ascii="Times New Roman" w:eastAsia="Calibri" w:hAnsi="Times New Roman" w:cs="Times New Roman"/>
        </w:rPr>
        <w:t xml:space="preserve"> chain</w:t>
      </w:r>
      <w:r w:rsidR="00A83DDC" w:rsidRPr="00095771">
        <w:rPr>
          <w:rFonts w:ascii="Times New Roman" w:eastAsia="Calibri" w:hAnsi="Times New Roman" w:cs="Times New Roman"/>
        </w:rPr>
        <w:t xml:space="preserve"> from extraction, manufacturing and end use of products</w:t>
      </w:r>
      <w:r w:rsidR="00B86C6B" w:rsidRPr="00095771">
        <w:rPr>
          <w:rFonts w:ascii="Times New Roman" w:eastAsia="Calibri" w:hAnsi="Times New Roman" w:cs="Times New Roman"/>
        </w:rPr>
        <w:t>. In addition</w:t>
      </w:r>
      <w:r w:rsidR="00510F61" w:rsidRPr="00095771">
        <w:rPr>
          <w:rFonts w:ascii="Times New Roman" w:eastAsia="Calibri" w:hAnsi="Times New Roman" w:cs="Times New Roman"/>
        </w:rPr>
        <w:t>,</w:t>
      </w:r>
      <w:r w:rsidR="00B86C6B" w:rsidRPr="00095771">
        <w:rPr>
          <w:rFonts w:ascii="Times New Roman" w:eastAsia="Calibri" w:hAnsi="Times New Roman" w:cs="Times New Roman"/>
        </w:rPr>
        <w:t xml:space="preserve"> to attempting to gather the missing knowledge from literature.</w:t>
      </w:r>
    </w:p>
    <w:p w:rsidR="009B4B26" w:rsidRPr="000906E1" w:rsidRDefault="00510F61" w:rsidP="009B4B26">
      <w:pPr>
        <w:spacing w:after="0" w:line="360" w:lineRule="auto"/>
        <w:ind w:firstLine="720"/>
        <w:jc w:val="both"/>
        <w:rPr>
          <w:rFonts w:ascii="Times New Roman" w:eastAsia="Calibri" w:hAnsi="Times New Roman" w:cs="Times New Roman"/>
        </w:rPr>
      </w:pPr>
      <w:r w:rsidRPr="000906E1">
        <w:rPr>
          <w:rFonts w:ascii="Times New Roman" w:eastAsia="Calibri" w:hAnsi="Times New Roman" w:cs="Times New Roman"/>
        </w:rPr>
        <w:t>Despite the limitations,</w:t>
      </w:r>
      <w:r w:rsidR="0067553D" w:rsidRPr="000906E1">
        <w:rPr>
          <w:rFonts w:ascii="Times New Roman" w:eastAsia="Calibri" w:hAnsi="Times New Roman" w:cs="Times New Roman"/>
        </w:rPr>
        <w:t xml:space="preserve"> analysis of the five Sankey diagrams has revealed a number of ‘hotspots’. From the global steel MFA</w:t>
      </w:r>
      <w:r w:rsidR="00A838F0" w:rsidRPr="000906E1">
        <w:rPr>
          <w:rFonts w:ascii="Times New Roman" w:eastAsia="Calibri" w:hAnsi="Times New Roman" w:cs="Times New Roman"/>
        </w:rPr>
        <w:t xml:space="preserve"> (</w:t>
      </w:r>
      <w:r w:rsidR="00A838F0" w:rsidRPr="000906E1">
        <w:rPr>
          <w:rFonts w:ascii="Times New Roman" w:eastAsia="Calibri" w:hAnsi="Times New Roman" w:cs="Times New Roman"/>
        </w:rPr>
        <w:fldChar w:fldCharType="begin"/>
      </w:r>
      <w:r w:rsidR="00A838F0" w:rsidRPr="000906E1">
        <w:rPr>
          <w:rFonts w:ascii="Times New Roman" w:eastAsia="Calibri" w:hAnsi="Times New Roman" w:cs="Times New Roman"/>
        </w:rPr>
        <w:instrText xml:space="preserve"> REF _Ref468302516 \h </w:instrText>
      </w:r>
      <w:r w:rsidR="00A838F0" w:rsidRPr="000906E1">
        <w:rPr>
          <w:rFonts w:ascii="Times New Roman" w:eastAsia="Calibri" w:hAnsi="Times New Roman" w:cs="Times New Roman"/>
        </w:rPr>
      </w:r>
      <w:r w:rsidR="00A838F0" w:rsidRPr="000906E1">
        <w:rPr>
          <w:rFonts w:ascii="Times New Roman" w:eastAsia="Calibri" w:hAnsi="Times New Roman" w:cs="Times New Roman"/>
        </w:rPr>
        <w:fldChar w:fldCharType="separate"/>
      </w:r>
      <w:r w:rsidR="009F5483" w:rsidRPr="000906E1">
        <w:rPr>
          <w:rFonts w:ascii="Times New Roman" w:hAnsi="Times New Roman" w:cs="Times New Roman"/>
        </w:rPr>
        <w:t xml:space="preserve">Figure </w:t>
      </w:r>
      <w:r w:rsidR="009F5483" w:rsidRPr="000906E1">
        <w:rPr>
          <w:rFonts w:ascii="Times New Roman" w:hAnsi="Times New Roman" w:cs="Times New Roman"/>
          <w:noProof/>
        </w:rPr>
        <w:t>11</w:t>
      </w:r>
      <w:r w:rsidR="00A838F0" w:rsidRPr="000906E1">
        <w:rPr>
          <w:rFonts w:ascii="Times New Roman" w:eastAsia="Calibri" w:hAnsi="Times New Roman" w:cs="Times New Roman"/>
        </w:rPr>
        <w:fldChar w:fldCharType="end"/>
      </w:r>
      <w:r w:rsidR="00A838F0" w:rsidRPr="000906E1">
        <w:rPr>
          <w:rFonts w:ascii="Times New Roman" w:eastAsia="Calibri" w:hAnsi="Times New Roman" w:cs="Times New Roman"/>
        </w:rPr>
        <w:t>) opportunities for high steel demand over the next decade will come from the usage of steel, in particular from the construction and automobile industries.</w:t>
      </w:r>
      <w:r w:rsidR="004478E8" w:rsidRPr="000906E1">
        <w:rPr>
          <w:rFonts w:ascii="Times New Roman" w:eastAsia="Calibri" w:hAnsi="Times New Roman" w:cs="Times New Roman"/>
        </w:rPr>
        <w:t xml:space="preserve"> Specifically the concept of ‘</w:t>
      </w:r>
      <w:r w:rsidR="000D75FE" w:rsidRPr="000906E1">
        <w:rPr>
          <w:rFonts w:ascii="Times New Roman" w:eastAsia="Calibri" w:hAnsi="Times New Roman" w:cs="Times New Roman"/>
        </w:rPr>
        <w:t xml:space="preserve"> vehicle </w:t>
      </w:r>
      <w:r w:rsidR="004478E8" w:rsidRPr="000906E1">
        <w:rPr>
          <w:rFonts w:ascii="Times New Roman" w:eastAsia="Calibri" w:hAnsi="Times New Roman" w:cs="Times New Roman"/>
        </w:rPr>
        <w:t>light-weighting’ is pushing the steel industry towards developing Advanced High Streel Steel (AHSS) grades</w:t>
      </w:r>
      <w:r w:rsidR="000D75FE" w:rsidRPr="000906E1">
        <w:rPr>
          <w:rFonts w:ascii="Times New Roman" w:eastAsia="Calibri" w:hAnsi="Times New Roman" w:cs="Times New Roman"/>
        </w:rPr>
        <w:t xml:space="preserve"> which will beneficially bring about weight savings as well as meeting GHG requirements. Consequently, development of AHSS grades will push the steel indu</w:t>
      </w:r>
      <w:r w:rsidR="009B4B26" w:rsidRPr="000906E1">
        <w:rPr>
          <w:rFonts w:ascii="Times New Roman" w:eastAsia="Calibri" w:hAnsi="Times New Roman" w:cs="Times New Roman"/>
        </w:rPr>
        <w:t xml:space="preserve">stry closer to aluminium has </w:t>
      </w:r>
      <w:r w:rsidR="000D75FE" w:rsidRPr="000906E1">
        <w:rPr>
          <w:rFonts w:ascii="Times New Roman" w:eastAsia="Calibri" w:hAnsi="Times New Roman" w:cs="Times New Roman"/>
        </w:rPr>
        <w:t>steel</w:t>
      </w:r>
      <w:r w:rsidR="009B4B26" w:rsidRPr="000906E1">
        <w:rPr>
          <w:rFonts w:ascii="Times New Roman" w:eastAsia="Calibri" w:hAnsi="Times New Roman" w:cs="Times New Roman"/>
        </w:rPr>
        <w:t xml:space="preserve"> still</w:t>
      </w:r>
      <w:r w:rsidR="000D75FE" w:rsidRPr="000906E1">
        <w:rPr>
          <w:rFonts w:ascii="Times New Roman" w:eastAsia="Calibri" w:hAnsi="Times New Roman" w:cs="Times New Roman"/>
        </w:rPr>
        <w:t xml:space="preserve"> lags behind </w:t>
      </w:r>
      <w:r w:rsidR="009B4B26" w:rsidRPr="000906E1">
        <w:rPr>
          <w:rFonts w:ascii="Times New Roman" w:eastAsia="Calibri" w:hAnsi="Times New Roman" w:cs="Times New Roman"/>
        </w:rPr>
        <w:t>aluminium</w:t>
      </w:r>
      <w:r w:rsidR="000D75FE" w:rsidRPr="000906E1">
        <w:rPr>
          <w:rFonts w:ascii="Times New Roman" w:eastAsia="Calibri" w:hAnsi="Times New Roman" w:cs="Times New Roman"/>
        </w:rPr>
        <w:t xml:space="preserve"> predominantly in vehicle light-weighting. However, other alternatives such as magnesium and Carbon Fibre Reinforced Polymers (CFRP) are also being researched and thus should provide impetus and healthy competition</w:t>
      </w:r>
      <w:r w:rsidR="00342087" w:rsidRPr="000906E1">
        <w:rPr>
          <w:rFonts w:ascii="Times New Roman" w:eastAsia="Calibri" w:hAnsi="Times New Roman" w:cs="Times New Roman"/>
        </w:rPr>
        <w:t xml:space="preserve"> to steel manufacturers to develop newer and advanced steel grades.</w:t>
      </w:r>
      <w:r w:rsidR="009B4B26" w:rsidRPr="000906E1">
        <w:rPr>
          <w:rFonts w:ascii="Times New Roman" w:eastAsia="Calibri" w:hAnsi="Times New Roman" w:cs="Times New Roman"/>
        </w:rPr>
        <w:t xml:space="preserve"> Apart from opportunities in steel products, another hotspot fro</w:t>
      </w:r>
      <w:r w:rsidR="005E75BC" w:rsidRPr="000906E1">
        <w:rPr>
          <w:rFonts w:ascii="Times New Roman" w:eastAsia="Calibri" w:hAnsi="Times New Roman" w:cs="Times New Roman"/>
        </w:rPr>
        <w:t>m the global steel MFA is</w:t>
      </w:r>
      <w:r w:rsidR="009B4B26" w:rsidRPr="000906E1">
        <w:rPr>
          <w:rFonts w:ascii="Times New Roman" w:eastAsia="Calibri" w:hAnsi="Times New Roman" w:cs="Times New Roman"/>
        </w:rPr>
        <w:t xml:space="preserve"> the use of recycled steel.</w:t>
      </w:r>
    </w:p>
    <w:p w:rsidR="009B4B26" w:rsidRPr="000906E1" w:rsidRDefault="009B4B26" w:rsidP="007704CA">
      <w:pPr>
        <w:spacing w:after="0" w:line="360" w:lineRule="auto"/>
        <w:ind w:firstLine="720"/>
        <w:jc w:val="both"/>
        <w:rPr>
          <w:rFonts w:ascii="Times New Roman" w:eastAsia="Calibri" w:hAnsi="Times New Roman" w:cs="Times New Roman"/>
        </w:rPr>
      </w:pPr>
      <w:r w:rsidRPr="000906E1">
        <w:rPr>
          <w:rFonts w:ascii="Times New Roman" w:eastAsia="Calibri" w:hAnsi="Times New Roman" w:cs="Times New Roman"/>
        </w:rPr>
        <w:fldChar w:fldCharType="begin"/>
      </w:r>
      <w:r w:rsidRPr="000906E1">
        <w:rPr>
          <w:rFonts w:ascii="Times New Roman" w:eastAsia="Calibri" w:hAnsi="Times New Roman" w:cs="Times New Roman"/>
        </w:rPr>
        <w:instrText xml:space="preserve"> REF _Ref468302516 \h </w:instrText>
      </w:r>
      <w:r w:rsidRPr="000906E1">
        <w:rPr>
          <w:rFonts w:ascii="Times New Roman" w:eastAsia="Calibri" w:hAnsi="Times New Roman" w:cs="Times New Roman"/>
        </w:rPr>
      </w:r>
      <w:r w:rsidRPr="000906E1">
        <w:rPr>
          <w:rFonts w:ascii="Times New Roman" w:eastAsia="Calibri" w:hAnsi="Times New Roman" w:cs="Times New Roman"/>
        </w:rPr>
        <w:fldChar w:fldCharType="separate"/>
      </w:r>
      <w:r w:rsidR="009F5483" w:rsidRPr="000906E1">
        <w:rPr>
          <w:rFonts w:ascii="Times New Roman" w:hAnsi="Times New Roman" w:cs="Times New Roman"/>
        </w:rPr>
        <w:t xml:space="preserve">Figure </w:t>
      </w:r>
      <w:r w:rsidR="009F5483" w:rsidRPr="000906E1">
        <w:rPr>
          <w:rFonts w:ascii="Times New Roman" w:hAnsi="Times New Roman" w:cs="Times New Roman"/>
          <w:noProof/>
        </w:rPr>
        <w:t>11</w:t>
      </w:r>
      <w:r w:rsidRPr="000906E1">
        <w:rPr>
          <w:rFonts w:ascii="Times New Roman" w:eastAsia="Calibri" w:hAnsi="Times New Roman" w:cs="Times New Roman"/>
        </w:rPr>
        <w:fldChar w:fldCharType="end"/>
      </w:r>
      <w:r w:rsidRPr="000906E1">
        <w:rPr>
          <w:rFonts w:ascii="Times New Roman" w:eastAsia="Calibri" w:hAnsi="Times New Roman" w:cs="Times New Roman"/>
        </w:rPr>
        <w:t xml:space="preserve"> revealed that one third of global production of steel was via re</w:t>
      </w:r>
      <w:r w:rsidR="00940F9E" w:rsidRPr="000906E1">
        <w:rPr>
          <w:rFonts w:ascii="Times New Roman" w:eastAsia="Calibri" w:hAnsi="Times New Roman" w:cs="Times New Roman"/>
        </w:rPr>
        <w:t>cycled steel. Principally, increasing the usage of recycled steel should be the objective of steel producers in the future. However, the production of steel by this route is heavily energy intensive,</w:t>
      </w:r>
      <w:r w:rsidR="00311300" w:rsidRPr="000906E1">
        <w:rPr>
          <w:rFonts w:ascii="Times New Roman" w:eastAsia="Calibri" w:hAnsi="Times New Roman" w:cs="Times New Roman"/>
        </w:rPr>
        <w:t xml:space="preserve"> and thus steel producers heavily dependent on fossil fuels for electricity generation incur significant financial costs. Thus, bringing the emphasis slightly away from steel and to electricity generation. If electricity generation can be based</w:t>
      </w:r>
      <w:r w:rsidR="007704CA" w:rsidRPr="000906E1">
        <w:rPr>
          <w:rFonts w:ascii="Times New Roman" w:eastAsia="Calibri" w:hAnsi="Times New Roman" w:cs="Times New Roman"/>
        </w:rPr>
        <w:t xml:space="preserve"> more</w:t>
      </w:r>
      <w:r w:rsidR="00311300" w:rsidRPr="000906E1">
        <w:rPr>
          <w:rFonts w:ascii="Times New Roman" w:eastAsia="Calibri" w:hAnsi="Times New Roman" w:cs="Times New Roman"/>
        </w:rPr>
        <w:t xml:space="preserve"> from renewable sources i.e.</w:t>
      </w:r>
      <w:r w:rsidR="007704CA" w:rsidRPr="000906E1">
        <w:rPr>
          <w:rFonts w:ascii="Times New Roman" w:eastAsia="Calibri" w:hAnsi="Times New Roman" w:cs="Times New Roman"/>
        </w:rPr>
        <w:t xml:space="preserve"> solar (e.g. </w:t>
      </w:r>
      <w:proofErr w:type="spellStart"/>
      <w:r w:rsidR="007704CA" w:rsidRPr="000906E1">
        <w:rPr>
          <w:rFonts w:ascii="Times New Roman" w:eastAsia="Calibri" w:hAnsi="Times New Roman" w:cs="Times New Roman"/>
        </w:rPr>
        <w:t>Tarfaya</w:t>
      </w:r>
      <w:proofErr w:type="spellEnd"/>
      <w:r w:rsidR="007704CA" w:rsidRPr="000906E1">
        <w:rPr>
          <w:rFonts w:ascii="Times New Roman" w:eastAsia="Calibri" w:hAnsi="Times New Roman" w:cs="Times New Roman"/>
        </w:rPr>
        <w:t xml:space="preserve"> complex, Morocco), waves (e.g. Aquamarine Power, off the coast of Scotland)</w:t>
      </w:r>
      <w:r w:rsidR="00311300" w:rsidRPr="000906E1">
        <w:rPr>
          <w:rFonts w:ascii="Times New Roman" w:eastAsia="Calibri" w:hAnsi="Times New Roman" w:cs="Times New Roman"/>
        </w:rPr>
        <w:t xml:space="preserve"> </w:t>
      </w:r>
      <w:r w:rsidR="007704CA" w:rsidRPr="000906E1">
        <w:rPr>
          <w:rFonts w:ascii="Times New Roman" w:eastAsia="Calibri" w:hAnsi="Times New Roman" w:cs="Times New Roman"/>
        </w:rPr>
        <w:t>these</w:t>
      </w:r>
      <w:r w:rsidR="00311300" w:rsidRPr="000906E1">
        <w:rPr>
          <w:rFonts w:ascii="Times New Roman" w:eastAsia="Calibri" w:hAnsi="Times New Roman" w:cs="Times New Roman"/>
        </w:rPr>
        <w:t xml:space="preserve"> will benefit energy intensive indust</w:t>
      </w:r>
      <w:r w:rsidR="002E7C95" w:rsidRPr="000906E1">
        <w:rPr>
          <w:rFonts w:ascii="Times New Roman" w:eastAsia="Calibri" w:hAnsi="Times New Roman" w:cs="Times New Roman"/>
        </w:rPr>
        <w:t>ries such as steel. Summarising</w:t>
      </w:r>
      <w:r w:rsidR="00311300" w:rsidRPr="000906E1">
        <w:rPr>
          <w:rFonts w:ascii="Times New Roman" w:eastAsia="Calibri" w:hAnsi="Times New Roman" w:cs="Times New Roman"/>
        </w:rPr>
        <w:t>, w</w:t>
      </w:r>
      <w:r w:rsidRPr="000906E1">
        <w:rPr>
          <w:rFonts w:ascii="Times New Roman" w:eastAsia="Calibri" w:hAnsi="Times New Roman" w:cs="Times New Roman"/>
        </w:rPr>
        <w:t xml:space="preserve">ith </w:t>
      </w:r>
      <w:r w:rsidR="00940F9E" w:rsidRPr="000906E1">
        <w:rPr>
          <w:rFonts w:ascii="Times New Roman" w:eastAsia="Calibri" w:hAnsi="Times New Roman" w:cs="Times New Roman"/>
        </w:rPr>
        <w:t xml:space="preserve">global industries trying to meet GHG emission targets and become less reliant on fossil fuels, there is an opportunity to use more recycled steel. </w:t>
      </w:r>
    </w:p>
    <w:p w:rsidR="00543CA8" w:rsidRPr="000906E1" w:rsidRDefault="00B46D96" w:rsidP="00543CA8">
      <w:pPr>
        <w:spacing w:after="0" w:line="360" w:lineRule="auto"/>
        <w:ind w:firstLine="720"/>
        <w:jc w:val="both"/>
        <w:rPr>
          <w:rFonts w:ascii="Times New Roman" w:eastAsia="Calibri" w:hAnsi="Times New Roman" w:cs="Times New Roman"/>
        </w:rPr>
      </w:pPr>
      <w:r w:rsidRPr="000906E1">
        <w:rPr>
          <w:rFonts w:ascii="Times New Roman" w:eastAsia="Calibri" w:hAnsi="Times New Roman" w:cs="Times New Roman"/>
        </w:rPr>
        <w:t>With regards to the chromium MFA model (</w:t>
      </w:r>
      <w:r w:rsidRPr="000906E1">
        <w:rPr>
          <w:rFonts w:ascii="Times New Roman" w:eastAsia="Calibri" w:hAnsi="Times New Roman" w:cs="Times New Roman"/>
        </w:rPr>
        <w:fldChar w:fldCharType="begin"/>
      </w:r>
      <w:r w:rsidRPr="000906E1">
        <w:rPr>
          <w:rFonts w:ascii="Times New Roman" w:eastAsia="Calibri" w:hAnsi="Times New Roman" w:cs="Times New Roman"/>
        </w:rPr>
        <w:instrText xml:space="preserve"> REF _Ref468302618 \h </w:instrText>
      </w:r>
      <w:r w:rsidRPr="000906E1">
        <w:rPr>
          <w:rFonts w:ascii="Times New Roman" w:eastAsia="Calibri" w:hAnsi="Times New Roman" w:cs="Times New Roman"/>
        </w:rPr>
      </w:r>
      <w:r w:rsidRPr="000906E1">
        <w:rPr>
          <w:rFonts w:ascii="Times New Roman" w:eastAsia="Calibri" w:hAnsi="Times New Roman" w:cs="Times New Roman"/>
        </w:rPr>
        <w:fldChar w:fldCharType="separate"/>
      </w:r>
      <w:r w:rsidR="009F5483" w:rsidRPr="000906E1">
        <w:rPr>
          <w:rFonts w:ascii="Times New Roman" w:hAnsi="Times New Roman" w:cs="Times New Roman"/>
        </w:rPr>
        <w:t xml:space="preserve">Figure </w:t>
      </w:r>
      <w:r w:rsidR="009F5483" w:rsidRPr="000906E1">
        <w:rPr>
          <w:rFonts w:ascii="Times New Roman" w:hAnsi="Times New Roman" w:cs="Times New Roman"/>
          <w:noProof/>
        </w:rPr>
        <w:t>12</w:t>
      </w:r>
      <w:r w:rsidRPr="000906E1">
        <w:rPr>
          <w:rFonts w:ascii="Times New Roman" w:eastAsia="Calibri" w:hAnsi="Times New Roman" w:cs="Times New Roman"/>
        </w:rPr>
        <w:fldChar w:fldCharType="end"/>
      </w:r>
      <w:r w:rsidR="00543CA8" w:rsidRPr="000906E1">
        <w:rPr>
          <w:rFonts w:ascii="Times New Roman" w:eastAsia="Calibri" w:hAnsi="Times New Roman" w:cs="Times New Roman"/>
        </w:rPr>
        <w:t>) this illustrated</w:t>
      </w:r>
      <w:r w:rsidRPr="000906E1">
        <w:rPr>
          <w:rFonts w:ascii="Times New Roman" w:eastAsia="Calibri" w:hAnsi="Times New Roman" w:cs="Times New Roman"/>
        </w:rPr>
        <w:t xml:space="preserve"> two hotspot areas, namely</w:t>
      </w:r>
      <w:r w:rsidR="00543CA8" w:rsidRPr="000906E1">
        <w:rPr>
          <w:rFonts w:ascii="Times New Roman" w:eastAsia="Calibri" w:hAnsi="Times New Roman" w:cs="Times New Roman"/>
        </w:rPr>
        <w:t xml:space="preserve"> wastage during the processing stage</w:t>
      </w:r>
      <w:r w:rsidRPr="000906E1">
        <w:rPr>
          <w:rFonts w:ascii="Times New Roman" w:eastAsia="Calibri" w:hAnsi="Times New Roman" w:cs="Times New Roman"/>
        </w:rPr>
        <w:t xml:space="preserve"> and recycling of chromium scrap. </w:t>
      </w:r>
      <w:r w:rsidR="00543CA8" w:rsidRPr="000906E1">
        <w:rPr>
          <w:rFonts w:ascii="Times New Roman" w:eastAsia="Calibri" w:hAnsi="Times New Roman" w:cs="Times New Roman"/>
        </w:rPr>
        <w:t xml:space="preserve">As displayed in </w:t>
      </w:r>
      <w:r w:rsidR="00543CA8" w:rsidRPr="000906E1">
        <w:fldChar w:fldCharType="begin"/>
      </w:r>
      <w:r w:rsidR="00543CA8" w:rsidRPr="000906E1">
        <w:instrText xml:space="preserve"> REF _Ref468302618 \h  \* MERGEFORMAT </w:instrText>
      </w:r>
      <w:r w:rsidR="00543CA8" w:rsidRPr="000906E1">
        <w:fldChar w:fldCharType="separate"/>
      </w:r>
      <w:r w:rsidR="009F5483" w:rsidRPr="000906E1">
        <w:rPr>
          <w:rFonts w:ascii="Times New Roman" w:hAnsi="Times New Roman" w:cs="Times New Roman"/>
        </w:rPr>
        <w:t xml:space="preserve">Figure </w:t>
      </w:r>
      <w:r w:rsidR="009F5483" w:rsidRPr="000906E1">
        <w:rPr>
          <w:rFonts w:ascii="Times New Roman" w:hAnsi="Times New Roman" w:cs="Times New Roman"/>
          <w:noProof/>
        </w:rPr>
        <w:t>12</w:t>
      </w:r>
      <w:r w:rsidR="00543CA8" w:rsidRPr="000906E1">
        <w:fldChar w:fldCharType="end"/>
      </w:r>
      <w:r w:rsidR="00543CA8" w:rsidRPr="000906E1">
        <w:rPr>
          <w:rFonts w:ascii="Times New Roman" w:eastAsia="Calibri" w:hAnsi="Times New Roman" w:cs="Times New Roman"/>
        </w:rPr>
        <w:t xml:space="preserve">, approximately 16Mt of all chromite ore extracted from global reserves, equating to 55.59%, was lost in the intermediate stage between ore extraction and production into Fe-Cr. There are two potential reasons as to this large percentage loss. Firstly this could be due to missing data, thus explaining and </w:t>
      </w:r>
      <w:r w:rsidR="00543CA8" w:rsidRPr="000906E1">
        <w:rPr>
          <w:rFonts w:ascii="Times New Roman" w:eastAsia="Calibri" w:hAnsi="Times New Roman" w:cs="Times New Roman"/>
        </w:rPr>
        <w:lastRenderedPageBreak/>
        <w:t xml:space="preserve">accounting for such a large discrepancy. However input data utilised to create the MFA model was in line with data sources used, which included academic </w:t>
      </w:r>
      <w:r w:rsidR="00543CA8" w:rsidRPr="000906E1">
        <w:rPr>
          <w:rStyle w:val="ReferenceChar"/>
          <w:noProof/>
          <w:color w:val="auto"/>
        </w:rPr>
        <w:t>(Daigo et al. 2010)</w:t>
      </w:r>
      <w:r w:rsidR="00543CA8" w:rsidRPr="000906E1">
        <w:rPr>
          <w:rStyle w:val="ReferenceChar"/>
          <w:color w:val="auto"/>
        </w:rPr>
        <w:t xml:space="preserve"> </w:t>
      </w:r>
      <w:r w:rsidR="00543CA8" w:rsidRPr="000906E1">
        <w:rPr>
          <w:rFonts w:ascii="Times New Roman" w:eastAsia="Calibri" w:hAnsi="Times New Roman" w:cs="Times New Roman"/>
        </w:rPr>
        <w:t xml:space="preserve">and institutional (ICDA). The second and more plausible explanation being the low yield of Fe-Cr from chromite. </w:t>
      </w:r>
    </w:p>
    <w:p w:rsidR="00543CA8" w:rsidRPr="000906E1" w:rsidRDefault="00543CA8" w:rsidP="00543CA8">
      <w:pPr>
        <w:spacing w:after="0" w:line="360" w:lineRule="auto"/>
        <w:ind w:firstLine="720"/>
        <w:jc w:val="both"/>
        <w:rPr>
          <w:rFonts w:ascii="Times New Roman" w:eastAsia="Calibri" w:hAnsi="Times New Roman" w:cs="Times New Roman"/>
        </w:rPr>
      </w:pPr>
      <w:r w:rsidRPr="000906E1">
        <w:rPr>
          <w:rFonts w:ascii="Times New Roman" w:eastAsia="Calibri" w:hAnsi="Times New Roman" w:cs="Times New Roman"/>
        </w:rPr>
        <w:t>Data used from the original data source i.e. USGS confirms a yield of 45% chromite. Hence a yield of approximately 40% Fe-Cr from extracted chromite does not seem unreasonable considering material would be lost as wastage in the form of charge and further losses would occur during processing of chromite to Fe-Cr.</w:t>
      </w:r>
      <w:r w:rsidR="00B00649" w:rsidRPr="000906E1">
        <w:rPr>
          <w:rFonts w:ascii="Times New Roman" w:eastAsia="Calibri" w:hAnsi="Times New Roman" w:cs="Times New Roman"/>
        </w:rPr>
        <w:t xml:space="preserve"> Additionally the low yield of Fe-Cr from chromite (29.0Mt to 12.1 Mt) could also explain the second hotspot</w:t>
      </w:r>
      <w:r w:rsidR="00102EB3" w:rsidRPr="000906E1">
        <w:rPr>
          <w:rFonts w:ascii="Times New Roman" w:eastAsia="Calibri" w:hAnsi="Times New Roman" w:cs="Times New Roman"/>
        </w:rPr>
        <w:t>,</w:t>
      </w:r>
      <w:r w:rsidR="00B00649" w:rsidRPr="000906E1">
        <w:rPr>
          <w:rFonts w:ascii="Times New Roman" w:eastAsia="Calibri" w:hAnsi="Times New Roman" w:cs="Times New Roman"/>
        </w:rPr>
        <w:t xml:space="preserve"> of high levels of</w:t>
      </w:r>
      <w:r w:rsidR="00102EB3" w:rsidRPr="000906E1">
        <w:rPr>
          <w:rFonts w:ascii="Times New Roman" w:eastAsia="Calibri" w:hAnsi="Times New Roman" w:cs="Times New Roman"/>
        </w:rPr>
        <w:t xml:space="preserve"> chromium</w:t>
      </w:r>
      <w:r w:rsidR="00B00649" w:rsidRPr="000906E1">
        <w:rPr>
          <w:rFonts w:ascii="Times New Roman" w:eastAsia="Calibri" w:hAnsi="Times New Roman" w:cs="Times New Roman"/>
        </w:rPr>
        <w:t xml:space="preserve"> recycling.</w:t>
      </w:r>
    </w:p>
    <w:p w:rsidR="001324FC" w:rsidRPr="000906E1" w:rsidRDefault="008C6179" w:rsidP="00D157CB">
      <w:pPr>
        <w:spacing w:after="0" w:line="360" w:lineRule="auto"/>
        <w:ind w:firstLine="720"/>
        <w:jc w:val="both"/>
        <w:rPr>
          <w:rFonts w:ascii="Times New Roman" w:eastAsia="Calibri" w:hAnsi="Times New Roman" w:cs="Times New Roman"/>
        </w:rPr>
      </w:pPr>
      <w:r w:rsidRPr="000906E1">
        <w:rPr>
          <w:rFonts w:ascii="Times New Roman" w:eastAsia="Calibri" w:hAnsi="Times New Roman" w:cs="Times New Roman"/>
        </w:rPr>
        <w:t xml:space="preserve">From the Sankey diagram, the consumption of chromium from recycled sources was found to be 40% as of 2014 which compared favourably to the value of 34% put forward by Daigo in 2010, representing a potential increase of 6% within a 4-year period. In the study by </w:t>
      </w:r>
      <w:r w:rsidRPr="000906E1">
        <w:rPr>
          <w:rStyle w:val="ReferenceChar"/>
          <w:noProof/>
          <w:color w:val="auto"/>
        </w:rPr>
        <w:t>(Daigo et al. 2010)</w:t>
      </w:r>
      <w:r w:rsidRPr="000906E1">
        <w:rPr>
          <w:rFonts w:ascii="Times New Roman" w:eastAsia="Calibri" w:hAnsi="Times New Roman" w:cs="Times New Roman"/>
        </w:rPr>
        <w:t>, the focus was placed solely on the Japanese stainless steel industry which is generally ahead of the global recycling trend. Therefore, on a purely global level the percentage increase in recycling rate from 2010 to 2014 could actually be quite accurate.</w:t>
      </w:r>
      <w:r w:rsidR="001324FC" w:rsidRPr="000906E1">
        <w:rPr>
          <w:rFonts w:ascii="Times New Roman" w:eastAsia="Calibri" w:hAnsi="Times New Roman" w:cs="Times New Roman"/>
        </w:rPr>
        <w:t xml:space="preserve"> Additionally, the main issue present in the recycling of chromium is the removal of chromium containing scrap as a contaminant, which occurs when stainless scrap grades are combined with carbon steel scrap. This accounts for compositional losses of up to 32%wt for chromium.  According to academics such as Oda et al., the importance of keeping chromium scrap grades separate to carbon steel grades is also a reason for the upturn in global chromium recycling levels. </w:t>
      </w:r>
    </w:p>
    <w:p w:rsidR="0092102A" w:rsidRPr="000906E1" w:rsidRDefault="0092102A" w:rsidP="0092102A">
      <w:pPr>
        <w:spacing w:after="0" w:line="360" w:lineRule="auto"/>
        <w:ind w:firstLine="720"/>
        <w:jc w:val="both"/>
        <w:rPr>
          <w:rFonts w:ascii="Times New Roman" w:eastAsia="Calibri" w:hAnsi="Times New Roman" w:cs="Times New Roman"/>
        </w:rPr>
      </w:pPr>
      <w:r w:rsidRPr="000906E1">
        <w:rPr>
          <w:rFonts w:ascii="Times New Roman" w:eastAsia="Calibri" w:hAnsi="Times New Roman" w:cs="Times New Roman"/>
        </w:rPr>
        <w:t>Similarly to the Sankey diagram for chromium, the hotspots for molybdenum</w:t>
      </w:r>
      <w:r w:rsidR="00510186" w:rsidRPr="000906E1">
        <w:rPr>
          <w:rFonts w:ascii="Times New Roman" w:eastAsia="Calibri" w:hAnsi="Times New Roman" w:cs="Times New Roman"/>
        </w:rPr>
        <w:t xml:space="preserve"> (</w:t>
      </w:r>
      <w:r w:rsidR="00510186" w:rsidRPr="000906E1">
        <w:rPr>
          <w:rFonts w:ascii="Times New Roman" w:eastAsia="Calibri" w:hAnsi="Times New Roman" w:cs="Times New Roman"/>
        </w:rPr>
        <w:fldChar w:fldCharType="begin"/>
      </w:r>
      <w:r w:rsidR="00510186" w:rsidRPr="000906E1">
        <w:rPr>
          <w:rFonts w:ascii="Times New Roman" w:eastAsia="Calibri" w:hAnsi="Times New Roman" w:cs="Times New Roman"/>
        </w:rPr>
        <w:instrText xml:space="preserve"> REF _Ref468302702 \h </w:instrText>
      </w:r>
      <w:r w:rsidR="00510186" w:rsidRPr="000906E1">
        <w:rPr>
          <w:rFonts w:ascii="Times New Roman" w:eastAsia="Calibri" w:hAnsi="Times New Roman" w:cs="Times New Roman"/>
        </w:rPr>
      </w:r>
      <w:r w:rsidR="00510186" w:rsidRPr="000906E1">
        <w:rPr>
          <w:rFonts w:ascii="Times New Roman" w:eastAsia="Calibri" w:hAnsi="Times New Roman" w:cs="Times New Roman"/>
        </w:rPr>
        <w:fldChar w:fldCharType="separate"/>
      </w:r>
      <w:r w:rsidR="009F5483" w:rsidRPr="000906E1">
        <w:rPr>
          <w:rFonts w:ascii="Times New Roman" w:hAnsi="Times New Roman" w:cs="Times New Roman"/>
        </w:rPr>
        <w:t xml:space="preserve">Figure </w:t>
      </w:r>
      <w:r w:rsidR="009F5483" w:rsidRPr="000906E1">
        <w:rPr>
          <w:rFonts w:ascii="Times New Roman" w:hAnsi="Times New Roman" w:cs="Times New Roman"/>
          <w:noProof/>
        </w:rPr>
        <w:t>14</w:t>
      </w:r>
      <w:r w:rsidR="00510186" w:rsidRPr="000906E1">
        <w:rPr>
          <w:rFonts w:ascii="Times New Roman" w:eastAsia="Calibri" w:hAnsi="Times New Roman" w:cs="Times New Roman"/>
        </w:rPr>
        <w:fldChar w:fldCharType="end"/>
      </w:r>
      <w:r w:rsidR="00510186" w:rsidRPr="000906E1">
        <w:rPr>
          <w:rFonts w:ascii="Times New Roman" w:eastAsia="Calibri" w:hAnsi="Times New Roman" w:cs="Times New Roman"/>
        </w:rPr>
        <w:t>)</w:t>
      </w:r>
      <w:r w:rsidRPr="000906E1">
        <w:rPr>
          <w:rFonts w:ascii="Times New Roman" w:eastAsia="Calibri" w:hAnsi="Times New Roman" w:cs="Times New Roman"/>
        </w:rPr>
        <w:t xml:space="preserve"> also focused on wastage during processing and recycling. Unlike chromium, waste for molybdenum was found to be only 11.5 % of extracted molybdenite containing ore. Although the percentage yield of 42% Fe-Cr (12.1 Mt) from chromite was greater than the corresponding </w:t>
      </w:r>
      <w:r w:rsidRPr="000906E1">
        <w:rPr>
          <w:rFonts w:ascii="Times New Roman" w:hAnsi="Times New Roman" w:cs="Times New Roman"/>
        </w:rPr>
        <w:t>35%</w:t>
      </w:r>
      <w:r w:rsidRPr="000906E1">
        <w:rPr>
          <w:rFonts w:ascii="Times New Roman" w:eastAsia="Calibri" w:hAnsi="Times New Roman" w:cs="Times New Roman"/>
        </w:rPr>
        <w:t xml:space="preserve"> Fe-Mo yield (82,471 t) from molybdenite. The majority of molybdenite is not processed into Fe-Mo, whereas 95% of chromite ore is processed into Fe-Cr. However, when all the useful melt stock products produced from molybdenite, such as Tech oxide and upgraded Mo products, are included the overall desirable product yield for molybdenum, the value comes to 89.1%, which dwarfs the 44.4% yield achieved by chromium.</w:t>
      </w:r>
    </w:p>
    <w:p w:rsidR="00307625" w:rsidRPr="000906E1" w:rsidRDefault="0092102A" w:rsidP="00307625">
      <w:pPr>
        <w:spacing w:after="0" w:line="360" w:lineRule="auto"/>
        <w:ind w:firstLine="720"/>
        <w:jc w:val="both"/>
        <w:rPr>
          <w:rStyle w:val="FiguresChar"/>
          <w:color w:val="auto"/>
        </w:rPr>
      </w:pPr>
      <w:r w:rsidRPr="000906E1">
        <w:rPr>
          <w:rFonts w:ascii="Times New Roman" w:eastAsia="Calibri" w:hAnsi="Times New Roman" w:cs="Times New Roman"/>
        </w:rPr>
        <w:t xml:space="preserve"> With regards to recycling, the</w:t>
      </w:r>
      <w:r w:rsidR="008B5427" w:rsidRPr="000906E1">
        <w:rPr>
          <w:rFonts w:ascii="Times New Roman" w:eastAsia="Calibri" w:hAnsi="Times New Roman" w:cs="Times New Roman"/>
        </w:rPr>
        <w:t xml:space="preserve"> molybdenum</w:t>
      </w:r>
      <w:r w:rsidRPr="000906E1">
        <w:rPr>
          <w:rFonts w:ascii="Times New Roman" w:eastAsia="Calibri" w:hAnsi="Times New Roman" w:cs="Times New Roman"/>
        </w:rPr>
        <w:t xml:space="preserve"> Sankey diagram identified that 25% of</w:t>
      </w:r>
      <w:r w:rsidR="008B5427" w:rsidRPr="000906E1">
        <w:rPr>
          <w:rFonts w:ascii="Times New Roman" w:eastAsia="Calibri" w:hAnsi="Times New Roman" w:cs="Times New Roman"/>
        </w:rPr>
        <w:t xml:space="preserve"> data input</w:t>
      </w:r>
      <w:r w:rsidRPr="000906E1">
        <w:rPr>
          <w:rFonts w:ascii="Times New Roman" w:eastAsia="Calibri" w:hAnsi="Times New Roman" w:cs="Times New Roman"/>
        </w:rPr>
        <w:t xml:space="preserve"> into the production cycle originated from recycled sources, such as old, new and revert scrap. This recycling loop is in line with the published UNEP EOL-RR data, displayed in </w:t>
      </w:r>
      <w:r w:rsidRPr="000906E1">
        <w:fldChar w:fldCharType="begin"/>
      </w:r>
      <w:r w:rsidRPr="000906E1">
        <w:instrText xml:space="preserve"> REF _Ref474686765 \h  \* MERGEFORMAT </w:instrText>
      </w:r>
      <w:r w:rsidRPr="000906E1">
        <w:fldChar w:fldCharType="separate"/>
      </w:r>
      <w:r w:rsidR="009F5483" w:rsidRPr="000906E1">
        <w:rPr>
          <w:rFonts w:ascii="Times New Roman" w:hAnsi="Times New Roman" w:cs="Times New Roman"/>
        </w:rPr>
        <w:t xml:space="preserve">Figure </w:t>
      </w:r>
      <w:r w:rsidR="009F5483" w:rsidRPr="000906E1">
        <w:rPr>
          <w:rFonts w:ascii="Times New Roman" w:hAnsi="Times New Roman" w:cs="Times New Roman"/>
          <w:noProof/>
        </w:rPr>
        <w:t>13</w:t>
      </w:r>
      <w:r w:rsidRPr="000906E1">
        <w:fldChar w:fldCharType="end"/>
      </w:r>
      <w:r w:rsidRPr="000906E1">
        <w:rPr>
          <w:rFonts w:ascii="Times New Roman" w:eastAsia="Calibri" w:hAnsi="Times New Roman" w:cs="Times New Roman"/>
        </w:rPr>
        <w:t>, which states that the recycling rate of molybdenum metal was estimated to be between 25-50% as of 2011. This is further backed up by USGS sources</w:t>
      </w:r>
      <w:r w:rsidRPr="000906E1">
        <w:rPr>
          <w:rStyle w:val="ReferenceChar"/>
          <w:color w:val="auto"/>
        </w:rPr>
        <w:t xml:space="preserve"> </w:t>
      </w:r>
      <w:r w:rsidRPr="000906E1">
        <w:rPr>
          <w:rStyle w:val="ReferenceChar"/>
          <w:noProof/>
          <w:color w:val="auto"/>
        </w:rPr>
        <w:t>(Polyak 2015)</w:t>
      </w:r>
      <w:r w:rsidRPr="000906E1">
        <w:rPr>
          <w:rFonts w:ascii="Times New Roman" w:eastAsia="Calibri" w:hAnsi="Times New Roman" w:cs="Times New Roman"/>
        </w:rPr>
        <w:t xml:space="preserve"> that estimated the upper bound of molybdenum recycling to be 30%. </w:t>
      </w:r>
      <w:r w:rsidR="008B5427" w:rsidRPr="000906E1">
        <w:rPr>
          <w:rFonts w:ascii="Times New Roman" w:eastAsia="Calibri" w:hAnsi="Times New Roman" w:cs="Times New Roman"/>
        </w:rPr>
        <w:t xml:space="preserve"> </w:t>
      </w:r>
      <w:r w:rsidR="009E3703" w:rsidRPr="000906E1">
        <w:rPr>
          <w:rFonts w:ascii="Times New Roman" w:eastAsia="Calibri" w:hAnsi="Times New Roman" w:cs="Times New Roman"/>
        </w:rPr>
        <w:t xml:space="preserve">The difference between chromium and molybdenum recycling rates can be explained </w:t>
      </w:r>
      <w:r w:rsidR="008B5427" w:rsidRPr="000906E1">
        <w:rPr>
          <w:rFonts w:ascii="Times New Roman" w:eastAsia="Calibri" w:hAnsi="Times New Roman" w:cs="Times New Roman"/>
        </w:rPr>
        <w:t xml:space="preserve">firstly, due to the primary demand for chromium being stainless steels (88%) compared to (22%) for molybdenum. Secondly due to the tonnages associated with the respective Sankey diagrams, with 14.4Mt of Stainless steel being produced from chromium compared to 0.04Mt from molybdenum. </w:t>
      </w:r>
      <w:r w:rsidR="008B5427" w:rsidRPr="000906E1">
        <w:rPr>
          <w:rFonts w:ascii="Times New Roman" w:eastAsia="Calibri" w:hAnsi="Times New Roman" w:cs="Times New Roman"/>
        </w:rPr>
        <w:lastRenderedPageBreak/>
        <w:t>Thus explaining the higher recycling percentage due to chromium potentially possessing the greater source of recyclable material from end product.</w:t>
      </w:r>
      <w:r w:rsidR="00586F70" w:rsidRPr="000906E1">
        <w:rPr>
          <w:rFonts w:ascii="Times New Roman" w:eastAsia="Calibri" w:hAnsi="Times New Roman" w:cs="Times New Roman"/>
        </w:rPr>
        <w:t xml:space="preserve"> </w:t>
      </w:r>
    </w:p>
    <w:p w:rsidR="00307625" w:rsidRPr="000906E1" w:rsidRDefault="00307625" w:rsidP="00307625">
      <w:pPr>
        <w:spacing w:after="0" w:line="360" w:lineRule="auto"/>
        <w:ind w:firstLine="720"/>
        <w:jc w:val="both"/>
        <w:rPr>
          <w:rStyle w:val="FiguresChar"/>
          <w:color w:val="auto"/>
        </w:rPr>
      </w:pPr>
      <w:r w:rsidRPr="000906E1">
        <w:rPr>
          <w:rStyle w:val="FiguresChar"/>
          <w:color w:val="auto"/>
        </w:rPr>
        <w:t>To summarise, the niobium MFA model</w:t>
      </w:r>
      <w:r w:rsidR="00510186" w:rsidRPr="000906E1">
        <w:rPr>
          <w:rStyle w:val="FiguresChar"/>
          <w:color w:val="auto"/>
        </w:rPr>
        <w:t xml:space="preserve"> (</w:t>
      </w:r>
      <w:r w:rsidR="00510186" w:rsidRPr="000906E1">
        <w:rPr>
          <w:rStyle w:val="FiguresChar"/>
          <w:color w:val="auto"/>
        </w:rPr>
        <w:fldChar w:fldCharType="begin"/>
      </w:r>
      <w:r w:rsidR="00510186" w:rsidRPr="000906E1">
        <w:rPr>
          <w:rStyle w:val="FiguresChar"/>
          <w:color w:val="auto"/>
        </w:rPr>
        <w:instrText xml:space="preserve"> REF _Ref474700479 \h </w:instrText>
      </w:r>
      <w:r w:rsidR="00510186" w:rsidRPr="000906E1">
        <w:rPr>
          <w:rStyle w:val="FiguresChar"/>
          <w:color w:val="auto"/>
        </w:rPr>
      </w:r>
      <w:r w:rsidR="00510186" w:rsidRPr="000906E1">
        <w:rPr>
          <w:rStyle w:val="FiguresChar"/>
          <w:color w:val="auto"/>
        </w:rPr>
        <w:fldChar w:fldCharType="separate"/>
      </w:r>
      <w:r w:rsidR="009F5483" w:rsidRPr="000906E1">
        <w:rPr>
          <w:rFonts w:ascii="Times New Roman" w:hAnsi="Times New Roman" w:cs="Times New Roman"/>
        </w:rPr>
        <w:t xml:space="preserve">Figure </w:t>
      </w:r>
      <w:r w:rsidR="009F5483" w:rsidRPr="000906E1">
        <w:rPr>
          <w:rFonts w:ascii="Times New Roman" w:hAnsi="Times New Roman" w:cs="Times New Roman"/>
          <w:noProof/>
        </w:rPr>
        <w:t>15</w:t>
      </w:r>
      <w:r w:rsidR="00510186" w:rsidRPr="000906E1">
        <w:rPr>
          <w:rStyle w:val="FiguresChar"/>
          <w:color w:val="auto"/>
        </w:rPr>
        <w:fldChar w:fldCharType="end"/>
      </w:r>
      <w:r w:rsidR="00510186" w:rsidRPr="000906E1">
        <w:rPr>
          <w:rStyle w:val="FiguresChar"/>
          <w:color w:val="auto"/>
        </w:rPr>
        <w:t>)</w:t>
      </w:r>
      <w:r w:rsidRPr="000906E1">
        <w:rPr>
          <w:rStyle w:val="FiguresChar"/>
          <w:color w:val="auto"/>
        </w:rPr>
        <w:t xml:space="preserve"> does reveal: that primary extraction is via pyrochlore, primary production comprises 80% and production from recycling 20% and the main end use being in HSLA steels. However there are a number of hotspots, particularly to do with recycling and the niobium supply chain that can be analysed.</w:t>
      </w:r>
    </w:p>
    <w:p w:rsidR="00307625" w:rsidRPr="000906E1" w:rsidRDefault="00307625" w:rsidP="00307625">
      <w:pPr>
        <w:spacing w:after="0" w:line="360" w:lineRule="auto"/>
        <w:ind w:firstLine="720"/>
        <w:jc w:val="both"/>
        <w:rPr>
          <w:rStyle w:val="FiguresChar"/>
          <w:color w:val="auto"/>
        </w:rPr>
      </w:pPr>
      <w:r w:rsidRPr="000906E1">
        <w:rPr>
          <w:rStyle w:val="FiguresChar"/>
          <w:color w:val="auto"/>
        </w:rPr>
        <w:t xml:space="preserve">With regards to recycling, once niobium is embedded in steel, it is extremely difficult to recover as a single element. For one thing it is not known how much niobium is diluted and downgraded during steel recycling and thus how much is effectively recycled and used for its unique properties. Additionally it is not even known if it is physically possible to recover niobium from steel to avoid dilution. Consequently, even if recovery was physically possible would it be financially viable? Currently, considerable amounts of scrap steel are recycled from EOL components and processing scrap. Niobium is consequently recycled as part of this operation. </w:t>
      </w:r>
    </w:p>
    <w:p w:rsidR="00307625" w:rsidRPr="000906E1" w:rsidRDefault="00307625" w:rsidP="00307625">
      <w:pPr>
        <w:spacing w:after="0" w:line="360" w:lineRule="auto"/>
        <w:ind w:firstLine="720"/>
        <w:jc w:val="both"/>
        <w:rPr>
          <w:rStyle w:val="FiguresChar"/>
          <w:color w:val="auto"/>
        </w:rPr>
      </w:pPr>
      <w:r w:rsidRPr="000906E1">
        <w:rPr>
          <w:rStyle w:val="FiguresChar"/>
          <w:color w:val="auto"/>
        </w:rPr>
        <w:t>In conjunction, little is known about manufacturing losses and recycling rates from other niobium products processing routes. Thus highlighting the single flow of recycled niobium in the MFA model.  Because the current supply and reserves of niobium are dominated by one country Brazil, it is only through technological change or extreme increase in usage and intensity of niobium in products that emphasis to recycle niobium might occur. Thus until it does, the current status quo will exist.</w:t>
      </w:r>
    </w:p>
    <w:p w:rsidR="00307625" w:rsidRPr="000906E1" w:rsidRDefault="00307625" w:rsidP="00307625">
      <w:pPr>
        <w:spacing w:after="0" w:line="360" w:lineRule="auto"/>
        <w:ind w:firstLine="720"/>
        <w:jc w:val="both"/>
        <w:rPr>
          <w:rStyle w:val="FiguresChar"/>
          <w:color w:val="auto"/>
        </w:rPr>
      </w:pPr>
      <w:r w:rsidRPr="000906E1">
        <w:rPr>
          <w:rStyle w:val="FiguresChar"/>
          <w:color w:val="auto"/>
        </w:rPr>
        <w:t>Relating to supply chain, as an alloying element niobium strengthens steel, hence less steel is required for specific high strength applications. However the exact impact of niobium over the steel supply chain in terms of steel demand reduction is unknown and a possible area of investigation.</w:t>
      </w:r>
    </w:p>
    <w:p w:rsidR="00301BA0" w:rsidRPr="000906E1" w:rsidRDefault="00301BA0" w:rsidP="00301BA0">
      <w:pPr>
        <w:spacing w:after="0" w:line="360" w:lineRule="auto"/>
        <w:ind w:firstLine="720"/>
        <w:jc w:val="both"/>
        <w:rPr>
          <w:rFonts w:ascii="Times New Roman" w:eastAsia="Calibri" w:hAnsi="Times New Roman" w:cs="Times New Roman"/>
        </w:rPr>
      </w:pPr>
      <w:r w:rsidRPr="000906E1">
        <w:rPr>
          <w:rFonts w:ascii="Times New Roman" w:eastAsia="Calibri" w:hAnsi="Times New Roman" w:cs="Times New Roman"/>
        </w:rPr>
        <w:t>Though the global vanadium MFA provides a very useful snapshot of the flow of vanadium, there are a several hotspots</w:t>
      </w:r>
      <w:r w:rsidR="004A2D52" w:rsidRPr="000906E1">
        <w:rPr>
          <w:rFonts w:ascii="Times New Roman" w:eastAsia="Calibri" w:hAnsi="Times New Roman" w:cs="Times New Roman"/>
        </w:rPr>
        <w:t>, based primarily on the supply and demand of vanadium</w:t>
      </w:r>
      <w:r w:rsidRPr="000906E1">
        <w:rPr>
          <w:rFonts w:ascii="Times New Roman" w:eastAsia="Calibri" w:hAnsi="Times New Roman" w:cs="Times New Roman"/>
        </w:rPr>
        <w:t>.</w:t>
      </w:r>
    </w:p>
    <w:p w:rsidR="007E0B08" w:rsidRPr="000906E1" w:rsidRDefault="007E0B08" w:rsidP="007E0B08">
      <w:pPr>
        <w:spacing w:after="0" w:line="360" w:lineRule="auto"/>
        <w:ind w:firstLine="720"/>
        <w:jc w:val="both"/>
        <w:rPr>
          <w:rFonts w:ascii="Times New Roman" w:eastAsia="Calibri" w:hAnsi="Times New Roman" w:cs="Times New Roman"/>
        </w:rPr>
      </w:pPr>
      <w:r w:rsidRPr="000906E1">
        <w:rPr>
          <w:rFonts w:ascii="Times New Roman" w:eastAsia="Calibri" w:hAnsi="Times New Roman" w:cs="Times New Roman"/>
        </w:rPr>
        <w:t>Since the majority of vanadium being produced is as a co-product from steel making slag (68%), future expansion of vanadium’s supply is thus highly dependent upon the global steel market. The more developed and stable the steel market, the more likelihood current producers will expand and upgrade resulting in new projects being mined, explored and developed. Over the next couple of years between 2012 and 2017, only a few projects are predicted to come online from the top three producing countries, China, Russia and South Africa.</w:t>
      </w:r>
    </w:p>
    <w:p w:rsidR="007E0B08" w:rsidRPr="000906E1" w:rsidRDefault="007E0B08" w:rsidP="007E0B08">
      <w:pPr>
        <w:spacing w:after="0" w:line="360" w:lineRule="auto"/>
        <w:ind w:firstLine="720"/>
        <w:jc w:val="both"/>
        <w:rPr>
          <w:rFonts w:ascii="Times New Roman" w:eastAsia="Calibri" w:hAnsi="Times New Roman" w:cs="Times New Roman"/>
        </w:rPr>
      </w:pPr>
      <w:r w:rsidRPr="000906E1">
        <w:rPr>
          <w:rFonts w:ascii="Times New Roman" w:eastAsia="Calibri" w:hAnsi="Times New Roman" w:cs="Times New Roman"/>
        </w:rPr>
        <w:t xml:space="preserve">China is expected to significantly upgrade its vanadium by-product production by strategically supporting growing internal steel production from its own domestic ores. Over the years China has become dependent on importing iron ore from aboard, and this strategy is designed to counteract that dependence. According to this approach, China is expected to produce an extra 20,000 tonnes of by-product vanadium from planned steel mill expansions over the next 5 years. </w:t>
      </w:r>
      <w:r w:rsidRPr="000906E1">
        <w:rPr>
          <w:rStyle w:val="ReferenceChar"/>
          <w:noProof/>
          <w:color w:val="auto"/>
        </w:rPr>
        <w:t>(Perles 2012)</w:t>
      </w:r>
    </w:p>
    <w:p w:rsidR="008C6179" w:rsidRPr="000906E1" w:rsidRDefault="007E0B08" w:rsidP="007E0B08">
      <w:pPr>
        <w:spacing w:after="0" w:line="360" w:lineRule="auto"/>
        <w:ind w:firstLine="720"/>
        <w:jc w:val="both"/>
        <w:rPr>
          <w:rFonts w:ascii="Times New Roman" w:eastAsia="Calibri" w:hAnsi="Times New Roman" w:cs="Times New Roman"/>
        </w:rPr>
      </w:pPr>
      <w:r w:rsidRPr="000906E1">
        <w:rPr>
          <w:rFonts w:ascii="Times New Roman" w:eastAsia="Calibri" w:hAnsi="Times New Roman" w:cs="Times New Roman"/>
        </w:rPr>
        <w:t xml:space="preserve"> Apart from China, the other 2 primary producing nations (South Africa and Russia) are also set to expand production. Expansion of existing plants such as Nizhny </w:t>
      </w:r>
      <w:proofErr w:type="spellStart"/>
      <w:r w:rsidRPr="000906E1">
        <w:rPr>
          <w:rFonts w:ascii="Times New Roman" w:eastAsia="Calibri" w:hAnsi="Times New Roman" w:cs="Times New Roman"/>
        </w:rPr>
        <w:t>Tagilsteel</w:t>
      </w:r>
      <w:proofErr w:type="spellEnd"/>
      <w:r w:rsidRPr="000906E1">
        <w:rPr>
          <w:rFonts w:ascii="Times New Roman" w:eastAsia="Calibri" w:hAnsi="Times New Roman" w:cs="Times New Roman"/>
        </w:rPr>
        <w:t xml:space="preserve"> mill (Russia) and </w:t>
      </w:r>
      <w:r w:rsidRPr="000906E1">
        <w:rPr>
          <w:rFonts w:ascii="Times New Roman" w:eastAsia="Calibri" w:hAnsi="Times New Roman" w:cs="Times New Roman"/>
        </w:rPr>
        <w:lastRenderedPageBreak/>
        <w:t xml:space="preserve">Highveld Steel mill (South Africa) are expected in 2015 with increased production capacities of 7,000 and 1,500 MTV respectively. </w:t>
      </w:r>
    </w:p>
    <w:p w:rsidR="00695818" w:rsidRPr="000906E1" w:rsidRDefault="007E0B08" w:rsidP="00CD7F59">
      <w:pPr>
        <w:spacing w:after="0" w:line="360" w:lineRule="auto"/>
        <w:ind w:firstLine="720"/>
        <w:jc w:val="both"/>
        <w:rPr>
          <w:rStyle w:val="ReferenceChar"/>
          <w:noProof/>
          <w:color w:val="auto"/>
        </w:rPr>
      </w:pPr>
      <w:r w:rsidRPr="000906E1">
        <w:rPr>
          <w:rStyle w:val="ReferenceChar"/>
          <w:color w:val="auto"/>
        </w:rPr>
        <w:t xml:space="preserve">Apart from supply, vanadium demand will also be susceptible to changes in the market and in particular the steel industry. Within steel, </w:t>
      </w:r>
      <w:r w:rsidRPr="000906E1">
        <w:rPr>
          <w:rFonts w:ascii="Times New Roman" w:eastAsia="Calibri" w:hAnsi="Times New Roman" w:cs="Times New Roman"/>
        </w:rPr>
        <w:t xml:space="preserve">the production of titanium alloys predominantly in aerospace applications could have a significant impact on vanadium demand. In particularly Ti6-4 which contains about 4% vanadium. In 2011 over 3,000 MTV was consumed in titanium alloy production and increased to about 3,229 MTV in 2012. This meant titanium alloys accounted for about 4% of consumption of vanadium in 2012. However, with air traffic doubling over the next 15 years and military demand increasing by about 40% between 2010 to 2015, demands for vanadium consumption by titanium alloys is expected to reach 6,000 MTV by 2016. This therefore strategically places titanium alloy demand in aerospace applications, as potentially one of the quickest growing markets for global vanadium demand. </w:t>
      </w:r>
      <w:r w:rsidRPr="000906E1">
        <w:rPr>
          <w:rStyle w:val="ReferenceChar"/>
          <w:noProof/>
          <w:color w:val="auto"/>
        </w:rPr>
        <w:t xml:space="preserve">(Atlantic Ltd 2013) Additionally </w:t>
      </w:r>
      <w:r w:rsidRPr="000906E1">
        <w:rPr>
          <w:rFonts w:ascii="Times New Roman" w:eastAsia="Calibri" w:hAnsi="Times New Roman" w:cs="Times New Roman"/>
        </w:rPr>
        <w:t xml:space="preserve">global vanadium demand today is driven by two basic variables: global steel production rates, and the Specific Vanadium Consumption Rate (SVCR) (kilograms vanadium used per metric ton of steel produced, or kg-Vanadium/MT steel) within the steel industry. Changes in these two variables will be the main drivers for changes in global vanadium demand in the up-coming years. </w:t>
      </w:r>
      <w:r w:rsidRPr="000906E1">
        <w:rPr>
          <w:rStyle w:val="ReferenceChar"/>
          <w:noProof/>
          <w:color w:val="auto"/>
        </w:rPr>
        <w:t>(Perles 2012)</w:t>
      </w:r>
    </w:p>
    <w:p w:rsidR="00695818" w:rsidRPr="005E75BC" w:rsidRDefault="005E75BC" w:rsidP="005E75BC">
      <w:pPr>
        <w:spacing w:after="0" w:line="360" w:lineRule="auto"/>
        <w:ind w:firstLine="720"/>
        <w:jc w:val="both"/>
        <w:rPr>
          <w:rFonts w:ascii="Times New Roman" w:eastAsia="Calibri" w:hAnsi="Times New Roman"/>
          <w:color w:val="FF0000"/>
        </w:rPr>
      </w:pPr>
      <w:r w:rsidRPr="000906E1">
        <w:rPr>
          <w:rStyle w:val="ReferenceChar"/>
          <w:noProof/>
          <w:color w:val="auto"/>
        </w:rPr>
        <w:t>Apart from analysing hotspots t</w:t>
      </w:r>
      <w:r w:rsidR="00C37243" w:rsidRPr="000906E1">
        <w:rPr>
          <w:rFonts w:ascii="Times New Roman" w:eastAsia="Calibri" w:hAnsi="Times New Roman" w:cs="Times New Roman"/>
        </w:rPr>
        <w:t xml:space="preserve">he </w:t>
      </w:r>
      <w:r w:rsidR="00C37243" w:rsidRPr="00095771">
        <w:rPr>
          <w:rFonts w:ascii="Times New Roman" w:eastAsia="Calibri" w:hAnsi="Times New Roman" w:cs="Times New Roman"/>
        </w:rPr>
        <w:t xml:space="preserve">four supply chains analysed here were divided into </w:t>
      </w:r>
      <w:r w:rsidR="00695818" w:rsidRPr="00095771">
        <w:rPr>
          <w:rFonts w:ascii="Times New Roman" w:eastAsia="Calibri" w:hAnsi="Times New Roman" w:cs="Times New Roman"/>
        </w:rPr>
        <w:t>four stages: extraction, processing, generic applications and metallurgical applications. Some general trends were also observed about the quality and quantity of data available for each stage:</w:t>
      </w:r>
    </w:p>
    <w:p w:rsidR="00C6246C" w:rsidRPr="00095771" w:rsidRDefault="009679A2" w:rsidP="00EE7761">
      <w:pPr>
        <w:pStyle w:val="ListParagraph"/>
        <w:numPr>
          <w:ilvl w:val="0"/>
          <w:numId w:val="23"/>
        </w:numPr>
        <w:spacing w:after="0" w:line="360" w:lineRule="auto"/>
        <w:jc w:val="both"/>
        <w:rPr>
          <w:rFonts w:ascii="Times New Roman" w:eastAsia="Calibri" w:hAnsi="Times New Roman" w:cs="Times New Roman"/>
        </w:rPr>
      </w:pPr>
      <w:r w:rsidRPr="00095771">
        <w:rPr>
          <w:rFonts w:ascii="Times New Roman" w:eastAsia="Calibri" w:hAnsi="Times New Roman" w:cs="Times New Roman"/>
        </w:rPr>
        <w:t>Mine production, refinery production and recovery rates are generally available from a number of literature sources, but mainly Geological Surveys (e.g. BGS and USGS) as well as metal specific institutes and groups (i.e. Internationa</w:t>
      </w:r>
      <w:r w:rsidR="00C16780" w:rsidRPr="00095771">
        <w:rPr>
          <w:rFonts w:ascii="Times New Roman" w:eastAsia="Calibri" w:hAnsi="Times New Roman" w:cs="Times New Roman"/>
        </w:rPr>
        <w:t>l Chromium Development Association</w:t>
      </w:r>
      <w:r w:rsidRPr="00095771">
        <w:rPr>
          <w:rFonts w:ascii="Times New Roman" w:eastAsia="Calibri" w:hAnsi="Times New Roman" w:cs="Times New Roman"/>
        </w:rPr>
        <w:t xml:space="preserve"> (ICDA)).</w:t>
      </w:r>
    </w:p>
    <w:p w:rsidR="009679A2" w:rsidRPr="00095771" w:rsidRDefault="00C16780" w:rsidP="00EE7761">
      <w:pPr>
        <w:pStyle w:val="ListParagraph"/>
        <w:numPr>
          <w:ilvl w:val="0"/>
          <w:numId w:val="23"/>
        </w:numPr>
        <w:spacing w:after="0" w:line="360" w:lineRule="auto"/>
        <w:jc w:val="both"/>
        <w:rPr>
          <w:rFonts w:ascii="Times New Roman" w:eastAsia="Calibri" w:hAnsi="Times New Roman" w:cs="Times New Roman"/>
        </w:rPr>
      </w:pPr>
      <w:r w:rsidRPr="00095771">
        <w:rPr>
          <w:rFonts w:ascii="Times New Roman" w:eastAsia="Calibri" w:hAnsi="Times New Roman" w:cs="Times New Roman"/>
        </w:rPr>
        <w:t>Literature regarding in-depth details about mining and processing methods used to extract metals from ore are not accessible in great detail. This includes factors (i.e. economic, physical and technological) that provide the backbone of operations by these companies that mine and refine these metals.</w:t>
      </w:r>
    </w:p>
    <w:p w:rsidR="00C16780" w:rsidRPr="00095771" w:rsidRDefault="00C16780" w:rsidP="00EE7761">
      <w:pPr>
        <w:pStyle w:val="ListParagraph"/>
        <w:numPr>
          <w:ilvl w:val="0"/>
          <w:numId w:val="23"/>
        </w:numPr>
        <w:spacing w:after="0" w:line="360" w:lineRule="auto"/>
        <w:jc w:val="both"/>
        <w:rPr>
          <w:rFonts w:ascii="Times New Roman" w:eastAsia="Calibri" w:hAnsi="Times New Roman" w:cs="Times New Roman"/>
        </w:rPr>
      </w:pPr>
      <w:r w:rsidRPr="00095771">
        <w:rPr>
          <w:rFonts w:ascii="Times New Roman" w:eastAsia="Calibri" w:hAnsi="Times New Roman" w:cs="Times New Roman"/>
        </w:rPr>
        <w:t>The true environmental effects of operations run by metals mining and refining companies are unknown since they do not publish data related to sustainability indicators. Platinum Group Metals (PGM) are the notable exception.</w:t>
      </w:r>
    </w:p>
    <w:p w:rsidR="00C16780" w:rsidRPr="00095771" w:rsidRDefault="00C16780" w:rsidP="00EE7761">
      <w:pPr>
        <w:pStyle w:val="ListParagraph"/>
        <w:numPr>
          <w:ilvl w:val="0"/>
          <w:numId w:val="23"/>
        </w:numPr>
        <w:spacing w:after="0" w:line="360" w:lineRule="auto"/>
        <w:jc w:val="both"/>
        <w:rPr>
          <w:rFonts w:ascii="Times New Roman" w:eastAsia="Calibri" w:hAnsi="Times New Roman" w:cs="Times New Roman"/>
        </w:rPr>
      </w:pPr>
      <w:r w:rsidRPr="00095771">
        <w:rPr>
          <w:rFonts w:ascii="Times New Roman" w:eastAsia="Calibri" w:hAnsi="Times New Roman" w:cs="Times New Roman"/>
        </w:rPr>
        <w:t>Uncertainty exists on use of recycling metrics and estimates for all four elements analysed. This is due to a lack of detail, presently missing in current literature, concerning the exact methods and processes used to recycle these metals.</w:t>
      </w:r>
      <w:r w:rsidR="001F10C9" w:rsidRPr="00095771">
        <w:rPr>
          <w:rFonts w:ascii="Times New Roman" w:eastAsia="Calibri" w:hAnsi="Times New Roman" w:cs="Times New Roman"/>
        </w:rPr>
        <w:t xml:space="preserve"> Even with the presence of qualitative data, there is lack of supportive quantitative data.</w:t>
      </w:r>
    </w:p>
    <w:p w:rsidR="00F341AB" w:rsidRPr="00095771" w:rsidRDefault="001F10C9" w:rsidP="00EE7761">
      <w:pPr>
        <w:pStyle w:val="ListParagraph"/>
        <w:numPr>
          <w:ilvl w:val="0"/>
          <w:numId w:val="23"/>
        </w:numPr>
        <w:spacing w:after="0" w:line="360" w:lineRule="auto"/>
        <w:jc w:val="both"/>
        <w:rPr>
          <w:rFonts w:ascii="Times New Roman" w:eastAsia="Calibri" w:hAnsi="Times New Roman" w:cs="Times New Roman"/>
        </w:rPr>
      </w:pPr>
      <w:r w:rsidRPr="00095771">
        <w:rPr>
          <w:rFonts w:ascii="Times New Roman" w:eastAsia="Calibri" w:hAnsi="Times New Roman" w:cs="Times New Roman"/>
        </w:rPr>
        <w:t xml:space="preserve">The outcome of EoL products is not well understood in literature and requires further study. Especially the anthropogenic stocks which will provide an understanding of how </w:t>
      </w:r>
      <w:r w:rsidRPr="00095771">
        <w:rPr>
          <w:rFonts w:ascii="Times New Roman" w:eastAsia="Calibri" w:hAnsi="Times New Roman" w:cs="Times New Roman"/>
        </w:rPr>
        <w:lastRenderedPageBreak/>
        <w:t>much material is obtainable form current products for recycling. Thus, establishing the economic and technical viability of such operations presently as well as in the future.</w:t>
      </w:r>
    </w:p>
    <w:p w:rsidR="00F341AB" w:rsidRPr="00095771" w:rsidRDefault="00F341AB" w:rsidP="00F341AB">
      <w:pPr>
        <w:spacing w:after="0" w:line="360" w:lineRule="auto"/>
        <w:jc w:val="both"/>
        <w:rPr>
          <w:rFonts w:ascii="Times New Roman" w:eastAsia="Calibri" w:hAnsi="Times New Roman" w:cs="Times New Roman"/>
        </w:rPr>
      </w:pPr>
    </w:p>
    <w:p w:rsidR="006A62D1" w:rsidRPr="000906E1" w:rsidRDefault="00F341AB" w:rsidP="00BF6D6F">
      <w:pPr>
        <w:spacing w:after="0" w:line="360" w:lineRule="auto"/>
        <w:ind w:firstLine="720"/>
        <w:jc w:val="both"/>
        <w:rPr>
          <w:rFonts w:ascii="Times New Roman" w:hAnsi="Times New Roman" w:cs="Times New Roman"/>
        </w:rPr>
      </w:pPr>
      <w:r w:rsidRPr="00095771">
        <w:rPr>
          <w:rFonts w:ascii="Times New Roman" w:eastAsia="Calibri" w:hAnsi="Times New Roman" w:cs="Times New Roman"/>
        </w:rPr>
        <w:t>Though large amounts of data are produced by global companies and international organisational bodies</w:t>
      </w:r>
      <w:r w:rsidR="00FE3ED8" w:rsidRPr="00095771">
        <w:rPr>
          <w:rFonts w:ascii="Times New Roman" w:eastAsia="Calibri" w:hAnsi="Times New Roman" w:cs="Times New Roman"/>
        </w:rPr>
        <w:t xml:space="preserve">, combined with data confidentiality, this results in only a fraction of usable data from which MFA studies can be created. Consequently, MFA studies provide only an estimate of the present state of industry and not exact figures. Yet MFA studies are </w:t>
      </w:r>
      <w:r w:rsidR="00FE3ED8" w:rsidRPr="00095771">
        <w:rPr>
          <w:rFonts w:ascii="Times New Roman" w:hAnsi="Times New Roman" w:cs="Times New Roman"/>
        </w:rPr>
        <w:t>extremely significant in identifying</w:t>
      </w:r>
      <w:r w:rsidR="00BF6D6F">
        <w:rPr>
          <w:rFonts w:ascii="Times New Roman" w:hAnsi="Times New Roman" w:cs="Times New Roman"/>
        </w:rPr>
        <w:t xml:space="preserve"> areas of interest i.e. hotspots as previously mentioned, </w:t>
      </w:r>
      <w:r w:rsidR="00FE3ED8" w:rsidRPr="00095771">
        <w:rPr>
          <w:rFonts w:ascii="Times New Roman" w:hAnsi="Times New Roman" w:cs="Times New Roman"/>
        </w:rPr>
        <w:t xml:space="preserve">for a myriad of different industries and applications. </w:t>
      </w:r>
      <w:r w:rsidR="008B3CD0" w:rsidRPr="00095771">
        <w:rPr>
          <w:rFonts w:ascii="Times New Roman" w:hAnsi="Times New Roman" w:cs="Times New Roman"/>
        </w:rPr>
        <w:t>The findings of such results often act as the backbone upon which industrial practises are</w:t>
      </w:r>
      <w:r w:rsidR="00FE3ED8" w:rsidRPr="00095771">
        <w:rPr>
          <w:rFonts w:ascii="Times New Roman" w:hAnsi="Times New Roman" w:cs="Times New Roman"/>
        </w:rPr>
        <w:t xml:space="preserve"> devised, </w:t>
      </w:r>
      <w:r w:rsidR="00FE3ED8" w:rsidRPr="000906E1">
        <w:rPr>
          <w:rFonts w:ascii="Times New Roman" w:hAnsi="Times New Roman" w:cs="Times New Roman"/>
        </w:rPr>
        <w:t>revised and</w:t>
      </w:r>
      <w:r w:rsidR="008B3CD0" w:rsidRPr="000906E1">
        <w:rPr>
          <w:rFonts w:ascii="Times New Roman" w:hAnsi="Times New Roman" w:cs="Times New Roman"/>
        </w:rPr>
        <w:t xml:space="preserve"> </w:t>
      </w:r>
      <w:r w:rsidR="00FE3ED8" w:rsidRPr="000906E1">
        <w:rPr>
          <w:rFonts w:ascii="Times New Roman" w:hAnsi="Times New Roman" w:cs="Times New Roman"/>
        </w:rPr>
        <w:t xml:space="preserve">updated, as well as </w:t>
      </w:r>
      <w:r w:rsidR="008B3CD0" w:rsidRPr="000906E1">
        <w:rPr>
          <w:rFonts w:ascii="Times New Roman" w:hAnsi="Times New Roman" w:cs="Times New Roman"/>
        </w:rPr>
        <w:t>upon which g</w:t>
      </w:r>
      <w:r w:rsidR="00FE3ED8" w:rsidRPr="000906E1">
        <w:rPr>
          <w:rFonts w:ascii="Times New Roman" w:hAnsi="Times New Roman" w:cs="Times New Roman"/>
        </w:rPr>
        <w:t>overnmental policies are formed and acted upon</w:t>
      </w:r>
      <w:r w:rsidR="007D0E8E" w:rsidRPr="000906E1">
        <w:rPr>
          <w:rFonts w:ascii="Times New Roman" w:hAnsi="Times New Roman" w:cs="Times New Roman"/>
        </w:rPr>
        <w:t>.</w:t>
      </w:r>
    </w:p>
    <w:p w:rsidR="00FE60A5" w:rsidRPr="000906E1" w:rsidRDefault="00EE5DC5" w:rsidP="00FE60A5">
      <w:pPr>
        <w:spacing w:after="0" w:line="360" w:lineRule="auto"/>
        <w:ind w:firstLine="720"/>
        <w:jc w:val="both"/>
        <w:rPr>
          <w:rFonts w:ascii="Times New Roman" w:hAnsi="Times New Roman"/>
        </w:rPr>
      </w:pPr>
      <w:r w:rsidRPr="000906E1">
        <w:rPr>
          <w:rFonts w:ascii="Times New Roman" w:hAnsi="Times New Roman" w:cs="Times New Roman"/>
        </w:rPr>
        <w:t>In addition,</w:t>
      </w:r>
      <w:r w:rsidR="007D0E8E" w:rsidRPr="000906E1">
        <w:rPr>
          <w:rFonts w:ascii="Times New Roman" w:hAnsi="Times New Roman" w:cs="Times New Roman"/>
        </w:rPr>
        <w:t xml:space="preserve"> although not investigated here, t</w:t>
      </w:r>
      <w:r w:rsidRPr="000906E1">
        <w:rPr>
          <w:rFonts w:ascii="Times New Roman" w:hAnsi="Times New Roman" w:cs="Times New Roman"/>
        </w:rPr>
        <w:t xml:space="preserve">he benefits of monetising </w:t>
      </w:r>
      <w:r w:rsidR="00044620" w:rsidRPr="000906E1">
        <w:rPr>
          <w:rFonts w:ascii="Times New Roman" w:hAnsi="Times New Roman" w:cs="Times New Roman"/>
        </w:rPr>
        <w:t xml:space="preserve">MFA diagrams </w:t>
      </w:r>
      <w:r w:rsidRPr="000906E1">
        <w:rPr>
          <w:rFonts w:ascii="Times New Roman" w:hAnsi="Times New Roman" w:cs="Times New Roman"/>
        </w:rPr>
        <w:t>would</w:t>
      </w:r>
      <w:r w:rsidR="005167F0" w:rsidRPr="000906E1">
        <w:rPr>
          <w:rFonts w:ascii="Times New Roman" w:hAnsi="Times New Roman" w:cs="Times New Roman"/>
        </w:rPr>
        <w:t xml:space="preserve"> highlight major costs, current profitability of manufacturing routes and products and potential opportunities</w:t>
      </w:r>
      <w:r w:rsidR="00044620" w:rsidRPr="000906E1">
        <w:rPr>
          <w:rFonts w:ascii="Times New Roman" w:hAnsi="Times New Roman" w:cs="Times New Roman"/>
        </w:rPr>
        <w:t>. For example</w:t>
      </w:r>
      <w:r w:rsidR="002B15D5" w:rsidRPr="000906E1">
        <w:rPr>
          <w:rFonts w:ascii="Times New Roman" w:hAnsi="Times New Roman" w:cs="Times New Roman"/>
        </w:rPr>
        <w:t xml:space="preserve"> with</w:t>
      </w:r>
      <w:r w:rsidR="003807CF" w:rsidRPr="000906E1">
        <w:rPr>
          <w:rFonts w:ascii="Times New Roman" w:hAnsi="Times New Roman" w:cs="Times New Roman"/>
        </w:rPr>
        <w:t xml:space="preserve"> Cobalt, </w:t>
      </w:r>
      <w:r w:rsidR="005167F0" w:rsidRPr="000906E1">
        <w:rPr>
          <w:rFonts w:ascii="Times New Roman" w:hAnsi="Times New Roman" w:cs="Times New Roman"/>
        </w:rPr>
        <w:t>l</w:t>
      </w:r>
      <w:r w:rsidR="005167F0" w:rsidRPr="000906E1">
        <w:rPr>
          <w:rFonts w:ascii="Times New Roman" w:hAnsi="Times New Roman"/>
        </w:rPr>
        <w:t xml:space="preserve">eading automotive manufacturers have said by approximately 2020, 12-13 million Hybrid Electric Vehicle (HEV) and Electrical Vehicle (EV) should be on the road. </w:t>
      </w:r>
      <w:r w:rsidR="00044620" w:rsidRPr="000906E1">
        <w:rPr>
          <w:rFonts w:ascii="Times New Roman" w:hAnsi="Times New Roman"/>
        </w:rPr>
        <w:t xml:space="preserve">If approximately 4kg of Cobalt is </w:t>
      </w:r>
      <w:r w:rsidR="003807CF" w:rsidRPr="000906E1">
        <w:rPr>
          <w:rFonts w:ascii="Times New Roman" w:hAnsi="Times New Roman"/>
        </w:rPr>
        <w:t>required</w:t>
      </w:r>
      <w:r w:rsidR="00044620" w:rsidRPr="000906E1">
        <w:rPr>
          <w:rFonts w:ascii="Times New Roman" w:hAnsi="Times New Roman"/>
        </w:rPr>
        <w:t xml:space="preserve"> for HEV and 6kg for EV, this will require at least 20,000 - 30,000Mt of Cobalt.</w:t>
      </w:r>
      <w:r w:rsidR="002B15D5" w:rsidRPr="000906E1">
        <w:rPr>
          <w:rFonts w:ascii="Times New Roman" w:hAnsi="Times New Roman"/>
        </w:rPr>
        <w:t xml:space="preserve"> (</w:t>
      </w:r>
      <w:proofErr w:type="spellStart"/>
      <w:r w:rsidR="002B15D5" w:rsidRPr="000906E1">
        <w:rPr>
          <w:rFonts w:ascii="Times New Roman" w:hAnsi="Times New Roman"/>
        </w:rPr>
        <w:t>Burgert</w:t>
      </w:r>
      <w:proofErr w:type="spellEnd"/>
      <w:r w:rsidR="002B15D5" w:rsidRPr="000906E1">
        <w:rPr>
          <w:rFonts w:ascii="Times New Roman" w:hAnsi="Times New Roman"/>
        </w:rPr>
        <w:t xml:space="preserve"> P. 2012)</w:t>
      </w:r>
      <w:r w:rsidR="00044620" w:rsidRPr="000906E1">
        <w:rPr>
          <w:rFonts w:ascii="Times New Roman" w:hAnsi="Times New Roman"/>
        </w:rPr>
        <w:t xml:space="preserve"> Thus, highlighting a clear</w:t>
      </w:r>
      <w:r w:rsidR="00FE60A5" w:rsidRPr="000906E1">
        <w:rPr>
          <w:rFonts w:ascii="Times New Roman" w:hAnsi="Times New Roman"/>
        </w:rPr>
        <w:t xml:space="preserve"> economic</w:t>
      </w:r>
      <w:r w:rsidR="00044620" w:rsidRPr="000906E1">
        <w:rPr>
          <w:rFonts w:ascii="Times New Roman" w:hAnsi="Times New Roman"/>
        </w:rPr>
        <w:t xml:space="preserve"> opportunity to focus on a particular product or sector. </w:t>
      </w:r>
    </w:p>
    <w:p w:rsidR="005167F0" w:rsidRPr="000906E1" w:rsidRDefault="00044620" w:rsidP="00FE60A5">
      <w:pPr>
        <w:spacing w:after="0" w:line="360" w:lineRule="auto"/>
        <w:ind w:firstLine="720"/>
        <w:jc w:val="both"/>
        <w:rPr>
          <w:rFonts w:ascii="Times New Roman" w:hAnsi="Times New Roman"/>
        </w:rPr>
      </w:pPr>
      <w:r w:rsidRPr="000906E1">
        <w:rPr>
          <w:rFonts w:ascii="Times New Roman" w:hAnsi="Times New Roman"/>
        </w:rPr>
        <w:t>However, due to the complexity of the metal life cycle (i.e. cradle to grave) it is recommended that monetising be performed on lower levels such as</w:t>
      </w:r>
      <w:r w:rsidR="003807CF" w:rsidRPr="000906E1">
        <w:rPr>
          <w:rFonts w:ascii="Times New Roman" w:hAnsi="Times New Roman"/>
        </w:rPr>
        <w:t xml:space="preserve"> on the organisational level. This would better highlight distribution of costs (e.g. energy, labour, materials, taxes) within a project and the economic flow of the project. Thus allowing organisations to select the most economically appropriate strategy which can maximise profits as well as take into account other important factors such as the environmental impacts.</w:t>
      </w:r>
    </w:p>
    <w:p w:rsidR="003807CF" w:rsidRDefault="00774856" w:rsidP="003807CF">
      <w:pPr>
        <w:spacing w:after="0" w:line="360" w:lineRule="auto"/>
        <w:ind w:firstLine="720"/>
        <w:jc w:val="both"/>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b</w:t>
      </w:r>
      <w:proofErr w:type="gramEnd"/>
    </w:p>
    <w:p w:rsidR="00EE5DC5" w:rsidRPr="00BF6D6F" w:rsidRDefault="00EE5DC5" w:rsidP="00BF6D6F">
      <w:pPr>
        <w:spacing w:after="0" w:line="360" w:lineRule="auto"/>
        <w:ind w:firstLine="720"/>
        <w:jc w:val="both"/>
        <w:rPr>
          <w:rFonts w:ascii="Times New Roman" w:hAnsi="Times New Roman" w:cs="Times New Roman"/>
        </w:rPr>
      </w:pPr>
    </w:p>
    <w:p w:rsidR="006A62D1" w:rsidRPr="005B3139" w:rsidRDefault="006A62D1" w:rsidP="006A62D1">
      <w:pPr>
        <w:spacing w:line="360" w:lineRule="auto"/>
        <w:rPr>
          <w:rFonts w:ascii="Times New Roman" w:eastAsia="Calibri" w:hAnsi="Times New Roman" w:cs="Times New Roman"/>
        </w:rPr>
      </w:pPr>
    </w:p>
    <w:p w:rsidR="006A62D1" w:rsidRPr="005B3139" w:rsidRDefault="006A62D1" w:rsidP="006A62D1">
      <w:pPr>
        <w:spacing w:line="360" w:lineRule="auto"/>
        <w:rPr>
          <w:rFonts w:ascii="Times New Roman" w:eastAsia="Calibri" w:hAnsi="Times New Roman" w:cs="Times New Roman"/>
        </w:rPr>
        <w:sectPr w:rsidR="006A62D1" w:rsidRPr="005B3139">
          <w:pgSz w:w="11906" w:h="16838"/>
          <w:pgMar w:top="1440" w:right="1440" w:bottom="1440" w:left="1440" w:header="708" w:footer="708" w:gutter="0"/>
          <w:cols w:space="708"/>
          <w:docGrid w:linePitch="360"/>
        </w:sectPr>
      </w:pPr>
    </w:p>
    <w:p w:rsidR="006A62D1" w:rsidRPr="005B3139" w:rsidRDefault="000F272E" w:rsidP="006A62D1">
      <w:pPr>
        <w:pStyle w:val="Heading1"/>
        <w:rPr>
          <w:rFonts w:eastAsia="Calibri Light"/>
        </w:rPr>
      </w:pPr>
      <w:r>
        <w:rPr>
          <w:rFonts w:eastAsia="Calibri Light"/>
        </w:rPr>
        <w:lastRenderedPageBreak/>
        <w:t>6</w:t>
      </w:r>
      <w:r w:rsidR="006A62D1">
        <w:rPr>
          <w:rFonts w:eastAsia="Calibri Light"/>
        </w:rPr>
        <w:t>.</w:t>
      </w:r>
      <w:r w:rsidR="00F774D9">
        <w:rPr>
          <w:rFonts w:eastAsia="Calibri Light"/>
        </w:rPr>
        <w:t xml:space="preserve"> LCA Results </w:t>
      </w:r>
      <w:r w:rsidR="00EB640D">
        <w:rPr>
          <w:rFonts w:eastAsia="Calibri Light"/>
        </w:rPr>
        <w:t xml:space="preserve">- </w:t>
      </w:r>
      <w:r w:rsidR="006A62D1" w:rsidRPr="005B3139">
        <w:rPr>
          <w:rFonts w:eastAsia="Calibri Light"/>
        </w:rPr>
        <w:t>Electricity</w:t>
      </w:r>
      <w:r w:rsidR="00095771">
        <w:rPr>
          <w:rFonts w:eastAsia="Calibri Light"/>
        </w:rPr>
        <w:t xml:space="preserve"> </w:t>
      </w:r>
    </w:p>
    <w:p w:rsidR="006A62D1" w:rsidRPr="00C008EB" w:rsidRDefault="000F272E" w:rsidP="006A62D1">
      <w:pPr>
        <w:pStyle w:val="Heading2"/>
        <w:rPr>
          <w:rFonts w:eastAsia="Calibri Light"/>
        </w:rPr>
      </w:pPr>
      <w:r>
        <w:rPr>
          <w:rFonts w:eastAsia="Calibri Light"/>
        </w:rPr>
        <w:t>6</w:t>
      </w:r>
      <w:r w:rsidR="002E1E29">
        <w:rPr>
          <w:rFonts w:eastAsia="Calibri Light"/>
        </w:rPr>
        <w:t xml:space="preserve">.1 Verification of electricity grid mix method using </w:t>
      </w:r>
      <w:r w:rsidR="006D5985">
        <w:rPr>
          <w:rFonts w:eastAsia="Calibri Light"/>
        </w:rPr>
        <w:t>I</w:t>
      </w:r>
      <w:r w:rsidR="00FE3ED8">
        <w:rPr>
          <w:rFonts w:eastAsia="Calibri Light"/>
        </w:rPr>
        <w:t>ndia, Japan and Norway</w:t>
      </w:r>
    </w:p>
    <w:p w:rsidR="006A62D1" w:rsidRPr="005B3139" w:rsidRDefault="006A62D1" w:rsidP="00774856">
      <w:pPr>
        <w:spacing w:line="360" w:lineRule="auto"/>
        <w:ind w:firstLine="720"/>
        <w:rPr>
          <w:rFonts w:ascii="Times New Roman" w:eastAsia="Calibri" w:hAnsi="Times New Roman" w:cs="Times New Roman"/>
        </w:rPr>
      </w:pPr>
      <w:r>
        <w:rPr>
          <w:noProof/>
        </w:rPr>
        <w:drawing>
          <wp:inline distT="0" distB="0" distL="0" distR="0">
            <wp:extent cx="4434214" cy="2242159"/>
            <wp:effectExtent l="0" t="0" r="4445" b="6350"/>
            <wp:docPr id="464" name="Chart 4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6A62D1" w:rsidRPr="00095771" w:rsidRDefault="006A62D1" w:rsidP="00EE7990">
      <w:pPr>
        <w:spacing w:line="360" w:lineRule="auto"/>
        <w:jc w:val="both"/>
        <w:rPr>
          <w:rFonts w:ascii="Times New Roman" w:eastAsia="Calibri" w:hAnsi="Times New Roman" w:cs="Times New Roman"/>
        </w:rPr>
      </w:pPr>
      <w:bookmarkStart w:id="116" w:name="_Ref474080176"/>
      <w:bookmarkStart w:id="117" w:name="_Toc495848350"/>
      <w:r w:rsidRPr="00095771">
        <w:rPr>
          <w:rFonts w:ascii="Times New Roman" w:hAnsi="Times New Roman" w:cs="Times New Roman"/>
        </w:rPr>
        <w:t xml:space="preserve">Figure </w:t>
      </w:r>
      <w:r w:rsidR="009A0ED7" w:rsidRPr="00095771">
        <w:rPr>
          <w:rFonts w:ascii="Times New Roman" w:hAnsi="Times New Roman" w:cs="Times New Roman"/>
        </w:rPr>
        <w:fldChar w:fldCharType="begin"/>
      </w:r>
      <w:r w:rsidRPr="00095771">
        <w:rPr>
          <w:rFonts w:ascii="Times New Roman" w:hAnsi="Times New Roman" w:cs="Times New Roman"/>
        </w:rPr>
        <w:instrText xml:space="preserve"> SEQ Figure \* ARABIC </w:instrText>
      </w:r>
      <w:r w:rsidR="009A0ED7" w:rsidRPr="00095771">
        <w:rPr>
          <w:rFonts w:ascii="Times New Roman" w:hAnsi="Times New Roman" w:cs="Times New Roman"/>
        </w:rPr>
        <w:fldChar w:fldCharType="separate"/>
      </w:r>
      <w:r w:rsidR="009F5483">
        <w:rPr>
          <w:rFonts w:ascii="Times New Roman" w:hAnsi="Times New Roman" w:cs="Times New Roman"/>
          <w:noProof/>
        </w:rPr>
        <w:t>17</w:t>
      </w:r>
      <w:r w:rsidR="009A0ED7" w:rsidRPr="00095771">
        <w:rPr>
          <w:rFonts w:ascii="Times New Roman" w:hAnsi="Times New Roman" w:cs="Times New Roman"/>
        </w:rPr>
        <w:fldChar w:fldCharType="end"/>
      </w:r>
      <w:bookmarkEnd w:id="116"/>
      <w:r w:rsidRPr="00095771">
        <w:rPr>
          <w:rFonts w:ascii="Times New Roman" w:hAnsi="Times New Roman" w:cs="Times New Roman"/>
        </w:rPr>
        <w:t xml:space="preserve">. </w:t>
      </w:r>
      <w:r w:rsidRPr="00095771">
        <w:rPr>
          <w:rFonts w:ascii="Times New Roman" w:eastAsia="Calibri" w:hAnsi="Times New Roman" w:cs="Times New Roman"/>
        </w:rPr>
        <w:t>A comparison</w:t>
      </w:r>
      <w:r w:rsidR="00861868" w:rsidRPr="00095771">
        <w:rPr>
          <w:rFonts w:ascii="Times New Roman" w:eastAsia="Calibri" w:hAnsi="Times New Roman" w:cs="Times New Roman"/>
        </w:rPr>
        <w:t xml:space="preserve"> in terms of GWP</w:t>
      </w:r>
      <w:r w:rsidRPr="00095771">
        <w:rPr>
          <w:rFonts w:ascii="Times New Roman" w:eastAsia="Calibri" w:hAnsi="Times New Roman" w:cs="Times New Roman"/>
        </w:rPr>
        <w:t xml:space="preserve"> of br</w:t>
      </w:r>
      <w:r w:rsidR="00E70C0C" w:rsidRPr="00095771">
        <w:rPr>
          <w:rFonts w:ascii="Times New Roman" w:eastAsia="Calibri" w:hAnsi="Times New Roman" w:cs="Times New Roman"/>
        </w:rPr>
        <w:t>eakdown of electricity by fuel</w:t>
      </w:r>
      <w:r w:rsidRPr="00095771">
        <w:rPr>
          <w:rFonts w:ascii="Times New Roman" w:eastAsia="Calibri" w:hAnsi="Times New Roman" w:cs="Times New Roman"/>
        </w:rPr>
        <w:t xml:space="preserve"> source for India, Japan and Norway via </w:t>
      </w:r>
      <w:r w:rsidR="004D2D91" w:rsidRPr="00095771">
        <w:rPr>
          <w:rFonts w:ascii="Times New Roman" w:eastAsia="Calibri" w:hAnsi="Times New Roman" w:cs="Times New Roman"/>
        </w:rPr>
        <w:t>GaBi</w:t>
      </w:r>
      <w:r w:rsidRPr="00095771">
        <w:rPr>
          <w:rFonts w:ascii="Times New Roman" w:eastAsia="Calibri" w:hAnsi="Times New Roman" w:cs="Times New Roman"/>
        </w:rPr>
        <w:t xml:space="preserve"> and IEA databases for the year 2011.</w:t>
      </w:r>
      <w:bookmarkEnd w:id="117"/>
      <w:r w:rsidRPr="00095771">
        <w:rPr>
          <w:rFonts w:ascii="Times New Roman" w:eastAsia="Calibri" w:hAnsi="Times New Roman" w:cs="Times New Roman"/>
        </w:rPr>
        <w:t xml:space="preserve"> </w:t>
      </w:r>
    </w:p>
    <w:p w:rsidR="00AB3307" w:rsidRPr="00095771" w:rsidRDefault="00D027D0" w:rsidP="00D027D0">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Before developing average electricity grid mixes for all nine countries of interest, a sample of three countries (India, Japan and Norway) were selected to develop a robust and valid methodology. Selection of these three was based on their presence in both the software program </w:t>
      </w:r>
      <w:r w:rsidR="004D2D91" w:rsidRPr="00095771">
        <w:rPr>
          <w:rFonts w:ascii="Times New Roman" w:eastAsia="Calibri" w:hAnsi="Times New Roman" w:cs="Times New Roman"/>
        </w:rPr>
        <w:t>GaBi</w:t>
      </w:r>
      <w:r w:rsidRPr="00095771">
        <w:rPr>
          <w:rFonts w:ascii="Times New Roman" w:eastAsia="Calibri" w:hAnsi="Times New Roman" w:cs="Times New Roman"/>
        </w:rPr>
        <w:t xml:space="preserve"> and IEA online statistics database</w:t>
      </w:r>
      <w:r w:rsidR="00661857" w:rsidRPr="00095771">
        <w:rPr>
          <w:rFonts w:ascii="Times New Roman" w:eastAsia="Calibri" w:hAnsi="Times New Roman" w:cs="Times New Roman"/>
        </w:rPr>
        <w:t xml:space="preserve"> for the year 2011</w:t>
      </w:r>
      <w:r w:rsidRPr="00095771">
        <w:rPr>
          <w:rFonts w:ascii="Times New Roman" w:eastAsia="Calibri" w:hAnsi="Times New Roman" w:cs="Times New Roman"/>
        </w:rPr>
        <w:t xml:space="preserve">. </w:t>
      </w:r>
      <w:r w:rsidR="006A62D1" w:rsidRPr="00095771">
        <w:rPr>
          <w:rFonts w:ascii="Times New Roman" w:eastAsia="Calibri" w:hAnsi="Times New Roman" w:cs="Times New Roman"/>
        </w:rPr>
        <w:t>The results illustrate</w:t>
      </w:r>
      <w:r w:rsidR="00AB3307" w:rsidRPr="00095771">
        <w:rPr>
          <w:rFonts w:ascii="Times New Roman" w:eastAsia="Calibri" w:hAnsi="Times New Roman" w:cs="Times New Roman"/>
        </w:rPr>
        <w:t xml:space="preserve"> that India has</w:t>
      </w:r>
      <w:r w:rsidR="006A62D1" w:rsidRPr="00095771">
        <w:rPr>
          <w:rFonts w:ascii="Times New Roman" w:eastAsia="Calibri" w:hAnsi="Times New Roman" w:cs="Times New Roman"/>
        </w:rPr>
        <w:t xml:space="preserve"> the smallest deviation (3.50</w:t>
      </w:r>
      <w:r w:rsidR="005B5CF6" w:rsidRPr="00095771">
        <w:rPr>
          <w:rFonts w:ascii="Times New Roman" w:eastAsia="Calibri" w:hAnsi="Times New Roman" w:cs="Times New Roman"/>
        </w:rPr>
        <w:t>%) followed by Japan (9.92%)</w:t>
      </w:r>
      <w:r w:rsidR="00E70C0C" w:rsidRPr="00095771">
        <w:rPr>
          <w:rFonts w:ascii="Times New Roman" w:eastAsia="Calibri" w:hAnsi="Times New Roman" w:cs="Times New Roman"/>
        </w:rPr>
        <w:t>,</w:t>
      </w:r>
      <w:r w:rsidR="005B5CF6" w:rsidRPr="00095771">
        <w:rPr>
          <w:rFonts w:ascii="Times New Roman" w:eastAsia="Calibri" w:hAnsi="Times New Roman" w:cs="Times New Roman"/>
        </w:rPr>
        <w:t xml:space="preserve"> with</w:t>
      </w:r>
      <w:r w:rsidR="006A62D1" w:rsidRPr="00095771">
        <w:rPr>
          <w:rFonts w:ascii="Times New Roman" w:eastAsia="Calibri" w:hAnsi="Times New Roman" w:cs="Times New Roman"/>
        </w:rPr>
        <w:t xml:space="preserve"> Norway </w:t>
      </w:r>
      <w:r w:rsidR="005B5CF6" w:rsidRPr="00095771">
        <w:rPr>
          <w:rFonts w:ascii="Times New Roman" w:eastAsia="Calibri" w:hAnsi="Times New Roman" w:cs="Times New Roman"/>
        </w:rPr>
        <w:t>displaying the largest difference (</w:t>
      </w:r>
      <w:r w:rsidR="006A62D1" w:rsidRPr="00095771">
        <w:rPr>
          <w:rFonts w:ascii="Times New Roman" w:eastAsia="Calibri" w:hAnsi="Times New Roman" w:cs="Times New Roman"/>
        </w:rPr>
        <w:t>47.49%</w:t>
      </w:r>
      <w:r w:rsidR="005B5CF6" w:rsidRPr="00095771">
        <w:rPr>
          <w:rFonts w:ascii="Times New Roman" w:eastAsia="Calibri" w:hAnsi="Times New Roman" w:cs="Times New Roman"/>
        </w:rPr>
        <w:t>)</w:t>
      </w:r>
      <w:r w:rsidR="00AB3307" w:rsidRPr="00095771">
        <w:rPr>
          <w:rFonts w:ascii="Times New Roman" w:eastAsia="Calibri" w:hAnsi="Times New Roman" w:cs="Times New Roman"/>
        </w:rPr>
        <w:t xml:space="preserve"> between </w:t>
      </w:r>
      <w:r w:rsidR="004D2D91" w:rsidRPr="00095771">
        <w:rPr>
          <w:rFonts w:ascii="Times New Roman" w:eastAsia="Calibri" w:hAnsi="Times New Roman" w:cs="Times New Roman"/>
        </w:rPr>
        <w:t>GaBi</w:t>
      </w:r>
      <w:r w:rsidR="00AB3307" w:rsidRPr="00095771">
        <w:rPr>
          <w:rFonts w:ascii="Times New Roman" w:eastAsia="Calibri" w:hAnsi="Times New Roman" w:cs="Times New Roman"/>
        </w:rPr>
        <w:t xml:space="preserve"> and IEA databases</w:t>
      </w:r>
      <w:r w:rsidR="006A62D1" w:rsidRPr="00095771">
        <w:rPr>
          <w:rFonts w:ascii="Times New Roman" w:eastAsia="Calibri" w:hAnsi="Times New Roman" w:cs="Times New Roman"/>
        </w:rPr>
        <w:t>.</w:t>
      </w:r>
      <w:r w:rsidR="00AB3307" w:rsidRPr="00095771">
        <w:rPr>
          <w:rFonts w:ascii="Times New Roman" w:eastAsia="Calibri" w:hAnsi="Times New Roman" w:cs="Times New Roman"/>
        </w:rPr>
        <w:t xml:space="preserve"> </w:t>
      </w:r>
    </w:p>
    <w:p w:rsidR="00941A64" w:rsidRPr="00095771" w:rsidRDefault="006A62D1" w:rsidP="00941A64">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Analysis of the br</w:t>
      </w:r>
      <w:r w:rsidR="00E70C0C" w:rsidRPr="00095771">
        <w:rPr>
          <w:rFonts w:ascii="Times New Roman" w:eastAsia="Calibri" w:hAnsi="Times New Roman" w:cs="Times New Roman"/>
        </w:rPr>
        <w:t>eakdown of electricity by fuel</w:t>
      </w:r>
      <w:r w:rsidRPr="00095771">
        <w:rPr>
          <w:rFonts w:ascii="Times New Roman" w:eastAsia="Calibri" w:hAnsi="Times New Roman" w:cs="Times New Roman"/>
        </w:rPr>
        <w:t xml:space="preserve"> source</w:t>
      </w:r>
      <w:r w:rsidR="00E70C0C" w:rsidRPr="00095771">
        <w:rPr>
          <w:rFonts w:ascii="Times New Roman" w:eastAsia="Calibri" w:hAnsi="Times New Roman" w:cs="Times New Roman"/>
        </w:rPr>
        <w:t>,</w:t>
      </w:r>
      <w:r w:rsidRPr="00095771">
        <w:rPr>
          <w:rFonts w:ascii="Times New Roman" w:eastAsia="Calibri" w:hAnsi="Times New Roman" w:cs="Times New Roman"/>
        </w:rPr>
        <w:t xml:space="preserve"> for all three countries</w:t>
      </w:r>
      <w:r w:rsidR="00E70C0C" w:rsidRPr="00095771">
        <w:rPr>
          <w:rFonts w:ascii="Times New Roman" w:eastAsia="Calibri" w:hAnsi="Times New Roman" w:cs="Times New Roman"/>
        </w:rPr>
        <w:t>, did</w:t>
      </w:r>
      <w:r w:rsidRPr="00095771">
        <w:rPr>
          <w:rFonts w:ascii="Times New Roman" w:eastAsia="Calibri" w:hAnsi="Times New Roman" w:cs="Times New Roman"/>
        </w:rPr>
        <w:t xml:space="preserve"> not reveal any major differences</w:t>
      </w:r>
      <w:r w:rsidR="00770463" w:rsidRPr="00095771">
        <w:rPr>
          <w:rFonts w:ascii="Times New Roman" w:eastAsia="Calibri" w:hAnsi="Times New Roman" w:cs="Times New Roman"/>
        </w:rPr>
        <w:t>, and is</w:t>
      </w:r>
      <w:r w:rsidR="00AB3307" w:rsidRPr="00095771">
        <w:rPr>
          <w:rFonts w:ascii="Times New Roman" w:eastAsia="Calibri" w:hAnsi="Times New Roman" w:cs="Times New Roman"/>
        </w:rPr>
        <w:t xml:space="preserve"> presented in detail in the Appendix (see </w:t>
      </w:r>
      <w:r w:rsidR="00A6415F" w:rsidRPr="00095771">
        <w:fldChar w:fldCharType="begin"/>
      </w:r>
      <w:r w:rsidR="00A6415F" w:rsidRPr="00095771">
        <w:instrText xml:space="preserve"> REF _Ref474079415 \h  \* MERGEFORMAT </w:instrText>
      </w:r>
      <w:r w:rsidR="00A6415F" w:rsidRPr="00095771">
        <w:fldChar w:fldCharType="separate"/>
      </w:r>
      <w:r w:rsidR="009F5483" w:rsidRPr="0054285D">
        <w:rPr>
          <w:rFonts w:ascii="Times New Roman" w:hAnsi="Times New Roman" w:cs="Times New Roman"/>
        </w:rPr>
        <w:t>Table</w:t>
      </w:r>
      <w:r w:rsidR="00774856">
        <w:rPr>
          <w:rFonts w:ascii="Times New Roman" w:hAnsi="Times New Roman" w:cs="Times New Roman"/>
        </w:rPr>
        <w:t>s</w:t>
      </w:r>
      <w:r w:rsidR="009F5483" w:rsidRPr="0054285D">
        <w:rPr>
          <w:rFonts w:ascii="Times New Roman" w:hAnsi="Times New Roman" w:cs="Times New Roman"/>
        </w:rPr>
        <w:t xml:space="preserve"> </w:t>
      </w:r>
      <w:r w:rsidR="009F5483">
        <w:rPr>
          <w:rFonts w:ascii="Times New Roman" w:hAnsi="Times New Roman" w:cs="Times New Roman"/>
          <w:noProof/>
        </w:rPr>
        <w:t>3</w:t>
      </w:r>
      <w:r w:rsidR="009F5483">
        <w:rPr>
          <w:rFonts w:ascii="Times New Roman" w:hAnsi="Times New Roman" w:cs="Times New Roman"/>
          <w:noProof/>
        </w:rPr>
        <w:t>3</w:t>
      </w:r>
      <w:r w:rsidR="00A6415F" w:rsidRPr="00095771">
        <w:fldChar w:fldCharType="end"/>
      </w:r>
      <w:r w:rsidR="00774856">
        <w:t xml:space="preserve"> to</w:t>
      </w:r>
      <w:r w:rsidR="00FB69D9">
        <w:t xml:space="preserve"> </w:t>
      </w:r>
      <w:r w:rsidR="00A6415F" w:rsidRPr="00095771">
        <w:fldChar w:fldCharType="begin"/>
      </w:r>
      <w:r w:rsidR="00A6415F" w:rsidRPr="00095771">
        <w:instrText xml:space="preserve"> REF _Ref474079418 \h  \* MERGEFORMAT </w:instrText>
      </w:r>
      <w:r w:rsidR="00A6415F" w:rsidRPr="00095771">
        <w:fldChar w:fldCharType="separate"/>
      </w:r>
      <w:r w:rsidR="009F5483" w:rsidRPr="0054285D">
        <w:rPr>
          <w:rFonts w:ascii="Times New Roman" w:hAnsi="Times New Roman" w:cs="Times New Roman"/>
        </w:rPr>
        <w:t xml:space="preserve">Table </w:t>
      </w:r>
      <w:r w:rsidR="009F5483">
        <w:rPr>
          <w:rFonts w:ascii="Times New Roman" w:hAnsi="Times New Roman" w:cs="Times New Roman"/>
        </w:rPr>
        <w:t>35</w:t>
      </w:r>
      <w:r w:rsidR="00A6415F" w:rsidRPr="00095771">
        <w:fldChar w:fldCharType="end"/>
      </w:r>
      <w:r w:rsidR="00AB3307" w:rsidRPr="00095771">
        <w:rPr>
          <w:rFonts w:ascii="Times New Roman" w:eastAsia="Calibri" w:hAnsi="Times New Roman" w:cs="Times New Roman"/>
        </w:rPr>
        <w:t>)</w:t>
      </w:r>
      <w:r w:rsidR="00E70C0C" w:rsidRPr="00095771">
        <w:rPr>
          <w:rFonts w:ascii="Times New Roman" w:eastAsia="Calibri" w:hAnsi="Times New Roman" w:cs="Times New Roman"/>
        </w:rPr>
        <w:t>.</w:t>
      </w:r>
      <w:r w:rsidR="00770463" w:rsidRPr="00095771">
        <w:rPr>
          <w:rFonts w:ascii="Times New Roman" w:eastAsia="Calibri" w:hAnsi="Times New Roman" w:cs="Times New Roman"/>
        </w:rPr>
        <w:t xml:space="preserve"> In terms of fuel sources, India and Japan were predominantly fossil fuel based with Norwegian electricity mainly being based on hydro-electricity. </w:t>
      </w:r>
      <w:r w:rsidRPr="00095771">
        <w:rPr>
          <w:rFonts w:ascii="Times New Roman" w:eastAsia="Calibri" w:hAnsi="Times New Roman" w:cs="Times New Roman"/>
        </w:rPr>
        <w:t xml:space="preserve">The </w:t>
      </w:r>
      <w:r w:rsidR="00E70C0C" w:rsidRPr="00095771">
        <w:rPr>
          <w:rFonts w:ascii="Times New Roman" w:eastAsia="Calibri" w:hAnsi="Times New Roman" w:cs="Times New Roman"/>
        </w:rPr>
        <w:t>primary fuel source for India was coal and represented approximately 68% of electricity production in</w:t>
      </w:r>
      <w:r w:rsidRPr="00095771">
        <w:rPr>
          <w:rFonts w:ascii="Times New Roman" w:eastAsia="Calibri" w:hAnsi="Times New Roman" w:cs="Times New Roman"/>
        </w:rPr>
        <w:t xml:space="preserve"> both </w:t>
      </w:r>
      <w:r w:rsidR="004D2D91" w:rsidRPr="00095771">
        <w:rPr>
          <w:rFonts w:ascii="Times New Roman" w:eastAsia="Calibri" w:hAnsi="Times New Roman" w:cs="Times New Roman"/>
        </w:rPr>
        <w:t>GaBi</w:t>
      </w:r>
      <w:r w:rsidR="005B5CF6" w:rsidRPr="00095771">
        <w:rPr>
          <w:rFonts w:ascii="Times New Roman" w:eastAsia="Calibri" w:hAnsi="Times New Roman" w:cs="Times New Roman"/>
        </w:rPr>
        <w:t xml:space="preserve"> and IEA</w:t>
      </w:r>
      <w:r w:rsidR="00AB3307" w:rsidRPr="00095771">
        <w:rPr>
          <w:rFonts w:ascii="Times New Roman" w:eastAsia="Calibri" w:hAnsi="Times New Roman" w:cs="Times New Roman"/>
        </w:rPr>
        <w:t xml:space="preserve"> databases</w:t>
      </w:r>
      <w:r w:rsidR="00FB69D9">
        <w:rPr>
          <w:rFonts w:ascii="Times New Roman" w:eastAsia="Calibri" w:hAnsi="Times New Roman" w:cs="Times New Roman"/>
        </w:rPr>
        <w:t>. For Japan, the principal</w:t>
      </w:r>
      <w:r w:rsidR="00E70C0C" w:rsidRPr="00095771">
        <w:rPr>
          <w:rFonts w:ascii="Times New Roman" w:eastAsia="Calibri" w:hAnsi="Times New Roman" w:cs="Times New Roman"/>
        </w:rPr>
        <w:t xml:space="preserve"> fuel </w:t>
      </w:r>
      <w:r w:rsidR="00770463" w:rsidRPr="00095771">
        <w:rPr>
          <w:rFonts w:ascii="Times New Roman" w:eastAsia="Calibri" w:hAnsi="Times New Roman" w:cs="Times New Roman"/>
        </w:rPr>
        <w:t xml:space="preserve">was natural gas and represented approximately 36% of electricity production in both </w:t>
      </w:r>
      <w:r w:rsidR="004D2D91" w:rsidRPr="00095771">
        <w:rPr>
          <w:rFonts w:ascii="Times New Roman" w:eastAsia="Calibri" w:hAnsi="Times New Roman" w:cs="Times New Roman"/>
        </w:rPr>
        <w:t>GaBi</w:t>
      </w:r>
      <w:r w:rsidR="00770463" w:rsidRPr="00095771">
        <w:rPr>
          <w:rFonts w:ascii="Times New Roman" w:eastAsia="Calibri" w:hAnsi="Times New Roman" w:cs="Times New Roman"/>
        </w:rPr>
        <w:t xml:space="preserve"> and IEA databases. </w:t>
      </w:r>
      <w:r w:rsidR="00AB3307" w:rsidRPr="00095771">
        <w:rPr>
          <w:rFonts w:ascii="Times New Roman" w:eastAsia="Calibri" w:hAnsi="Times New Roman" w:cs="Times New Roman"/>
        </w:rPr>
        <w:t>A similar trend was also seen for Norway</w:t>
      </w:r>
      <w:r w:rsidRPr="00095771">
        <w:rPr>
          <w:rFonts w:ascii="Times New Roman" w:eastAsia="Calibri" w:hAnsi="Times New Roman" w:cs="Times New Roman"/>
        </w:rPr>
        <w:t xml:space="preserve"> with hydr</w:t>
      </w:r>
      <w:r w:rsidR="005B5CF6" w:rsidRPr="00095771">
        <w:rPr>
          <w:rFonts w:ascii="Times New Roman" w:eastAsia="Calibri" w:hAnsi="Times New Roman" w:cs="Times New Roman"/>
        </w:rPr>
        <w:t>oelectricity being the chief</w:t>
      </w:r>
      <w:r w:rsidRPr="00095771">
        <w:rPr>
          <w:rFonts w:ascii="Times New Roman" w:eastAsia="Calibri" w:hAnsi="Times New Roman" w:cs="Times New Roman"/>
        </w:rPr>
        <w:t xml:space="preserve"> fue</w:t>
      </w:r>
      <w:r w:rsidR="00AB3307" w:rsidRPr="00095771">
        <w:rPr>
          <w:rFonts w:ascii="Times New Roman" w:eastAsia="Calibri" w:hAnsi="Times New Roman" w:cs="Times New Roman"/>
        </w:rPr>
        <w:t xml:space="preserve">l source, </w:t>
      </w:r>
      <w:r w:rsidR="00770463" w:rsidRPr="00095771">
        <w:rPr>
          <w:rFonts w:ascii="Times New Roman" w:eastAsia="Calibri" w:hAnsi="Times New Roman" w:cs="Times New Roman"/>
        </w:rPr>
        <w:t xml:space="preserve">contributing </w:t>
      </w:r>
      <w:r w:rsidR="00AB3307" w:rsidRPr="00095771">
        <w:rPr>
          <w:rFonts w:ascii="Times New Roman" w:eastAsia="Calibri" w:hAnsi="Times New Roman" w:cs="Times New Roman"/>
        </w:rPr>
        <w:t xml:space="preserve">approximately 95%, in both </w:t>
      </w:r>
      <w:r w:rsidR="004D2D91" w:rsidRPr="00095771">
        <w:rPr>
          <w:rFonts w:ascii="Times New Roman" w:eastAsia="Calibri" w:hAnsi="Times New Roman" w:cs="Times New Roman"/>
        </w:rPr>
        <w:t>GaBi</w:t>
      </w:r>
      <w:r w:rsidR="00AB3307" w:rsidRPr="00095771">
        <w:rPr>
          <w:rFonts w:ascii="Times New Roman" w:eastAsia="Calibri" w:hAnsi="Times New Roman" w:cs="Times New Roman"/>
        </w:rPr>
        <w:t xml:space="preserve"> and IEA databases</w:t>
      </w:r>
      <w:r w:rsidRPr="00095771">
        <w:rPr>
          <w:rFonts w:ascii="Times New Roman" w:eastAsia="Calibri" w:hAnsi="Times New Roman" w:cs="Times New Roman"/>
        </w:rPr>
        <w:t>.</w:t>
      </w:r>
      <w:r w:rsidR="00611D36" w:rsidRPr="00095771">
        <w:rPr>
          <w:rFonts w:ascii="Times New Roman" w:eastAsia="Calibri" w:hAnsi="Times New Roman" w:cs="Times New Roman"/>
        </w:rPr>
        <w:t xml:space="preserve"> Although the breakdown of electricity by fuel</w:t>
      </w:r>
      <w:r w:rsidR="00941A64" w:rsidRPr="00095771">
        <w:rPr>
          <w:rFonts w:ascii="Times New Roman" w:eastAsia="Calibri" w:hAnsi="Times New Roman" w:cs="Times New Roman"/>
        </w:rPr>
        <w:t xml:space="preserve"> source percentages are similar, with some variation, it does not explain the deviated values as shown by </w:t>
      </w:r>
      <w:r w:rsidR="00A6415F" w:rsidRPr="00095771">
        <w:fldChar w:fldCharType="begin"/>
      </w:r>
      <w:r w:rsidR="00A6415F" w:rsidRPr="00095771">
        <w:instrText xml:space="preserve"> REF _Ref474080176 \h  \* MERGEFORMAT </w:instrText>
      </w:r>
      <w:r w:rsidR="00A6415F" w:rsidRPr="00095771">
        <w:fldChar w:fldCharType="separate"/>
      </w:r>
      <w:r w:rsidR="009F5483" w:rsidRPr="00095771">
        <w:rPr>
          <w:rFonts w:ascii="Times New Roman" w:hAnsi="Times New Roman" w:cs="Times New Roman"/>
        </w:rPr>
        <w:t xml:space="preserve">Figure </w:t>
      </w:r>
      <w:r w:rsidR="009F5483">
        <w:rPr>
          <w:rFonts w:ascii="Times New Roman" w:hAnsi="Times New Roman" w:cs="Times New Roman"/>
          <w:noProof/>
        </w:rPr>
        <w:t>17</w:t>
      </w:r>
      <w:r w:rsidR="00A6415F" w:rsidRPr="00095771">
        <w:fldChar w:fldCharType="end"/>
      </w:r>
      <w:r w:rsidR="00941A64" w:rsidRPr="00095771">
        <w:rPr>
          <w:rFonts w:ascii="Times New Roman" w:eastAsia="Calibri" w:hAnsi="Times New Roman" w:cs="Times New Roman"/>
        </w:rPr>
        <w:t>.</w:t>
      </w:r>
    </w:p>
    <w:p w:rsidR="006A62D1" w:rsidRPr="00095771" w:rsidRDefault="006A62D1" w:rsidP="00941A64">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There are a number of potential reasons as to the cause of the deviated values between the three countries of interest and two different </w:t>
      </w:r>
      <w:r w:rsidR="0019091E" w:rsidRPr="00095771">
        <w:rPr>
          <w:rFonts w:ascii="Times New Roman" w:eastAsia="Calibri" w:hAnsi="Times New Roman" w:cs="Times New Roman"/>
        </w:rPr>
        <w:t xml:space="preserve">databases. Regarding India, </w:t>
      </w:r>
      <w:r w:rsidRPr="00095771">
        <w:rPr>
          <w:rFonts w:ascii="Times New Roman" w:eastAsia="Calibri" w:hAnsi="Times New Roman" w:cs="Times New Roman"/>
        </w:rPr>
        <w:t>solar</w:t>
      </w:r>
      <w:r w:rsidR="0019091E" w:rsidRPr="00095771">
        <w:rPr>
          <w:rFonts w:ascii="Times New Roman" w:eastAsia="Calibri" w:hAnsi="Times New Roman" w:cs="Times New Roman"/>
        </w:rPr>
        <w:t xml:space="preserve"> and waste</w:t>
      </w:r>
      <w:r w:rsidRPr="00095771">
        <w:rPr>
          <w:rFonts w:ascii="Times New Roman" w:eastAsia="Calibri" w:hAnsi="Times New Roman" w:cs="Times New Roman"/>
        </w:rPr>
        <w:t xml:space="preserve"> process</w:t>
      </w:r>
      <w:r w:rsidR="0019091E" w:rsidRPr="00095771">
        <w:rPr>
          <w:rFonts w:ascii="Times New Roman" w:eastAsia="Calibri" w:hAnsi="Times New Roman" w:cs="Times New Roman"/>
        </w:rPr>
        <w:t xml:space="preserve">es from India were not available and so </w:t>
      </w:r>
      <w:r w:rsidRPr="00095771">
        <w:rPr>
          <w:rFonts w:ascii="Times New Roman" w:eastAsia="Calibri" w:hAnsi="Times New Roman" w:cs="Times New Roman"/>
        </w:rPr>
        <w:t>process</w:t>
      </w:r>
      <w:r w:rsidR="0019091E" w:rsidRPr="00095771">
        <w:rPr>
          <w:rFonts w:ascii="Times New Roman" w:eastAsia="Calibri" w:hAnsi="Times New Roman" w:cs="Times New Roman"/>
        </w:rPr>
        <w:t>es</w:t>
      </w:r>
      <w:r w:rsidRPr="00095771">
        <w:rPr>
          <w:rFonts w:ascii="Times New Roman" w:eastAsia="Calibri" w:hAnsi="Times New Roman" w:cs="Times New Roman"/>
        </w:rPr>
        <w:t xml:space="preserve"> from Ja</w:t>
      </w:r>
      <w:r w:rsidR="00AB3307" w:rsidRPr="00095771">
        <w:rPr>
          <w:rFonts w:ascii="Times New Roman" w:eastAsia="Calibri" w:hAnsi="Times New Roman" w:cs="Times New Roman"/>
        </w:rPr>
        <w:t>pan</w:t>
      </w:r>
      <w:r w:rsidR="0019091E" w:rsidRPr="00095771">
        <w:rPr>
          <w:rFonts w:ascii="Times New Roman" w:eastAsia="Calibri" w:hAnsi="Times New Roman" w:cs="Times New Roman"/>
        </w:rPr>
        <w:t xml:space="preserve"> (solar) and EU-27 (waste) were</w:t>
      </w:r>
      <w:r w:rsidR="00DA6369" w:rsidRPr="00095771">
        <w:rPr>
          <w:rFonts w:ascii="Times New Roman" w:eastAsia="Calibri" w:hAnsi="Times New Roman" w:cs="Times New Roman"/>
        </w:rPr>
        <w:t xml:space="preserve"> selected. </w:t>
      </w:r>
      <w:r w:rsidR="00AB3307" w:rsidRPr="00095771">
        <w:rPr>
          <w:rFonts w:ascii="Times New Roman" w:eastAsia="Calibri" w:hAnsi="Times New Roman" w:cs="Times New Roman"/>
        </w:rPr>
        <w:t xml:space="preserve">However </w:t>
      </w:r>
      <w:r w:rsidR="0019091E" w:rsidRPr="00095771">
        <w:rPr>
          <w:rFonts w:ascii="Times New Roman" w:eastAsia="Calibri" w:hAnsi="Times New Roman" w:cs="Times New Roman"/>
        </w:rPr>
        <w:t>contributions from each process (i.e. solar 0.01-0.08% and waste 0.02%) were minor, that selection of an alternative country could account for some</w:t>
      </w:r>
      <w:r w:rsidR="00DA6369" w:rsidRPr="00095771">
        <w:rPr>
          <w:rFonts w:ascii="Times New Roman" w:eastAsia="Calibri" w:hAnsi="Times New Roman" w:cs="Times New Roman"/>
        </w:rPr>
        <w:t xml:space="preserve"> but not all</w:t>
      </w:r>
      <w:r w:rsidR="0019091E" w:rsidRPr="00095771">
        <w:rPr>
          <w:rFonts w:ascii="Times New Roman" w:eastAsia="Calibri" w:hAnsi="Times New Roman" w:cs="Times New Roman"/>
        </w:rPr>
        <w:t xml:space="preserve"> of the deviated value of 3.50%</w:t>
      </w:r>
      <w:r w:rsidR="00DA6369" w:rsidRPr="00095771">
        <w:rPr>
          <w:rFonts w:ascii="Times New Roman" w:eastAsia="Calibri" w:hAnsi="Times New Roman" w:cs="Times New Roman"/>
        </w:rPr>
        <w:t xml:space="preserve"> for India,</w:t>
      </w:r>
      <w:r w:rsidR="0019091E" w:rsidRPr="00095771">
        <w:rPr>
          <w:rFonts w:ascii="Times New Roman" w:eastAsia="Calibri" w:hAnsi="Times New Roman" w:cs="Times New Roman"/>
        </w:rPr>
        <w:t xml:space="preserve"> between </w:t>
      </w:r>
      <w:r w:rsidR="004D2D91" w:rsidRPr="00095771">
        <w:rPr>
          <w:rFonts w:ascii="Times New Roman" w:eastAsia="Calibri" w:hAnsi="Times New Roman" w:cs="Times New Roman"/>
        </w:rPr>
        <w:t>GaBi</w:t>
      </w:r>
      <w:r w:rsidR="0019091E" w:rsidRPr="00095771">
        <w:rPr>
          <w:rFonts w:ascii="Times New Roman" w:eastAsia="Calibri" w:hAnsi="Times New Roman" w:cs="Times New Roman"/>
        </w:rPr>
        <w:t xml:space="preserve"> and IEA databases</w:t>
      </w:r>
      <w:r w:rsidR="00DA6369" w:rsidRPr="00095771">
        <w:rPr>
          <w:rFonts w:ascii="Times New Roman" w:eastAsia="Calibri" w:hAnsi="Times New Roman" w:cs="Times New Roman"/>
        </w:rPr>
        <w:t>.</w:t>
      </w:r>
    </w:p>
    <w:p w:rsidR="00D7187E" w:rsidRPr="00095771" w:rsidRDefault="006A62D1" w:rsidP="00941A64">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lastRenderedPageBreak/>
        <w:t>However</w:t>
      </w:r>
      <w:r w:rsidR="00941A64" w:rsidRPr="00095771">
        <w:rPr>
          <w:rFonts w:ascii="Times New Roman" w:eastAsia="Calibri" w:hAnsi="Times New Roman" w:cs="Times New Roman"/>
        </w:rPr>
        <w:t>,</w:t>
      </w:r>
      <w:r w:rsidRPr="00095771">
        <w:rPr>
          <w:rFonts w:ascii="Times New Roman" w:eastAsia="Calibri" w:hAnsi="Times New Roman" w:cs="Times New Roman"/>
        </w:rPr>
        <w:t xml:space="preserve"> </w:t>
      </w:r>
      <w:r w:rsidR="00DA6369" w:rsidRPr="00095771">
        <w:rPr>
          <w:rFonts w:ascii="Times New Roman" w:eastAsia="Calibri" w:hAnsi="Times New Roman" w:cs="Times New Roman"/>
        </w:rPr>
        <w:t>an alternate</w:t>
      </w:r>
      <w:r w:rsidRPr="00095771">
        <w:rPr>
          <w:rFonts w:ascii="Times New Roman" w:eastAsia="Calibri" w:hAnsi="Times New Roman" w:cs="Times New Roman"/>
        </w:rPr>
        <w:t xml:space="preserve"> explanation of the differences could be due to the values used for electric power transmission and distribution losses. Loss</w:t>
      </w:r>
      <w:r w:rsidR="00941A64" w:rsidRPr="00095771">
        <w:rPr>
          <w:rFonts w:ascii="Times New Roman" w:eastAsia="Calibri" w:hAnsi="Times New Roman" w:cs="Times New Roman"/>
        </w:rPr>
        <w:t xml:space="preserve"> percentages from </w:t>
      </w:r>
      <w:r w:rsidR="004D2D91" w:rsidRPr="00095771">
        <w:rPr>
          <w:rFonts w:ascii="Times New Roman" w:eastAsia="Calibri" w:hAnsi="Times New Roman" w:cs="Times New Roman"/>
        </w:rPr>
        <w:t>GaBi</w:t>
      </w:r>
      <w:r w:rsidR="00941A64" w:rsidRPr="00095771">
        <w:rPr>
          <w:rFonts w:ascii="Times New Roman" w:eastAsia="Calibri" w:hAnsi="Times New Roman" w:cs="Times New Roman"/>
        </w:rPr>
        <w:t xml:space="preserve"> for </w:t>
      </w:r>
      <w:r w:rsidRPr="00095771">
        <w:rPr>
          <w:rFonts w:ascii="Times New Roman" w:eastAsia="Calibri" w:hAnsi="Times New Roman" w:cs="Times New Roman"/>
        </w:rPr>
        <w:t xml:space="preserve">India </w:t>
      </w:r>
      <w:r w:rsidR="00941A64" w:rsidRPr="00095771">
        <w:rPr>
          <w:rFonts w:ascii="Times New Roman" w:eastAsia="Calibri" w:hAnsi="Times New Roman" w:cs="Times New Roman"/>
        </w:rPr>
        <w:t>(</w:t>
      </w:r>
      <w:r w:rsidRPr="00095771">
        <w:rPr>
          <w:rFonts w:ascii="Times New Roman" w:eastAsia="Calibri" w:hAnsi="Times New Roman" w:cs="Times New Roman"/>
        </w:rPr>
        <w:t>22.3%</w:t>
      </w:r>
      <w:r w:rsidR="00941A64" w:rsidRPr="00095771">
        <w:rPr>
          <w:rFonts w:ascii="Times New Roman" w:eastAsia="Calibri" w:hAnsi="Times New Roman" w:cs="Times New Roman"/>
        </w:rPr>
        <w:t>)</w:t>
      </w:r>
      <w:r w:rsidRPr="00095771">
        <w:rPr>
          <w:rFonts w:ascii="Times New Roman" w:eastAsia="Calibri" w:hAnsi="Times New Roman" w:cs="Times New Roman"/>
        </w:rPr>
        <w:t>, Japa</w:t>
      </w:r>
      <w:r w:rsidR="00941A64" w:rsidRPr="00095771">
        <w:rPr>
          <w:rFonts w:ascii="Times New Roman" w:eastAsia="Calibri" w:hAnsi="Times New Roman" w:cs="Times New Roman"/>
        </w:rPr>
        <w:t>n (4.81%) and Norway (8.44%) were</w:t>
      </w:r>
      <w:r w:rsidR="00024148" w:rsidRPr="00095771">
        <w:rPr>
          <w:rFonts w:ascii="Times New Roman" w:eastAsia="Calibri" w:hAnsi="Times New Roman" w:cs="Times New Roman"/>
        </w:rPr>
        <w:t xml:space="preserve"> lower than the values obtained from the</w:t>
      </w:r>
      <w:r w:rsidRPr="00095771">
        <w:rPr>
          <w:rFonts w:ascii="Times New Roman" w:eastAsia="Calibri" w:hAnsi="Times New Roman" w:cs="Times New Roman"/>
        </w:rPr>
        <w:t xml:space="preserve"> World Bank (see </w:t>
      </w:r>
      <w:r w:rsidR="00A6415F" w:rsidRPr="00095771">
        <w:fldChar w:fldCharType="begin"/>
      </w:r>
      <w:r w:rsidR="00A6415F" w:rsidRPr="00095771">
        <w:instrText xml:space="preserve"> REF _Ref474080510 \h  \* MERGEFORMAT </w:instrText>
      </w:r>
      <w:r w:rsidR="00A6415F" w:rsidRPr="00095771">
        <w:fldChar w:fldCharType="separate"/>
      </w:r>
      <w:r w:rsidR="009F5483" w:rsidRPr="0094697E">
        <w:rPr>
          <w:rFonts w:ascii="Times New Roman" w:hAnsi="Times New Roman" w:cs="Times New Roman"/>
        </w:rPr>
        <w:t>Tab</w:t>
      </w:r>
      <w:r w:rsidR="009F5483" w:rsidRPr="0094697E">
        <w:rPr>
          <w:rFonts w:ascii="Times New Roman" w:hAnsi="Times New Roman" w:cs="Times New Roman"/>
        </w:rPr>
        <w:t>l</w:t>
      </w:r>
      <w:r w:rsidR="009F5483" w:rsidRPr="0094697E">
        <w:rPr>
          <w:rFonts w:ascii="Times New Roman" w:hAnsi="Times New Roman" w:cs="Times New Roman"/>
        </w:rPr>
        <w:t xml:space="preserve">e </w:t>
      </w:r>
      <w:r w:rsidR="009F5483">
        <w:rPr>
          <w:rFonts w:ascii="Times New Roman" w:hAnsi="Times New Roman" w:cs="Times New Roman"/>
          <w:noProof/>
        </w:rPr>
        <w:t>21</w:t>
      </w:r>
      <w:r w:rsidR="00A6415F" w:rsidRPr="00095771">
        <w:fldChar w:fldCharType="end"/>
      </w:r>
      <w:r w:rsidRPr="00095771">
        <w:rPr>
          <w:rFonts w:ascii="Times New Roman" w:eastAsia="Calibri" w:hAnsi="Times New Roman" w:cs="Times New Roman"/>
        </w:rPr>
        <w:t>). The</w:t>
      </w:r>
      <w:r w:rsidR="00024148" w:rsidRPr="00095771">
        <w:rPr>
          <w:rFonts w:ascii="Times New Roman" w:eastAsia="Calibri" w:hAnsi="Times New Roman" w:cs="Times New Roman"/>
        </w:rPr>
        <w:t xml:space="preserve"> difference in </w:t>
      </w:r>
      <w:r w:rsidR="00DA6369" w:rsidRPr="00095771">
        <w:rPr>
          <w:rFonts w:ascii="Times New Roman" w:eastAsia="Calibri" w:hAnsi="Times New Roman" w:cs="Times New Roman"/>
        </w:rPr>
        <w:t xml:space="preserve">loss percentage </w:t>
      </w:r>
      <w:r w:rsidR="00024148" w:rsidRPr="00095771">
        <w:rPr>
          <w:rFonts w:ascii="Times New Roman" w:eastAsia="Calibri" w:hAnsi="Times New Roman" w:cs="Times New Roman"/>
        </w:rPr>
        <w:t xml:space="preserve">values between </w:t>
      </w:r>
      <w:r w:rsidR="004D2D91" w:rsidRPr="00095771">
        <w:rPr>
          <w:rFonts w:ascii="Times New Roman" w:eastAsia="Calibri" w:hAnsi="Times New Roman" w:cs="Times New Roman"/>
        </w:rPr>
        <w:t>GaBi</w:t>
      </w:r>
      <w:r w:rsidRPr="00095771">
        <w:rPr>
          <w:rFonts w:ascii="Times New Roman" w:eastAsia="Calibri" w:hAnsi="Times New Roman" w:cs="Times New Roman"/>
        </w:rPr>
        <w:t xml:space="preserve"> </w:t>
      </w:r>
      <w:r w:rsidR="00024148" w:rsidRPr="00095771">
        <w:rPr>
          <w:rFonts w:ascii="Times New Roman" w:eastAsia="Calibri" w:hAnsi="Times New Roman" w:cs="Times New Roman"/>
        </w:rPr>
        <w:t xml:space="preserve">and the World Bank </w:t>
      </w:r>
      <w:r w:rsidRPr="00095771">
        <w:rPr>
          <w:rFonts w:ascii="Times New Roman" w:eastAsia="Calibri" w:hAnsi="Times New Roman" w:cs="Times New Roman"/>
        </w:rPr>
        <w:t>may explain why</w:t>
      </w:r>
      <w:r w:rsidR="00024148" w:rsidRPr="00095771">
        <w:rPr>
          <w:rFonts w:ascii="Times New Roman" w:eastAsia="Calibri" w:hAnsi="Times New Roman" w:cs="Times New Roman"/>
        </w:rPr>
        <w:t xml:space="preserve"> in </w:t>
      </w:r>
      <w:r w:rsidR="00A6415F" w:rsidRPr="00095771">
        <w:fldChar w:fldCharType="begin"/>
      </w:r>
      <w:r w:rsidR="00A6415F" w:rsidRPr="00095771">
        <w:instrText xml:space="preserve"> REF _Ref474080176 \h  \* MERGEFORMAT </w:instrText>
      </w:r>
      <w:r w:rsidR="00A6415F" w:rsidRPr="00095771">
        <w:fldChar w:fldCharType="separate"/>
      </w:r>
      <w:r w:rsidR="009F5483" w:rsidRPr="00095771">
        <w:rPr>
          <w:rFonts w:ascii="Times New Roman" w:hAnsi="Times New Roman" w:cs="Times New Roman"/>
        </w:rPr>
        <w:t xml:space="preserve">Figure </w:t>
      </w:r>
      <w:r w:rsidR="009F5483">
        <w:rPr>
          <w:rFonts w:ascii="Times New Roman" w:hAnsi="Times New Roman" w:cs="Times New Roman"/>
          <w:noProof/>
        </w:rPr>
        <w:t>17</w:t>
      </w:r>
      <w:r w:rsidR="00A6415F" w:rsidRPr="00095771">
        <w:fldChar w:fldCharType="end"/>
      </w:r>
      <w:r w:rsidR="00024148" w:rsidRPr="00095771">
        <w:rPr>
          <w:rFonts w:ascii="Times New Roman" w:eastAsia="Calibri" w:hAnsi="Times New Roman" w:cs="Times New Roman"/>
        </w:rPr>
        <w:t xml:space="preserve">, </w:t>
      </w:r>
      <w:r w:rsidR="00D027D0" w:rsidRPr="00095771">
        <w:rPr>
          <w:rFonts w:ascii="Times New Roman" w:eastAsia="Calibri" w:hAnsi="Times New Roman" w:cs="Times New Roman"/>
        </w:rPr>
        <w:t>India and Japan have underestimated values compared to IEA and Norway an over</w:t>
      </w:r>
      <w:r w:rsidRPr="00095771">
        <w:rPr>
          <w:rFonts w:ascii="Times New Roman" w:eastAsia="Calibri" w:hAnsi="Times New Roman" w:cs="Times New Roman"/>
        </w:rPr>
        <w:t>estimate</w:t>
      </w:r>
      <w:r w:rsidR="00D027D0" w:rsidRPr="00095771">
        <w:rPr>
          <w:rFonts w:ascii="Times New Roman" w:eastAsia="Calibri" w:hAnsi="Times New Roman" w:cs="Times New Roman"/>
        </w:rPr>
        <w:t>d value</w:t>
      </w:r>
      <w:r w:rsidRPr="00095771">
        <w:rPr>
          <w:rFonts w:ascii="Times New Roman" w:eastAsia="Calibri" w:hAnsi="Times New Roman" w:cs="Times New Roman"/>
        </w:rPr>
        <w:t>.</w:t>
      </w:r>
    </w:p>
    <w:p w:rsidR="006A62D1" w:rsidRPr="00095771" w:rsidRDefault="00D7187E" w:rsidP="00D7187E">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However, the percentage deviations from India, Japan and Norway have to be considered in a global context. Regarding Norway, since it had the largest deviation, it </w:t>
      </w:r>
      <w:r w:rsidR="006A62D1" w:rsidRPr="00095771">
        <w:rPr>
          <w:rFonts w:ascii="Times New Roman" w:eastAsia="Calibri" w:hAnsi="Times New Roman" w:cs="Times New Roman"/>
        </w:rPr>
        <w:t xml:space="preserve">produces more than 95% of its electricity from hydropower. Even if </w:t>
      </w:r>
      <w:r w:rsidRPr="00095771">
        <w:rPr>
          <w:rFonts w:ascii="Times New Roman" w:eastAsia="Calibri" w:hAnsi="Times New Roman" w:cs="Times New Roman"/>
        </w:rPr>
        <w:t xml:space="preserve">natural gas only represents 3% of its electricity production it </w:t>
      </w:r>
      <w:r w:rsidR="006A62D1" w:rsidRPr="00095771">
        <w:rPr>
          <w:rFonts w:ascii="Times New Roman" w:eastAsia="Calibri" w:hAnsi="Times New Roman" w:cs="Times New Roman"/>
        </w:rPr>
        <w:t>is responsible from more than 30% of the GHG emissions. This means any assumptions made regarding the natural gas production or the yield of the natural gas power plant can have a huge impact particularly in percentage.</w:t>
      </w:r>
      <w:r w:rsidR="00941A64" w:rsidRPr="00095771">
        <w:rPr>
          <w:rFonts w:ascii="Times New Roman" w:eastAsia="Calibri" w:hAnsi="Times New Roman" w:cs="Times New Roman"/>
        </w:rPr>
        <w:t xml:space="preserve"> </w:t>
      </w:r>
      <w:r w:rsidR="006A62D1" w:rsidRPr="00095771">
        <w:rPr>
          <w:rFonts w:ascii="Times New Roman" w:eastAsia="Calibri" w:hAnsi="Times New Roman" w:cs="Times New Roman"/>
        </w:rPr>
        <w:t>Compared to other countries in EU or in the world (hereafter are rounded values), Norway has very low GHG emissions</w:t>
      </w:r>
      <w:r w:rsidR="00BE7AAB" w:rsidRPr="00095771">
        <w:rPr>
          <w:rFonts w:ascii="Times New Roman" w:eastAsia="Calibri" w:hAnsi="Times New Roman" w:cs="Times New Roman"/>
        </w:rPr>
        <w:t xml:space="preserve"> as shown by the numerical values below</w:t>
      </w:r>
      <w:r w:rsidR="006A62D1" w:rsidRPr="00095771">
        <w:rPr>
          <w:rFonts w:ascii="Times New Roman" w:eastAsia="Calibri" w:hAnsi="Times New Roman" w:cs="Times New Roman"/>
        </w:rPr>
        <w:t>:</w:t>
      </w:r>
    </w:p>
    <w:p w:rsidR="006A62D1" w:rsidRPr="00095771" w:rsidRDefault="006A62D1" w:rsidP="00EE7761">
      <w:pPr>
        <w:numPr>
          <w:ilvl w:val="0"/>
          <w:numId w:val="4"/>
        </w:numPr>
        <w:spacing w:before="240" w:after="0" w:line="240" w:lineRule="auto"/>
        <w:ind w:left="720" w:firstLine="720"/>
        <w:jc w:val="both"/>
        <w:rPr>
          <w:rFonts w:ascii="Times New Roman" w:eastAsia="Calibri" w:hAnsi="Times New Roman" w:cs="Times New Roman"/>
        </w:rPr>
      </w:pPr>
      <w:r w:rsidRPr="00095771">
        <w:rPr>
          <w:rFonts w:ascii="Times New Roman" w:eastAsia="Calibri" w:hAnsi="Times New Roman" w:cs="Times New Roman"/>
        </w:rPr>
        <w:t>46g CO</w:t>
      </w:r>
      <w:r w:rsidRPr="00095771">
        <w:rPr>
          <w:rFonts w:ascii="Times New Roman" w:eastAsia="Calibri" w:hAnsi="Times New Roman" w:cs="Times New Roman"/>
          <w:vertAlign w:val="subscript"/>
        </w:rPr>
        <w:t>2</w:t>
      </w:r>
      <w:r w:rsidRPr="00095771">
        <w:rPr>
          <w:rFonts w:ascii="Times New Roman" w:eastAsia="Calibri" w:hAnsi="Times New Roman" w:cs="Times New Roman"/>
        </w:rPr>
        <w:t>eq/kWh in Norway.</w:t>
      </w:r>
    </w:p>
    <w:p w:rsidR="006A62D1" w:rsidRPr="00095771" w:rsidRDefault="006A62D1" w:rsidP="00EE7761">
      <w:pPr>
        <w:numPr>
          <w:ilvl w:val="0"/>
          <w:numId w:val="4"/>
        </w:numPr>
        <w:spacing w:before="240" w:after="0" w:line="240" w:lineRule="auto"/>
        <w:ind w:left="720" w:firstLine="720"/>
        <w:jc w:val="both"/>
        <w:rPr>
          <w:rFonts w:ascii="Times New Roman" w:eastAsia="Calibri" w:hAnsi="Times New Roman" w:cs="Times New Roman"/>
        </w:rPr>
      </w:pPr>
      <w:r w:rsidRPr="00095771">
        <w:rPr>
          <w:rFonts w:ascii="Times New Roman" w:eastAsia="Calibri" w:hAnsi="Times New Roman" w:cs="Times New Roman"/>
        </w:rPr>
        <w:t>100gCO</w:t>
      </w:r>
      <w:r w:rsidRPr="00095771">
        <w:rPr>
          <w:rFonts w:ascii="Times New Roman" w:eastAsia="Calibri" w:hAnsi="Times New Roman" w:cs="Times New Roman"/>
          <w:vertAlign w:val="subscript"/>
        </w:rPr>
        <w:t>2</w:t>
      </w:r>
      <w:r w:rsidRPr="00095771">
        <w:rPr>
          <w:rFonts w:ascii="Times New Roman" w:eastAsia="Calibri" w:hAnsi="Times New Roman" w:cs="Times New Roman"/>
        </w:rPr>
        <w:t>eq/kWh in France.</w:t>
      </w:r>
    </w:p>
    <w:p w:rsidR="006A62D1" w:rsidRPr="00095771" w:rsidRDefault="006A62D1" w:rsidP="00EE7761">
      <w:pPr>
        <w:numPr>
          <w:ilvl w:val="0"/>
          <w:numId w:val="4"/>
        </w:numPr>
        <w:spacing w:before="240" w:after="0" w:line="240" w:lineRule="auto"/>
        <w:ind w:left="720" w:firstLine="720"/>
        <w:jc w:val="both"/>
        <w:rPr>
          <w:rFonts w:ascii="Times New Roman" w:eastAsia="Calibri" w:hAnsi="Times New Roman" w:cs="Times New Roman"/>
        </w:rPr>
      </w:pPr>
      <w:r w:rsidRPr="00095771">
        <w:rPr>
          <w:rFonts w:ascii="Times New Roman" w:eastAsia="Calibri" w:hAnsi="Times New Roman" w:cs="Times New Roman"/>
        </w:rPr>
        <w:t>600gCO</w:t>
      </w:r>
      <w:r w:rsidRPr="00095771">
        <w:rPr>
          <w:rFonts w:ascii="Times New Roman" w:eastAsia="Calibri" w:hAnsi="Times New Roman" w:cs="Times New Roman"/>
          <w:vertAlign w:val="subscript"/>
        </w:rPr>
        <w:t>2</w:t>
      </w:r>
      <w:r w:rsidRPr="00095771">
        <w:rPr>
          <w:rFonts w:ascii="Times New Roman" w:eastAsia="Calibri" w:hAnsi="Times New Roman" w:cs="Times New Roman"/>
        </w:rPr>
        <w:t>eq/kWh in Germany.</w:t>
      </w:r>
    </w:p>
    <w:p w:rsidR="00941A64" w:rsidRPr="00095771" w:rsidRDefault="006A62D1" w:rsidP="00EE7761">
      <w:pPr>
        <w:numPr>
          <w:ilvl w:val="0"/>
          <w:numId w:val="4"/>
        </w:numPr>
        <w:spacing w:before="240" w:line="240" w:lineRule="auto"/>
        <w:ind w:left="720" w:firstLine="720"/>
        <w:jc w:val="both"/>
        <w:rPr>
          <w:rFonts w:ascii="Times New Roman" w:eastAsia="Calibri" w:hAnsi="Times New Roman" w:cs="Times New Roman"/>
        </w:rPr>
      </w:pPr>
      <w:r w:rsidRPr="00095771">
        <w:rPr>
          <w:rFonts w:ascii="Times New Roman" w:eastAsia="Calibri" w:hAnsi="Times New Roman" w:cs="Times New Roman"/>
        </w:rPr>
        <w:t>900gCO</w:t>
      </w:r>
      <w:r w:rsidRPr="00095771">
        <w:rPr>
          <w:rFonts w:ascii="Times New Roman" w:eastAsia="Calibri" w:hAnsi="Times New Roman" w:cs="Times New Roman"/>
          <w:vertAlign w:val="subscript"/>
        </w:rPr>
        <w:t>2</w:t>
      </w:r>
      <w:r w:rsidRPr="00095771">
        <w:rPr>
          <w:rFonts w:ascii="Times New Roman" w:eastAsia="Calibri" w:hAnsi="Times New Roman" w:cs="Times New Roman"/>
        </w:rPr>
        <w:t>eq/ kWh in China.</w:t>
      </w:r>
    </w:p>
    <w:p w:rsidR="006A62D1" w:rsidRPr="00095771" w:rsidRDefault="004A68F0" w:rsidP="00941A64">
      <w:pPr>
        <w:spacing w:line="360" w:lineRule="auto"/>
        <w:ind w:firstLine="720"/>
        <w:jc w:val="both"/>
        <w:rPr>
          <w:rFonts w:ascii="Times New Roman" w:eastAsia="Calibri" w:hAnsi="Times New Roman" w:cs="Times New Roman"/>
        </w:rPr>
      </w:pPr>
      <w:r w:rsidRPr="00095771">
        <w:rPr>
          <w:rFonts w:ascii="Times New Roman" w:eastAsia="Calibri" w:hAnsi="Times New Roman" w:cs="Times New Roman"/>
        </w:rPr>
        <w:t>The 47.49% (i.e. 21.84</w:t>
      </w:r>
      <w:r w:rsidR="006A62D1" w:rsidRPr="00095771">
        <w:rPr>
          <w:rFonts w:ascii="Times New Roman" w:eastAsia="Calibri" w:hAnsi="Times New Roman" w:cs="Times New Roman"/>
        </w:rPr>
        <w:t>g CO</w:t>
      </w:r>
      <w:r w:rsidR="006A62D1" w:rsidRPr="00095771">
        <w:rPr>
          <w:rFonts w:ascii="Times New Roman" w:eastAsia="Calibri" w:hAnsi="Times New Roman" w:cs="Times New Roman"/>
          <w:vertAlign w:val="subscript"/>
        </w:rPr>
        <w:t>2</w:t>
      </w:r>
      <w:r w:rsidR="006A62D1" w:rsidRPr="00095771">
        <w:rPr>
          <w:rFonts w:ascii="Times New Roman" w:eastAsia="Calibri" w:hAnsi="Times New Roman" w:cs="Times New Roman"/>
        </w:rPr>
        <w:t>eq/kWh) men</w:t>
      </w:r>
      <w:r w:rsidRPr="00095771">
        <w:rPr>
          <w:rFonts w:ascii="Times New Roman" w:eastAsia="Calibri" w:hAnsi="Times New Roman" w:cs="Times New Roman"/>
        </w:rPr>
        <w:t>tioned as ‘percentage deviation’</w:t>
      </w:r>
      <w:r w:rsidR="006A62D1" w:rsidRPr="00095771">
        <w:rPr>
          <w:rFonts w:ascii="Times New Roman" w:eastAsia="Calibri" w:hAnsi="Times New Roman" w:cs="Times New Roman"/>
        </w:rPr>
        <w:t xml:space="preserve"> for Norway would be therefore for other countries a minor one particularly compared to the ‘absolute numbers of g CO</w:t>
      </w:r>
      <w:r w:rsidR="006A62D1" w:rsidRPr="00095771">
        <w:rPr>
          <w:rFonts w:ascii="Times New Roman" w:eastAsia="Calibri" w:hAnsi="Times New Roman" w:cs="Times New Roman"/>
          <w:vertAlign w:val="subscript"/>
        </w:rPr>
        <w:t>2</w:t>
      </w:r>
      <w:r w:rsidRPr="00095771">
        <w:rPr>
          <w:rFonts w:ascii="Times New Roman" w:eastAsia="Calibri" w:hAnsi="Times New Roman" w:cs="Times New Roman"/>
        </w:rPr>
        <w:t>/kWh’</w:t>
      </w:r>
      <w:r w:rsidR="006A62D1" w:rsidRPr="00095771">
        <w:rPr>
          <w:rFonts w:ascii="Times New Roman" w:eastAsia="Calibri" w:hAnsi="Times New Roman" w:cs="Times New Roman"/>
        </w:rPr>
        <w:t xml:space="preserve"> as shown below:</w:t>
      </w:r>
    </w:p>
    <w:p w:rsidR="006A62D1" w:rsidRPr="00095771" w:rsidRDefault="006A62D1" w:rsidP="00EE7761">
      <w:pPr>
        <w:numPr>
          <w:ilvl w:val="0"/>
          <w:numId w:val="5"/>
        </w:numPr>
        <w:spacing w:line="240" w:lineRule="auto"/>
        <w:ind w:left="720" w:firstLine="720"/>
        <w:jc w:val="both"/>
        <w:rPr>
          <w:rFonts w:ascii="Times New Roman" w:eastAsia="Calibri" w:hAnsi="Times New Roman" w:cs="Times New Roman"/>
        </w:rPr>
      </w:pPr>
      <w:r w:rsidRPr="00095771">
        <w:rPr>
          <w:rFonts w:ascii="Times New Roman" w:eastAsia="Calibri" w:hAnsi="Times New Roman" w:cs="Times New Roman"/>
        </w:rPr>
        <w:t>17% in France.</w:t>
      </w:r>
    </w:p>
    <w:p w:rsidR="006A62D1" w:rsidRPr="00095771" w:rsidRDefault="006A62D1" w:rsidP="00EE7761">
      <w:pPr>
        <w:numPr>
          <w:ilvl w:val="0"/>
          <w:numId w:val="5"/>
        </w:numPr>
        <w:spacing w:line="240" w:lineRule="auto"/>
        <w:ind w:left="720" w:firstLine="720"/>
        <w:jc w:val="both"/>
        <w:rPr>
          <w:rFonts w:ascii="Times New Roman" w:eastAsia="Calibri" w:hAnsi="Times New Roman" w:cs="Times New Roman"/>
        </w:rPr>
      </w:pPr>
      <w:r w:rsidRPr="00095771">
        <w:rPr>
          <w:rFonts w:ascii="Times New Roman" w:eastAsia="Calibri" w:hAnsi="Times New Roman" w:cs="Times New Roman"/>
        </w:rPr>
        <w:t>3% in Japan.</w:t>
      </w:r>
    </w:p>
    <w:p w:rsidR="006A62D1" w:rsidRPr="00095771" w:rsidRDefault="006A62D1" w:rsidP="00EE7761">
      <w:pPr>
        <w:numPr>
          <w:ilvl w:val="0"/>
          <w:numId w:val="5"/>
        </w:numPr>
        <w:spacing w:line="240" w:lineRule="auto"/>
        <w:ind w:left="720" w:firstLine="720"/>
        <w:jc w:val="both"/>
        <w:rPr>
          <w:rFonts w:ascii="Times New Roman" w:eastAsia="Calibri" w:hAnsi="Times New Roman" w:cs="Times New Roman"/>
        </w:rPr>
      </w:pPr>
      <w:r w:rsidRPr="00095771">
        <w:rPr>
          <w:rFonts w:ascii="Times New Roman" w:eastAsia="Calibri" w:hAnsi="Times New Roman" w:cs="Times New Roman"/>
        </w:rPr>
        <w:t>3% in Germany.</w:t>
      </w:r>
    </w:p>
    <w:p w:rsidR="006A62D1" w:rsidRPr="00095771" w:rsidRDefault="006A62D1" w:rsidP="00EE7761">
      <w:pPr>
        <w:numPr>
          <w:ilvl w:val="0"/>
          <w:numId w:val="5"/>
        </w:numPr>
        <w:spacing w:line="240" w:lineRule="auto"/>
        <w:ind w:left="720" w:firstLine="720"/>
        <w:jc w:val="both"/>
        <w:rPr>
          <w:rFonts w:ascii="Times New Roman" w:eastAsia="Calibri" w:hAnsi="Times New Roman" w:cs="Times New Roman"/>
        </w:rPr>
      </w:pPr>
      <w:r w:rsidRPr="00095771">
        <w:rPr>
          <w:rFonts w:ascii="Times New Roman" w:eastAsia="Calibri" w:hAnsi="Times New Roman" w:cs="Times New Roman"/>
        </w:rPr>
        <w:t>2% in China.</w:t>
      </w:r>
    </w:p>
    <w:p w:rsidR="004A68F0" w:rsidRPr="00095771" w:rsidRDefault="006A62D1" w:rsidP="00EE7761">
      <w:pPr>
        <w:numPr>
          <w:ilvl w:val="0"/>
          <w:numId w:val="5"/>
        </w:numPr>
        <w:spacing w:line="240" w:lineRule="auto"/>
        <w:ind w:left="720" w:firstLine="720"/>
        <w:jc w:val="both"/>
        <w:rPr>
          <w:rFonts w:ascii="Times New Roman" w:eastAsia="Calibri" w:hAnsi="Times New Roman" w:cs="Times New Roman"/>
        </w:rPr>
      </w:pPr>
      <w:r w:rsidRPr="00095771">
        <w:rPr>
          <w:rFonts w:ascii="Times New Roman" w:eastAsia="Calibri" w:hAnsi="Times New Roman" w:cs="Times New Roman"/>
        </w:rPr>
        <w:t>1% in India</w:t>
      </w:r>
      <w:r w:rsidR="00941A64" w:rsidRPr="00095771">
        <w:rPr>
          <w:rFonts w:ascii="Times New Roman" w:eastAsia="Calibri" w:hAnsi="Times New Roman" w:cs="Times New Roman"/>
        </w:rPr>
        <w:t>.</w:t>
      </w:r>
    </w:p>
    <w:p w:rsidR="00D7187E" w:rsidRPr="00095771" w:rsidRDefault="00D7187E" w:rsidP="00B2424F">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For Norway the results </w:t>
      </w:r>
      <w:r w:rsidR="00B35A39" w:rsidRPr="00095771">
        <w:rPr>
          <w:rFonts w:ascii="Times New Roman" w:eastAsia="Calibri" w:hAnsi="Times New Roman" w:cs="Times New Roman"/>
        </w:rPr>
        <w:t>were</w:t>
      </w:r>
      <w:r w:rsidRPr="00095771">
        <w:rPr>
          <w:rFonts w:ascii="Times New Roman" w:eastAsia="Calibri" w:hAnsi="Times New Roman" w:cs="Times New Roman"/>
        </w:rPr>
        <w:t xml:space="preserve"> satisfactory as the deviation in absolute numbers is not high but only in percentage numbers (47.5%) due to the named fact that g CO</w:t>
      </w:r>
      <w:r w:rsidRPr="00095771">
        <w:rPr>
          <w:rFonts w:ascii="Times New Roman" w:eastAsia="Calibri" w:hAnsi="Times New Roman" w:cs="Times New Roman"/>
          <w:vertAlign w:val="subscript"/>
        </w:rPr>
        <w:t xml:space="preserve">2 </w:t>
      </w:r>
      <w:r w:rsidRPr="00095771">
        <w:rPr>
          <w:rFonts w:ascii="Times New Roman" w:eastAsia="Calibri" w:hAnsi="Times New Roman" w:cs="Times New Roman"/>
        </w:rPr>
        <w:t>per kWh is very low in Norway with 46g.</w:t>
      </w:r>
    </w:p>
    <w:p w:rsidR="00B35A39" w:rsidRPr="00095771" w:rsidRDefault="0019091E" w:rsidP="00B2424F">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To summarise, </w:t>
      </w:r>
      <w:r w:rsidR="00B35A39" w:rsidRPr="00095771">
        <w:rPr>
          <w:rFonts w:ascii="Times New Roman" w:eastAsia="Calibri" w:hAnsi="Times New Roman" w:cs="Times New Roman"/>
        </w:rPr>
        <w:t xml:space="preserve">breakdown of electricity by fuel sources for India, Japan and Norway was identical whether </w:t>
      </w:r>
      <w:r w:rsidR="004D2D91" w:rsidRPr="00095771">
        <w:rPr>
          <w:rFonts w:ascii="Times New Roman" w:eastAsia="Calibri" w:hAnsi="Times New Roman" w:cs="Times New Roman"/>
        </w:rPr>
        <w:t>GaBi</w:t>
      </w:r>
      <w:r w:rsidR="00B35A39" w:rsidRPr="00095771">
        <w:rPr>
          <w:rFonts w:ascii="Times New Roman" w:eastAsia="Calibri" w:hAnsi="Times New Roman" w:cs="Times New Roman"/>
        </w:rPr>
        <w:t xml:space="preserve"> or IEA database was used. However there was also some variation between </w:t>
      </w:r>
      <w:r w:rsidR="004D2D91" w:rsidRPr="00095771">
        <w:rPr>
          <w:rFonts w:ascii="Times New Roman" w:eastAsia="Calibri" w:hAnsi="Times New Roman" w:cs="Times New Roman"/>
        </w:rPr>
        <w:t>GaBi</w:t>
      </w:r>
      <w:r w:rsidR="00B35A39" w:rsidRPr="00095771">
        <w:rPr>
          <w:rFonts w:ascii="Times New Roman" w:eastAsia="Calibri" w:hAnsi="Times New Roman" w:cs="Times New Roman"/>
        </w:rPr>
        <w:t xml:space="preserve"> and the World Bank in terms of electric power transmission and distribution losses. Thus, a combination of slight variations in both cases would have caused the deviated results as presented in </w:t>
      </w:r>
      <w:r w:rsidR="00A6415F" w:rsidRPr="00095771">
        <w:fldChar w:fldCharType="begin"/>
      </w:r>
      <w:r w:rsidR="00A6415F" w:rsidRPr="00095771">
        <w:instrText xml:space="preserve"> REF _Ref474080176 \h  \* MERGEFORMAT </w:instrText>
      </w:r>
      <w:r w:rsidR="00A6415F" w:rsidRPr="00095771">
        <w:fldChar w:fldCharType="separate"/>
      </w:r>
      <w:r w:rsidR="009F5483" w:rsidRPr="00095771">
        <w:rPr>
          <w:rFonts w:ascii="Times New Roman" w:hAnsi="Times New Roman" w:cs="Times New Roman"/>
        </w:rPr>
        <w:t xml:space="preserve">Figure </w:t>
      </w:r>
      <w:r w:rsidR="009F5483">
        <w:rPr>
          <w:rFonts w:ascii="Times New Roman" w:hAnsi="Times New Roman" w:cs="Times New Roman"/>
          <w:noProof/>
        </w:rPr>
        <w:t>17</w:t>
      </w:r>
      <w:r w:rsidR="00A6415F" w:rsidRPr="00095771">
        <w:fldChar w:fldCharType="end"/>
      </w:r>
      <w:r w:rsidR="00B35A39" w:rsidRPr="00095771">
        <w:rPr>
          <w:rFonts w:ascii="Times New Roman" w:eastAsia="Calibri" w:hAnsi="Times New Roman" w:cs="Times New Roman"/>
        </w:rPr>
        <w:t>. The reliability of the results was tested by comparing ‘percentage deviation’ against known ‘absolute values’, resulting in recognition of the method used as being accurate and trustworthy.</w:t>
      </w:r>
    </w:p>
    <w:p w:rsidR="00EC09B2" w:rsidRPr="00095771" w:rsidRDefault="00EC09B2" w:rsidP="00095771">
      <w:pPr>
        <w:spacing w:after="0" w:line="360" w:lineRule="auto"/>
        <w:jc w:val="both"/>
        <w:rPr>
          <w:rFonts w:ascii="Times New Roman" w:eastAsia="Calibri" w:hAnsi="Times New Roman" w:cs="Times New Roman"/>
        </w:rPr>
        <w:sectPr w:rsidR="00EC09B2" w:rsidRPr="00095771" w:rsidSect="00EC09B2">
          <w:pgSz w:w="11906" w:h="16838"/>
          <w:pgMar w:top="1440" w:right="1440" w:bottom="1440" w:left="1440" w:header="708" w:footer="708" w:gutter="0"/>
          <w:cols w:space="708"/>
          <w:docGrid w:linePitch="360"/>
        </w:sectPr>
      </w:pPr>
    </w:p>
    <w:p w:rsidR="006A62D1" w:rsidRPr="00095771" w:rsidRDefault="000F272E" w:rsidP="00095771">
      <w:pPr>
        <w:pStyle w:val="Heading2"/>
      </w:pPr>
      <w:r w:rsidRPr="00095771">
        <w:lastRenderedPageBreak/>
        <w:t>6</w:t>
      </w:r>
      <w:r w:rsidR="00EC09B2" w:rsidRPr="00095771">
        <w:t>.2</w:t>
      </w:r>
      <w:r w:rsidR="006A62D1" w:rsidRPr="00095771">
        <w:t xml:space="preserve">. </w:t>
      </w:r>
      <w:r w:rsidR="00F367EB" w:rsidRPr="00095771">
        <w:t>Analysis of a</w:t>
      </w:r>
      <w:r w:rsidR="009430C0" w:rsidRPr="00095771">
        <w:t>ver</w:t>
      </w:r>
      <w:r w:rsidR="00311BB9" w:rsidRPr="00095771">
        <w:t xml:space="preserve">age electricity models </w:t>
      </w:r>
    </w:p>
    <w:p w:rsidR="006A62D1" w:rsidRPr="00095771" w:rsidRDefault="000F4FAE" w:rsidP="00774856">
      <w:pPr>
        <w:spacing w:line="360" w:lineRule="auto"/>
        <w:rPr>
          <w:rFonts w:ascii="Times New Roman" w:eastAsia="Calibri" w:hAnsi="Times New Roman" w:cs="Times New Roman"/>
        </w:rPr>
      </w:pPr>
      <w:bookmarkStart w:id="118" w:name="_Ref468303640"/>
      <w:r w:rsidRPr="00095771">
        <w:rPr>
          <w:noProof/>
        </w:rPr>
        <w:drawing>
          <wp:inline distT="0" distB="0" distL="0" distR="0">
            <wp:extent cx="8308116" cy="509299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srcRect l="5465" t="10490" r="17164" b="5188"/>
                    <a:stretch/>
                  </pic:blipFill>
                  <pic:spPr bwMode="auto">
                    <a:xfrm>
                      <a:off x="0" y="0"/>
                      <a:ext cx="8331169" cy="5107127"/>
                    </a:xfrm>
                    <a:prstGeom prst="rect">
                      <a:avLst/>
                    </a:prstGeom>
                    <a:ln>
                      <a:noFill/>
                    </a:ln>
                    <a:extLst>
                      <a:ext uri="{53640926-AAD7-44D8-BBD7-CCE9431645EC}">
                        <a14:shadowObscured xmlns:a14="http://schemas.microsoft.com/office/drawing/2010/main"/>
                      </a:ext>
                    </a:extLst>
                  </pic:spPr>
                </pic:pic>
              </a:graphicData>
            </a:graphic>
          </wp:inline>
        </w:drawing>
      </w:r>
    </w:p>
    <w:p w:rsidR="006A62D1" w:rsidRPr="00095771" w:rsidRDefault="006A62D1" w:rsidP="006A62D1">
      <w:pPr>
        <w:spacing w:line="360" w:lineRule="auto"/>
        <w:rPr>
          <w:rFonts w:ascii="Times New Roman" w:eastAsia="Calibri" w:hAnsi="Times New Roman" w:cs="Times New Roman"/>
        </w:rPr>
      </w:pPr>
      <w:bookmarkStart w:id="119" w:name="_Ref474089707"/>
      <w:bookmarkStart w:id="120" w:name="_Toc495848351"/>
      <w:r w:rsidRPr="00095771">
        <w:rPr>
          <w:rFonts w:ascii="Times New Roman" w:hAnsi="Times New Roman" w:cs="Times New Roman"/>
        </w:rPr>
        <w:t xml:space="preserve">Figure </w:t>
      </w:r>
      <w:r w:rsidR="009A0ED7" w:rsidRPr="00095771">
        <w:rPr>
          <w:rFonts w:ascii="Times New Roman" w:hAnsi="Times New Roman" w:cs="Times New Roman"/>
        </w:rPr>
        <w:fldChar w:fldCharType="begin"/>
      </w:r>
      <w:r w:rsidRPr="00095771">
        <w:rPr>
          <w:rFonts w:ascii="Times New Roman" w:hAnsi="Times New Roman" w:cs="Times New Roman"/>
        </w:rPr>
        <w:instrText xml:space="preserve"> SEQ Figure \* ARABIC </w:instrText>
      </w:r>
      <w:r w:rsidR="009A0ED7" w:rsidRPr="00095771">
        <w:rPr>
          <w:rFonts w:ascii="Times New Roman" w:hAnsi="Times New Roman" w:cs="Times New Roman"/>
        </w:rPr>
        <w:fldChar w:fldCharType="separate"/>
      </w:r>
      <w:r w:rsidR="009F5483">
        <w:rPr>
          <w:rFonts w:ascii="Times New Roman" w:hAnsi="Times New Roman" w:cs="Times New Roman"/>
          <w:noProof/>
        </w:rPr>
        <w:t>18</w:t>
      </w:r>
      <w:r w:rsidR="009A0ED7" w:rsidRPr="00095771">
        <w:rPr>
          <w:rFonts w:ascii="Times New Roman" w:hAnsi="Times New Roman" w:cs="Times New Roman"/>
        </w:rPr>
        <w:fldChar w:fldCharType="end"/>
      </w:r>
      <w:bookmarkEnd w:id="118"/>
      <w:bookmarkEnd w:id="119"/>
      <w:r w:rsidRPr="00095771">
        <w:rPr>
          <w:rFonts w:ascii="Times New Roman" w:hAnsi="Times New Roman" w:cs="Times New Roman"/>
        </w:rPr>
        <w:t xml:space="preserve">. </w:t>
      </w:r>
      <w:r w:rsidR="004D2D91" w:rsidRPr="00095771">
        <w:rPr>
          <w:rFonts w:ascii="Times New Roman" w:eastAsia="Calibri" w:hAnsi="Times New Roman" w:cs="Times New Roman"/>
        </w:rPr>
        <w:t>GaBi</w:t>
      </w:r>
      <w:r w:rsidRPr="00095771">
        <w:rPr>
          <w:rFonts w:ascii="Times New Roman" w:eastAsia="Calibri" w:hAnsi="Times New Roman" w:cs="Times New Roman"/>
        </w:rPr>
        <w:t xml:space="preserve"> model of average electricity for global Fe-Cr production.</w:t>
      </w:r>
      <w:bookmarkEnd w:id="120"/>
    </w:p>
    <w:p w:rsidR="006A62D1" w:rsidRPr="00095771" w:rsidRDefault="006A62D1" w:rsidP="006A62D1">
      <w:pPr>
        <w:spacing w:line="360" w:lineRule="auto"/>
        <w:rPr>
          <w:rFonts w:ascii="Times New Roman" w:eastAsia="Calibri" w:hAnsi="Times New Roman" w:cs="Times New Roman"/>
        </w:rPr>
        <w:sectPr w:rsidR="006A62D1" w:rsidRPr="00095771" w:rsidSect="00FB69D9">
          <w:footerReference w:type="default" r:id="rId75"/>
          <w:pgSz w:w="16838" w:h="11906" w:orient="landscape"/>
          <w:pgMar w:top="1440" w:right="1440" w:bottom="1440" w:left="1440" w:header="708" w:footer="708" w:gutter="0"/>
          <w:cols w:space="708"/>
          <w:titlePg/>
          <w:docGrid w:linePitch="360"/>
        </w:sectPr>
      </w:pPr>
    </w:p>
    <w:p w:rsidR="006A62D1" w:rsidRPr="00095771" w:rsidRDefault="00A6415F" w:rsidP="00C254D4">
      <w:pPr>
        <w:spacing w:after="0" w:line="360" w:lineRule="auto"/>
        <w:ind w:firstLine="720"/>
        <w:jc w:val="both"/>
        <w:rPr>
          <w:rFonts w:ascii="Times New Roman" w:eastAsia="Calibri" w:hAnsi="Times New Roman" w:cs="Times New Roman"/>
        </w:rPr>
      </w:pPr>
      <w:r w:rsidRPr="00095771">
        <w:lastRenderedPageBreak/>
        <w:fldChar w:fldCharType="begin"/>
      </w:r>
      <w:r w:rsidRPr="00095771">
        <w:instrText xml:space="preserve"> REF _Ref474089707 \h  \* MERGEFORMAT </w:instrText>
      </w:r>
      <w:r w:rsidRPr="00095771">
        <w:fldChar w:fldCharType="separate"/>
      </w:r>
      <w:r w:rsidR="009F5483" w:rsidRPr="00095771">
        <w:rPr>
          <w:rFonts w:ascii="Times New Roman" w:hAnsi="Times New Roman" w:cs="Times New Roman"/>
        </w:rPr>
        <w:t xml:space="preserve">Figure </w:t>
      </w:r>
      <w:r w:rsidR="009F5483">
        <w:rPr>
          <w:rFonts w:ascii="Times New Roman" w:hAnsi="Times New Roman" w:cs="Times New Roman"/>
          <w:noProof/>
        </w:rPr>
        <w:t>18</w:t>
      </w:r>
      <w:r w:rsidRPr="00095771">
        <w:fldChar w:fldCharType="end"/>
      </w:r>
      <w:r w:rsidR="00C254D4" w:rsidRPr="00095771">
        <w:rPr>
          <w:rFonts w:ascii="Times New Roman" w:eastAsia="Calibri" w:hAnsi="Times New Roman" w:cs="Times New Roman"/>
        </w:rPr>
        <w:t xml:space="preserve"> depicts the average electricity for global Fe-Cr model. The model is made up of </w:t>
      </w:r>
      <w:r w:rsidR="006A62D1" w:rsidRPr="00095771">
        <w:rPr>
          <w:rFonts w:ascii="Times New Roman" w:eastAsia="Calibri" w:hAnsi="Times New Roman" w:cs="Times New Roman"/>
        </w:rPr>
        <w:t>China (35.74%), South Africa (34.04%) and Kazakhstan (10.21%) has</w:t>
      </w:r>
      <w:r w:rsidR="00C254D4" w:rsidRPr="00095771">
        <w:rPr>
          <w:rFonts w:ascii="Times New Roman" w:eastAsia="Calibri" w:hAnsi="Times New Roman" w:cs="Times New Roman"/>
        </w:rPr>
        <w:t xml:space="preserve"> the</w:t>
      </w:r>
      <w:r w:rsidR="00492164" w:rsidRPr="00095771">
        <w:rPr>
          <w:rFonts w:ascii="Times New Roman" w:eastAsia="Calibri" w:hAnsi="Times New Roman" w:cs="Times New Roman"/>
        </w:rPr>
        <w:t xml:space="preserve"> </w:t>
      </w:r>
      <w:r w:rsidR="006A62D1" w:rsidRPr="00095771">
        <w:rPr>
          <w:rFonts w:ascii="Times New Roman" w:eastAsia="Calibri" w:hAnsi="Times New Roman" w:cs="Times New Roman"/>
        </w:rPr>
        <w:t>top three</w:t>
      </w:r>
      <w:r w:rsidR="00C254D4" w:rsidRPr="00095771">
        <w:rPr>
          <w:rFonts w:ascii="Times New Roman" w:eastAsia="Calibri" w:hAnsi="Times New Roman" w:cs="Times New Roman"/>
        </w:rPr>
        <w:t xml:space="preserve"> leading countries that produce</w:t>
      </w:r>
      <w:r w:rsidR="006A62D1" w:rsidRPr="00095771">
        <w:rPr>
          <w:rFonts w:ascii="Times New Roman" w:eastAsia="Calibri" w:hAnsi="Times New Roman" w:cs="Times New Roman"/>
        </w:rPr>
        <w:t xml:space="preserve"> Fe-Cr. </w:t>
      </w:r>
    </w:p>
    <w:p w:rsidR="00B25C10" w:rsidRPr="00095771" w:rsidRDefault="006556CB" w:rsidP="00B25C10">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In terms of China, </w:t>
      </w:r>
      <w:r w:rsidR="006A62D1" w:rsidRPr="00095771">
        <w:rPr>
          <w:rFonts w:ascii="Times New Roman" w:eastAsia="Calibri" w:hAnsi="Times New Roman" w:cs="Times New Roman"/>
        </w:rPr>
        <w:t>the primary source of electricity was via fossil fuel</w:t>
      </w:r>
      <w:r w:rsidR="00F47872" w:rsidRPr="00095771">
        <w:rPr>
          <w:rFonts w:ascii="Times New Roman" w:eastAsia="Calibri" w:hAnsi="Times New Roman" w:cs="Times New Roman"/>
        </w:rPr>
        <w:t>s</w:t>
      </w:r>
      <w:r w:rsidR="006A62D1" w:rsidRPr="00095771">
        <w:rPr>
          <w:rFonts w:ascii="Times New Roman" w:eastAsia="Calibri" w:hAnsi="Times New Roman" w:cs="Times New Roman"/>
        </w:rPr>
        <w:t>, spe</w:t>
      </w:r>
      <w:r w:rsidRPr="00095771">
        <w:rPr>
          <w:rFonts w:ascii="Times New Roman" w:eastAsia="Calibri" w:hAnsi="Times New Roman" w:cs="Times New Roman"/>
        </w:rPr>
        <w:t>cifically electricity from coal</w:t>
      </w:r>
      <w:r w:rsidR="006A62D1" w:rsidRPr="00095771">
        <w:rPr>
          <w:rFonts w:ascii="Times New Roman" w:eastAsia="Calibri" w:hAnsi="Times New Roman" w:cs="Times New Roman"/>
        </w:rPr>
        <w:t xml:space="preserve"> contr</w:t>
      </w:r>
      <w:r w:rsidR="00BB2AC2" w:rsidRPr="00095771">
        <w:rPr>
          <w:rFonts w:ascii="Times New Roman" w:eastAsia="Calibri" w:hAnsi="Times New Roman" w:cs="Times New Roman"/>
        </w:rPr>
        <w:t>ibuting (75.47%). The other significant</w:t>
      </w:r>
      <w:r w:rsidR="006A62D1" w:rsidRPr="00095771">
        <w:rPr>
          <w:rFonts w:ascii="Times New Roman" w:eastAsia="Calibri" w:hAnsi="Times New Roman" w:cs="Times New Roman"/>
        </w:rPr>
        <w:t xml:space="preserve"> contributor</w:t>
      </w:r>
      <w:r w:rsidR="00F47872" w:rsidRPr="00095771">
        <w:rPr>
          <w:rFonts w:ascii="Times New Roman" w:eastAsia="Calibri" w:hAnsi="Times New Roman" w:cs="Times New Roman"/>
        </w:rPr>
        <w:t xml:space="preserve"> </w:t>
      </w:r>
      <w:r w:rsidR="00BB2AC2" w:rsidRPr="00095771">
        <w:rPr>
          <w:rFonts w:ascii="Times New Roman" w:eastAsia="Calibri" w:hAnsi="Times New Roman" w:cs="Times New Roman"/>
        </w:rPr>
        <w:t xml:space="preserve">to electricity production was via hydro-electricity which made up </w:t>
      </w:r>
      <w:r w:rsidR="006A62D1" w:rsidRPr="00095771">
        <w:rPr>
          <w:rFonts w:ascii="Times New Roman" w:eastAsia="Calibri" w:hAnsi="Times New Roman" w:cs="Times New Roman"/>
        </w:rPr>
        <w:t>16.89%. The remaining fuel sources</w:t>
      </w:r>
      <w:r w:rsidRPr="00095771">
        <w:rPr>
          <w:rFonts w:ascii="Times New Roman" w:eastAsia="Calibri" w:hAnsi="Times New Roman" w:cs="Times New Roman"/>
        </w:rPr>
        <w:t xml:space="preserve"> were much lower (i.e. 3% or lower) and had</w:t>
      </w:r>
      <w:r w:rsidR="006A62D1" w:rsidRPr="00095771">
        <w:rPr>
          <w:rFonts w:ascii="Times New Roman" w:eastAsia="Calibri" w:hAnsi="Times New Roman" w:cs="Times New Roman"/>
        </w:rPr>
        <w:t xml:space="preserve"> app</w:t>
      </w:r>
      <w:r w:rsidRPr="00095771">
        <w:rPr>
          <w:rFonts w:ascii="Times New Roman" w:eastAsia="Calibri" w:hAnsi="Times New Roman" w:cs="Times New Roman"/>
        </w:rPr>
        <w:t xml:space="preserve">roximately similar percentages. </w:t>
      </w:r>
      <w:r w:rsidR="006A62D1" w:rsidRPr="00095771">
        <w:rPr>
          <w:rFonts w:ascii="Times New Roman" w:eastAsia="Calibri" w:hAnsi="Times New Roman" w:cs="Times New Roman"/>
        </w:rPr>
        <w:t>China</w:t>
      </w:r>
      <w:r w:rsidR="0018393E" w:rsidRPr="00095771">
        <w:rPr>
          <w:rFonts w:ascii="Times New Roman" w:eastAsia="Calibri" w:hAnsi="Times New Roman" w:cs="Times New Roman"/>
        </w:rPr>
        <w:t xml:space="preserve"> </w:t>
      </w:r>
      <w:r w:rsidR="00BB2AC2" w:rsidRPr="00095771">
        <w:rPr>
          <w:rFonts w:ascii="Times New Roman" w:eastAsia="Calibri" w:hAnsi="Times New Roman" w:cs="Times New Roman"/>
        </w:rPr>
        <w:t>also had quite a diverse range of</w:t>
      </w:r>
      <w:r w:rsidRPr="00095771">
        <w:rPr>
          <w:rFonts w:ascii="Times New Roman" w:eastAsia="Calibri" w:hAnsi="Times New Roman" w:cs="Times New Roman"/>
        </w:rPr>
        <w:t xml:space="preserve"> fuel</w:t>
      </w:r>
      <w:r w:rsidR="006A62D1" w:rsidRPr="00095771">
        <w:rPr>
          <w:rFonts w:ascii="Times New Roman" w:eastAsia="Calibri" w:hAnsi="Times New Roman" w:cs="Times New Roman"/>
        </w:rPr>
        <w:t xml:space="preserve"> source</w:t>
      </w:r>
      <w:r w:rsidRPr="00095771">
        <w:rPr>
          <w:rFonts w:ascii="Times New Roman" w:eastAsia="Calibri" w:hAnsi="Times New Roman" w:cs="Times New Roman"/>
        </w:rPr>
        <w:t>s</w:t>
      </w:r>
      <w:r w:rsidR="006A62D1" w:rsidRPr="00095771">
        <w:rPr>
          <w:rFonts w:ascii="Times New Roman" w:eastAsia="Calibri" w:hAnsi="Times New Roman" w:cs="Times New Roman"/>
        </w:rPr>
        <w:t>, with electricity being produc</w:t>
      </w:r>
      <w:r w:rsidRPr="00095771">
        <w:rPr>
          <w:rFonts w:ascii="Times New Roman" w:eastAsia="Calibri" w:hAnsi="Times New Roman" w:cs="Times New Roman"/>
        </w:rPr>
        <w:t xml:space="preserve">ed from </w:t>
      </w:r>
      <w:r w:rsidR="00BB2AC2" w:rsidRPr="00095771">
        <w:rPr>
          <w:rFonts w:ascii="Times New Roman" w:eastAsia="Calibri" w:hAnsi="Times New Roman" w:cs="Times New Roman"/>
        </w:rPr>
        <w:t>nine</w:t>
      </w:r>
      <w:r w:rsidRPr="00095771">
        <w:rPr>
          <w:rFonts w:ascii="Times New Roman" w:eastAsia="Calibri" w:hAnsi="Times New Roman" w:cs="Times New Roman"/>
        </w:rPr>
        <w:t xml:space="preserve"> different fuel sources</w:t>
      </w:r>
      <w:r w:rsidR="006A62D1" w:rsidRPr="00095771">
        <w:rPr>
          <w:rFonts w:ascii="Times New Roman" w:eastAsia="Calibri" w:hAnsi="Times New Roman" w:cs="Times New Roman"/>
        </w:rPr>
        <w:t xml:space="preserve">. </w:t>
      </w:r>
      <w:r w:rsidRPr="00095771">
        <w:rPr>
          <w:rFonts w:ascii="Times New Roman" w:eastAsia="Calibri" w:hAnsi="Times New Roman" w:cs="Times New Roman"/>
        </w:rPr>
        <w:t>A divergent electricity source supports China’s economic policy of reducing dependency on fossil fuels and developing and utilising alternative clean energy. Alternatives energy sources included in Chin</w:t>
      </w:r>
      <w:r w:rsidR="0018393E" w:rsidRPr="00095771">
        <w:rPr>
          <w:rFonts w:ascii="Times New Roman" w:eastAsia="Calibri" w:hAnsi="Times New Roman" w:cs="Times New Roman"/>
        </w:rPr>
        <w:t>a’s electricity grid mix were</w:t>
      </w:r>
      <w:r w:rsidR="00BB2AC2" w:rsidRPr="00095771">
        <w:rPr>
          <w:rFonts w:ascii="Times New Roman" w:eastAsia="Calibri" w:hAnsi="Times New Roman" w:cs="Times New Roman"/>
        </w:rPr>
        <w:t xml:space="preserve">, biomass, </w:t>
      </w:r>
      <w:r w:rsidRPr="00095771">
        <w:rPr>
          <w:rFonts w:ascii="Times New Roman" w:eastAsia="Calibri" w:hAnsi="Times New Roman" w:cs="Times New Roman"/>
        </w:rPr>
        <w:t>solar, and wind power.</w:t>
      </w:r>
      <w:r w:rsidR="00CF6738" w:rsidRPr="00095771">
        <w:rPr>
          <w:rFonts w:ascii="Times New Roman" w:eastAsia="Calibri" w:hAnsi="Times New Roman" w:cs="Times New Roman"/>
        </w:rPr>
        <w:t xml:space="preserve"> </w:t>
      </w:r>
      <w:r w:rsidR="00BB2AC2" w:rsidRPr="00095771">
        <w:rPr>
          <w:rFonts w:ascii="Times New Roman" w:eastAsia="Calibri" w:hAnsi="Times New Roman" w:cs="Times New Roman"/>
        </w:rPr>
        <w:t>Other possibilities included electricity from geothermal and tide</w:t>
      </w:r>
      <w:r w:rsidR="00195F88" w:rsidRPr="00095771">
        <w:rPr>
          <w:rFonts w:ascii="Times New Roman" w:eastAsia="Calibri" w:hAnsi="Times New Roman" w:cs="Times New Roman"/>
        </w:rPr>
        <w:t>. H</w:t>
      </w:r>
      <w:r w:rsidR="00BB2AC2" w:rsidRPr="00095771">
        <w:rPr>
          <w:rFonts w:ascii="Times New Roman" w:eastAsia="Calibri" w:hAnsi="Times New Roman" w:cs="Times New Roman"/>
        </w:rPr>
        <w:t>owever</w:t>
      </w:r>
      <w:r w:rsidR="00195F88" w:rsidRPr="00095771">
        <w:rPr>
          <w:rFonts w:ascii="Times New Roman" w:eastAsia="Calibri" w:hAnsi="Times New Roman" w:cs="Times New Roman"/>
        </w:rPr>
        <w:t>,</w:t>
      </w:r>
      <w:r w:rsidR="00BB2AC2" w:rsidRPr="00095771">
        <w:rPr>
          <w:rFonts w:ascii="Times New Roman" w:eastAsia="Calibri" w:hAnsi="Times New Roman" w:cs="Times New Roman"/>
        </w:rPr>
        <w:t xml:space="preserve"> these w</w:t>
      </w:r>
      <w:r w:rsidR="00195F88" w:rsidRPr="00095771">
        <w:rPr>
          <w:rFonts w:ascii="Times New Roman" w:eastAsia="Calibri" w:hAnsi="Times New Roman" w:cs="Times New Roman"/>
        </w:rPr>
        <w:t>ere not included because the percentage values were so small i.e. 3 to 4 decimal places, that even if a process from a substitute country was used, their impact would still be negligible.</w:t>
      </w:r>
    </w:p>
    <w:p w:rsidR="00F442C4" w:rsidRPr="00095771" w:rsidRDefault="0010265C" w:rsidP="00F442C4">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With regards to</w:t>
      </w:r>
      <w:r w:rsidR="006A62D1" w:rsidRPr="00095771">
        <w:rPr>
          <w:rFonts w:ascii="Times New Roman" w:eastAsia="Calibri" w:hAnsi="Times New Roman" w:cs="Times New Roman"/>
        </w:rPr>
        <w:t xml:space="preserve"> South Africa, the primary source of </w:t>
      </w:r>
      <w:r w:rsidR="007C0CF2" w:rsidRPr="00095771">
        <w:rPr>
          <w:rFonts w:ascii="Times New Roman" w:eastAsia="Calibri" w:hAnsi="Times New Roman" w:cs="Times New Roman"/>
        </w:rPr>
        <w:t xml:space="preserve">electricity production was </w:t>
      </w:r>
      <w:r w:rsidR="006A62D1" w:rsidRPr="00095771">
        <w:rPr>
          <w:rFonts w:ascii="Times New Roman" w:eastAsia="Calibri" w:hAnsi="Times New Roman" w:cs="Times New Roman"/>
        </w:rPr>
        <w:t>by usage of fo</w:t>
      </w:r>
      <w:r w:rsidR="007C0CF2" w:rsidRPr="00095771">
        <w:rPr>
          <w:rFonts w:ascii="Times New Roman" w:eastAsia="Calibri" w:hAnsi="Times New Roman" w:cs="Times New Roman"/>
        </w:rPr>
        <w:t>ssil fuels, in particular coal. Electricity from coal contributed 92.61%, of South Africa’s electricity grid mix, with the next largest fuel source, electricity from nuclear, contributing a minor 5.51% of the grid mix. In comparison to China on types of fuel sources, six different electricity sources were used to compose South Africa’s electricity grid mix. Processes for electricity production using geothermal, natural gas, tide and waste</w:t>
      </w:r>
      <w:r w:rsidR="00902B87" w:rsidRPr="00095771">
        <w:rPr>
          <w:rFonts w:ascii="Times New Roman" w:eastAsia="Calibri" w:hAnsi="Times New Roman" w:cs="Times New Roman"/>
        </w:rPr>
        <w:t xml:space="preserve"> made</w:t>
      </w:r>
      <w:r w:rsidR="007C0CF2" w:rsidRPr="00095771">
        <w:rPr>
          <w:rFonts w:ascii="Times New Roman" w:eastAsia="Calibri" w:hAnsi="Times New Roman" w:cs="Times New Roman"/>
        </w:rPr>
        <w:t xml:space="preserve"> no contribution </w:t>
      </w:r>
      <w:r w:rsidR="00902B87" w:rsidRPr="00095771">
        <w:rPr>
          <w:rFonts w:ascii="Times New Roman" w:eastAsia="Calibri" w:hAnsi="Times New Roman" w:cs="Times New Roman"/>
        </w:rPr>
        <w:t xml:space="preserve">to </w:t>
      </w:r>
      <w:r w:rsidR="007C0CF2" w:rsidRPr="00095771">
        <w:rPr>
          <w:rFonts w:ascii="Times New Roman" w:eastAsia="Calibri" w:hAnsi="Times New Roman" w:cs="Times New Roman"/>
        </w:rPr>
        <w:t>the electricity grid mix</w:t>
      </w:r>
      <w:r w:rsidR="00902B87" w:rsidRPr="00095771">
        <w:rPr>
          <w:rFonts w:ascii="Times New Roman" w:eastAsia="Calibri" w:hAnsi="Times New Roman" w:cs="Times New Roman"/>
        </w:rPr>
        <w:t xml:space="preserve"> and</w:t>
      </w:r>
      <w:r w:rsidR="00FD36E7" w:rsidRPr="00095771">
        <w:rPr>
          <w:rFonts w:ascii="Times New Roman" w:eastAsia="Calibri" w:hAnsi="Times New Roman" w:cs="Times New Roman"/>
        </w:rPr>
        <w:t xml:space="preserve"> so</w:t>
      </w:r>
      <w:r w:rsidR="00902B87" w:rsidRPr="00095771">
        <w:rPr>
          <w:rFonts w:ascii="Times New Roman" w:eastAsia="Calibri" w:hAnsi="Times New Roman" w:cs="Times New Roman"/>
        </w:rPr>
        <w:t xml:space="preserve"> were not included. The</w:t>
      </w:r>
      <w:r w:rsidR="00FD36E7" w:rsidRPr="00095771">
        <w:rPr>
          <w:rFonts w:ascii="Times New Roman" w:eastAsia="Calibri" w:hAnsi="Times New Roman" w:cs="Times New Roman"/>
        </w:rPr>
        <w:t xml:space="preserve"> electricity</w:t>
      </w:r>
      <w:r w:rsidR="00902B87" w:rsidRPr="00095771">
        <w:rPr>
          <w:rFonts w:ascii="Times New Roman" w:eastAsia="Calibri" w:hAnsi="Times New Roman" w:cs="Times New Roman"/>
        </w:rPr>
        <w:t xml:space="preserve"> process</w:t>
      </w:r>
      <w:r w:rsidR="00FD36E7" w:rsidRPr="00095771">
        <w:rPr>
          <w:rFonts w:ascii="Times New Roman" w:eastAsia="Calibri" w:hAnsi="Times New Roman" w:cs="Times New Roman"/>
        </w:rPr>
        <w:t xml:space="preserve"> from</w:t>
      </w:r>
      <w:r w:rsidR="00902B87" w:rsidRPr="00095771">
        <w:rPr>
          <w:rFonts w:ascii="Times New Roman" w:eastAsia="Calibri" w:hAnsi="Times New Roman" w:cs="Times New Roman"/>
        </w:rPr>
        <w:t xml:space="preserve"> wind was also omitte</w:t>
      </w:r>
      <w:r w:rsidR="00FD36E7" w:rsidRPr="00095771">
        <w:rPr>
          <w:rFonts w:ascii="Times New Roman" w:eastAsia="Calibri" w:hAnsi="Times New Roman" w:cs="Times New Roman"/>
        </w:rPr>
        <w:t>d due to the value being small i.e. to 4 decimal places</w:t>
      </w:r>
      <w:r w:rsidR="006B3DE7" w:rsidRPr="00095771">
        <w:rPr>
          <w:rFonts w:ascii="Times New Roman" w:eastAsia="Calibri" w:hAnsi="Times New Roman" w:cs="Times New Roman"/>
        </w:rPr>
        <w:t>, that even with the use of an alternate country</w:t>
      </w:r>
      <w:r w:rsidR="00902B87" w:rsidRPr="00095771">
        <w:rPr>
          <w:rFonts w:ascii="Times New Roman" w:eastAsia="Calibri" w:hAnsi="Times New Roman" w:cs="Times New Roman"/>
        </w:rPr>
        <w:t>, its impact would have been negligible.</w:t>
      </w:r>
    </w:p>
    <w:p w:rsidR="006A62D1" w:rsidRDefault="0010265C" w:rsidP="00095771">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Kazakhstan’s electricity grid mix</w:t>
      </w:r>
      <w:r w:rsidR="00FB69D9">
        <w:rPr>
          <w:rFonts w:ascii="Times New Roman" w:eastAsia="Calibri" w:hAnsi="Times New Roman" w:cs="Times New Roman"/>
        </w:rPr>
        <w:t xml:space="preserve"> </w:t>
      </w:r>
      <w:r w:rsidR="009033E4" w:rsidRPr="00095771">
        <w:rPr>
          <w:rFonts w:ascii="Times New Roman" w:eastAsia="Calibri" w:hAnsi="Times New Roman" w:cs="Times New Roman"/>
        </w:rPr>
        <w:t xml:space="preserve">was composed of </w:t>
      </w:r>
      <w:r w:rsidR="00B25C10" w:rsidRPr="00095771">
        <w:rPr>
          <w:rFonts w:ascii="Times New Roman" w:eastAsia="Calibri" w:hAnsi="Times New Roman" w:cs="Times New Roman"/>
        </w:rPr>
        <w:t>merely four electricity sources</w:t>
      </w:r>
      <w:r w:rsidR="009033E4" w:rsidRPr="00095771">
        <w:rPr>
          <w:rFonts w:ascii="Times New Roman" w:eastAsia="Calibri" w:hAnsi="Times New Roman" w:cs="Times New Roman"/>
        </w:rPr>
        <w:t xml:space="preserve">. </w:t>
      </w:r>
      <w:r w:rsidR="006A62D1" w:rsidRPr="00095771">
        <w:rPr>
          <w:rFonts w:ascii="Times New Roman" w:eastAsia="Calibri" w:hAnsi="Times New Roman" w:cs="Times New Roman"/>
        </w:rPr>
        <w:t>Namely three fossil fuels (coal, natural gas and oil) as well as hydro-electricity. The fossil fuels contributed a total 91.89% with 81.28% of electricity as a percentage being produced from coal. The only alternative to fossil fuel, hydro-electricity contributed 8.11%. No electricity</w:t>
      </w:r>
      <w:r w:rsidR="009033E4" w:rsidRPr="00095771">
        <w:rPr>
          <w:rFonts w:ascii="Times New Roman" w:eastAsia="Calibri" w:hAnsi="Times New Roman" w:cs="Times New Roman"/>
        </w:rPr>
        <w:t xml:space="preserve"> processes</w:t>
      </w:r>
      <w:r w:rsidR="006A62D1" w:rsidRPr="00095771">
        <w:rPr>
          <w:rFonts w:ascii="Times New Roman" w:eastAsia="Calibri" w:hAnsi="Times New Roman" w:cs="Times New Roman"/>
        </w:rPr>
        <w:t xml:space="preserve"> from</w:t>
      </w:r>
      <w:r w:rsidR="00902B87" w:rsidRPr="00095771">
        <w:rPr>
          <w:rFonts w:ascii="Times New Roman" w:eastAsia="Calibri" w:hAnsi="Times New Roman" w:cs="Times New Roman"/>
        </w:rPr>
        <w:t xml:space="preserve"> biomass, geothermal, nuclear,</w:t>
      </w:r>
      <w:r w:rsidR="006A62D1" w:rsidRPr="00095771">
        <w:rPr>
          <w:rFonts w:ascii="Times New Roman" w:eastAsia="Calibri" w:hAnsi="Times New Roman" w:cs="Times New Roman"/>
        </w:rPr>
        <w:t xml:space="preserve"> tide</w:t>
      </w:r>
      <w:r w:rsidR="00902B87" w:rsidRPr="00095771">
        <w:rPr>
          <w:rFonts w:ascii="Times New Roman" w:eastAsia="Calibri" w:hAnsi="Times New Roman" w:cs="Times New Roman"/>
        </w:rPr>
        <w:t xml:space="preserve"> and waste were included since they did not contribute to the make-up of the e</w:t>
      </w:r>
      <w:r w:rsidR="006A62D1" w:rsidRPr="00095771">
        <w:rPr>
          <w:rFonts w:ascii="Times New Roman" w:eastAsia="Calibri" w:hAnsi="Times New Roman" w:cs="Times New Roman"/>
        </w:rPr>
        <w:t xml:space="preserve">lectricity grid mix. </w:t>
      </w:r>
      <w:r w:rsidR="00B25C10" w:rsidRPr="00095771">
        <w:rPr>
          <w:rFonts w:ascii="Times New Roman" w:eastAsia="Calibri" w:hAnsi="Times New Roman" w:cs="Times New Roman"/>
        </w:rPr>
        <w:t>With regards to</w:t>
      </w:r>
      <w:r w:rsidR="00F442C4" w:rsidRPr="00095771">
        <w:rPr>
          <w:rFonts w:ascii="Times New Roman" w:eastAsia="Calibri" w:hAnsi="Times New Roman" w:cs="Times New Roman"/>
        </w:rPr>
        <w:t xml:space="preserve"> the</w:t>
      </w:r>
      <w:r w:rsidR="00B25C10" w:rsidRPr="00095771">
        <w:rPr>
          <w:rFonts w:ascii="Times New Roman" w:eastAsia="Calibri" w:hAnsi="Times New Roman" w:cs="Times New Roman"/>
        </w:rPr>
        <w:t xml:space="preserve"> solar and wind processes</w:t>
      </w:r>
      <w:r w:rsidR="00F442C4" w:rsidRPr="00095771">
        <w:rPr>
          <w:rFonts w:ascii="Times New Roman" w:eastAsia="Calibri" w:hAnsi="Times New Roman" w:cs="Times New Roman"/>
        </w:rPr>
        <w:t>, these were not included primarily due to their low percentage values i.e. to 4 decimal places that even if a process from a substitute country was used, their impact would still be negligible.</w:t>
      </w:r>
    </w:p>
    <w:p w:rsidR="006A62D1" w:rsidRPr="005B3139" w:rsidRDefault="006A62D1" w:rsidP="00095771">
      <w:pPr>
        <w:spacing w:line="360" w:lineRule="auto"/>
        <w:jc w:val="both"/>
        <w:rPr>
          <w:rFonts w:ascii="Times New Roman" w:eastAsia="Calibri" w:hAnsi="Times New Roman" w:cs="Times New Roman"/>
        </w:rPr>
      </w:pPr>
    </w:p>
    <w:p w:rsidR="006A62D1" w:rsidRDefault="006A62D1" w:rsidP="006A62D1">
      <w:pPr>
        <w:spacing w:line="360" w:lineRule="auto"/>
        <w:rPr>
          <w:rFonts w:ascii="Times New Roman" w:eastAsia="Calibri" w:hAnsi="Times New Roman" w:cs="Times New Roman"/>
        </w:rPr>
        <w:sectPr w:rsidR="006A62D1">
          <w:pgSz w:w="11906" w:h="16838"/>
          <w:pgMar w:top="1440" w:right="1440" w:bottom="1440" w:left="1440" w:header="708" w:footer="708" w:gutter="0"/>
          <w:cols w:space="708"/>
          <w:docGrid w:linePitch="360"/>
        </w:sectPr>
      </w:pPr>
    </w:p>
    <w:p w:rsidR="006A62D1" w:rsidRPr="005B3139" w:rsidRDefault="000F4FAE" w:rsidP="006A62D1">
      <w:pPr>
        <w:spacing w:line="360" w:lineRule="auto"/>
        <w:rPr>
          <w:rFonts w:ascii="Times New Roman" w:eastAsia="Calibri" w:hAnsi="Times New Roman" w:cs="Times New Roman"/>
        </w:rPr>
      </w:pPr>
      <w:r>
        <w:rPr>
          <w:noProof/>
        </w:rPr>
        <w:lastRenderedPageBreak/>
        <w:drawing>
          <wp:inline distT="0" distB="0" distL="0" distR="0">
            <wp:extent cx="8863330" cy="5306919"/>
            <wp:effectExtent l="0" t="0" r="0" b="825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2262" t="8292" r="15340" b="3996"/>
                    <a:stretch/>
                  </pic:blipFill>
                  <pic:spPr bwMode="auto">
                    <a:xfrm>
                      <a:off x="0" y="0"/>
                      <a:ext cx="8863330" cy="5306919"/>
                    </a:xfrm>
                    <a:prstGeom prst="rect">
                      <a:avLst/>
                    </a:prstGeom>
                    <a:ln>
                      <a:noFill/>
                    </a:ln>
                    <a:extLst>
                      <a:ext uri="{53640926-AAD7-44D8-BBD7-CCE9431645EC}">
                        <a14:shadowObscured xmlns:a14="http://schemas.microsoft.com/office/drawing/2010/main"/>
                      </a:ext>
                    </a:extLst>
                  </pic:spPr>
                </pic:pic>
              </a:graphicData>
            </a:graphic>
          </wp:inline>
        </w:drawing>
      </w:r>
    </w:p>
    <w:p w:rsidR="006A62D1" w:rsidRDefault="006A62D1" w:rsidP="006F7DCB">
      <w:pPr>
        <w:rPr>
          <w:rFonts w:ascii="Times New Roman" w:eastAsia="Calibri" w:hAnsi="Times New Roman" w:cs="Times New Roman"/>
        </w:rPr>
        <w:sectPr w:rsidR="006A62D1" w:rsidSect="00FB69D9">
          <w:footerReference w:type="default" r:id="rId77"/>
          <w:pgSz w:w="16838" w:h="11906" w:orient="landscape"/>
          <w:pgMar w:top="1440" w:right="1440" w:bottom="1440" w:left="1440" w:header="708" w:footer="708" w:gutter="0"/>
          <w:cols w:space="708"/>
          <w:titlePg/>
          <w:docGrid w:linePitch="360"/>
        </w:sectPr>
      </w:pPr>
      <w:bookmarkStart w:id="121" w:name="_Ref468303738"/>
      <w:bookmarkStart w:id="122" w:name="_Toc495848352"/>
      <w:r w:rsidRPr="00095771">
        <w:rPr>
          <w:rFonts w:ascii="Times New Roman" w:hAnsi="Times New Roman" w:cs="Times New Roman"/>
        </w:rPr>
        <w:t xml:space="preserve">Figure </w:t>
      </w:r>
      <w:r w:rsidR="009A0ED7" w:rsidRPr="00095771">
        <w:rPr>
          <w:rFonts w:ascii="Times New Roman" w:hAnsi="Times New Roman" w:cs="Times New Roman"/>
        </w:rPr>
        <w:fldChar w:fldCharType="begin"/>
      </w:r>
      <w:r w:rsidRPr="00095771">
        <w:rPr>
          <w:rFonts w:ascii="Times New Roman" w:hAnsi="Times New Roman" w:cs="Times New Roman"/>
        </w:rPr>
        <w:instrText xml:space="preserve"> SEQ Figure \* ARABIC </w:instrText>
      </w:r>
      <w:r w:rsidR="009A0ED7" w:rsidRPr="00095771">
        <w:rPr>
          <w:rFonts w:ascii="Times New Roman" w:hAnsi="Times New Roman" w:cs="Times New Roman"/>
        </w:rPr>
        <w:fldChar w:fldCharType="separate"/>
      </w:r>
      <w:r w:rsidR="009F5483">
        <w:rPr>
          <w:rFonts w:ascii="Times New Roman" w:hAnsi="Times New Roman" w:cs="Times New Roman"/>
          <w:noProof/>
        </w:rPr>
        <w:t>19</w:t>
      </w:r>
      <w:r w:rsidR="009A0ED7" w:rsidRPr="00095771">
        <w:rPr>
          <w:rFonts w:ascii="Times New Roman" w:hAnsi="Times New Roman" w:cs="Times New Roman"/>
        </w:rPr>
        <w:fldChar w:fldCharType="end"/>
      </w:r>
      <w:bookmarkEnd w:id="121"/>
      <w:r w:rsidRPr="00095771">
        <w:rPr>
          <w:rFonts w:ascii="Times New Roman" w:hAnsi="Times New Roman" w:cs="Times New Roman"/>
        </w:rPr>
        <w:t xml:space="preserve">. </w:t>
      </w:r>
      <w:r w:rsidR="004D2D91" w:rsidRPr="00095771">
        <w:rPr>
          <w:rFonts w:ascii="Times New Roman" w:eastAsia="Calibri" w:hAnsi="Times New Roman" w:cs="Times New Roman"/>
        </w:rPr>
        <w:t>GaBi</w:t>
      </w:r>
      <w:r w:rsidRPr="00095771">
        <w:rPr>
          <w:rFonts w:ascii="Times New Roman" w:eastAsia="Calibri" w:hAnsi="Times New Roman" w:cs="Times New Roman"/>
        </w:rPr>
        <w:t xml:space="preserve"> model of average electricity for global Fe-Mn production</w:t>
      </w:r>
      <w:bookmarkEnd w:id="122"/>
    </w:p>
    <w:p w:rsidR="00B02D18" w:rsidRPr="00095771" w:rsidRDefault="00A6415F" w:rsidP="00B02D18">
      <w:pPr>
        <w:spacing w:after="0" w:line="360" w:lineRule="auto"/>
        <w:ind w:firstLine="720"/>
        <w:jc w:val="both"/>
        <w:rPr>
          <w:rFonts w:ascii="Times New Roman" w:eastAsia="Calibri" w:hAnsi="Times New Roman" w:cs="Times New Roman"/>
        </w:rPr>
      </w:pPr>
      <w:r w:rsidRPr="00095771">
        <w:lastRenderedPageBreak/>
        <w:fldChar w:fldCharType="begin"/>
      </w:r>
      <w:r w:rsidRPr="00095771">
        <w:instrText xml:space="preserve"> REF _Ref468303738 \h  \* MERGEFORMAT </w:instrText>
      </w:r>
      <w:r w:rsidRPr="00095771">
        <w:fldChar w:fldCharType="separate"/>
      </w:r>
      <w:r w:rsidR="009F5483" w:rsidRPr="00095771">
        <w:rPr>
          <w:rFonts w:ascii="Times New Roman" w:hAnsi="Times New Roman" w:cs="Times New Roman"/>
        </w:rPr>
        <w:t xml:space="preserve">Figure </w:t>
      </w:r>
      <w:r w:rsidR="009F5483">
        <w:rPr>
          <w:rFonts w:ascii="Times New Roman" w:hAnsi="Times New Roman" w:cs="Times New Roman"/>
          <w:noProof/>
        </w:rPr>
        <w:t>19</w:t>
      </w:r>
      <w:r w:rsidRPr="00095771">
        <w:fldChar w:fldCharType="end"/>
      </w:r>
      <w:r w:rsidR="002F2A4F" w:rsidRPr="00095771">
        <w:rPr>
          <w:rFonts w:ascii="Times New Roman" w:eastAsia="Calibri" w:hAnsi="Times New Roman" w:cs="Times New Roman"/>
        </w:rPr>
        <w:t xml:space="preserve"> depicts the average electricity for global Fe-Mn model. The model consists of China </w:t>
      </w:r>
      <w:r w:rsidR="006A62D1" w:rsidRPr="00095771">
        <w:rPr>
          <w:rFonts w:ascii="Times New Roman" w:eastAsia="Calibri" w:hAnsi="Times New Roman" w:cs="Times New Roman"/>
        </w:rPr>
        <w:t>(49.40%), South Afr</w:t>
      </w:r>
      <w:r w:rsidR="00FB69D9">
        <w:rPr>
          <w:rFonts w:ascii="Times New Roman" w:eastAsia="Calibri" w:hAnsi="Times New Roman" w:cs="Times New Roman"/>
        </w:rPr>
        <w:t xml:space="preserve">ica (11.05%) and India (7.28%) </w:t>
      </w:r>
      <w:r w:rsidR="006A62D1" w:rsidRPr="00095771">
        <w:rPr>
          <w:rFonts w:ascii="Times New Roman" w:eastAsia="Calibri" w:hAnsi="Times New Roman" w:cs="Times New Roman"/>
        </w:rPr>
        <w:t>as the top three</w:t>
      </w:r>
      <w:r w:rsidR="007013F3" w:rsidRPr="00095771">
        <w:rPr>
          <w:rFonts w:ascii="Times New Roman" w:eastAsia="Calibri" w:hAnsi="Times New Roman" w:cs="Times New Roman"/>
        </w:rPr>
        <w:t xml:space="preserve"> leading countries that produce</w:t>
      </w:r>
      <w:r w:rsidR="006A62D1" w:rsidRPr="00095771">
        <w:rPr>
          <w:rFonts w:ascii="Times New Roman" w:eastAsia="Calibri" w:hAnsi="Times New Roman" w:cs="Times New Roman"/>
        </w:rPr>
        <w:t xml:space="preserve"> Fe-Mn.</w:t>
      </w:r>
      <w:r w:rsidR="00AC5125" w:rsidRPr="00095771">
        <w:rPr>
          <w:rFonts w:ascii="Times New Roman" w:eastAsia="Calibri" w:hAnsi="Times New Roman" w:cs="Times New Roman"/>
        </w:rPr>
        <w:t xml:space="preserve"> But, u</w:t>
      </w:r>
      <w:r w:rsidR="006A62D1" w:rsidRPr="00095771">
        <w:rPr>
          <w:rFonts w:ascii="Times New Roman" w:eastAsia="Calibri" w:hAnsi="Times New Roman" w:cs="Times New Roman"/>
        </w:rPr>
        <w:t>nlike Fe-Cr where</w:t>
      </w:r>
      <w:r w:rsidR="00AC5125" w:rsidRPr="00095771">
        <w:rPr>
          <w:rFonts w:ascii="Times New Roman" w:eastAsia="Calibri" w:hAnsi="Times New Roman" w:cs="Times New Roman"/>
        </w:rPr>
        <w:t xml:space="preserve"> the </w:t>
      </w:r>
      <w:r w:rsidR="006A62D1" w:rsidRPr="00095771">
        <w:rPr>
          <w:rFonts w:ascii="Times New Roman" w:eastAsia="Calibri" w:hAnsi="Times New Roman" w:cs="Times New Roman"/>
        </w:rPr>
        <w:t xml:space="preserve">global </w:t>
      </w:r>
      <w:r w:rsidR="00AC5125" w:rsidRPr="00095771">
        <w:rPr>
          <w:rFonts w:ascii="Times New Roman" w:eastAsia="Calibri" w:hAnsi="Times New Roman" w:cs="Times New Roman"/>
        </w:rPr>
        <w:t>production was</w:t>
      </w:r>
      <w:r w:rsidR="00B02D18" w:rsidRPr="00095771">
        <w:rPr>
          <w:rFonts w:ascii="Times New Roman" w:eastAsia="Calibri" w:hAnsi="Times New Roman" w:cs="Times New Roman"/>
        </w:rPr>
        <w:t xml:space="preserve"> evenly</w:t>
      </w:r>
      <w:r w:rsidR="00AC5125" w:rsidRPr="00095771">
        <w:rPr>
          <w:rFonts w:ascii="Times New Roman" w:eastAsia="Calibri" w:hAnsi="Times New Roman" w:cs="Times New Roman"/>
        </w:rPr>
        <w:t xml:space="preserve"> contested between </w:t>
      </w:r>
      <w:r w:rsidR="006A62D1" w:rsidRPr="00095771">
        <w:rPr>
          <w:rFonts w:ascii="Times New Roman" w:eastAsia="Calibri" w:hAnsi="Times New Roman" w:cs="Times New Roman"/>
        </w:rPr>
        <w:t>China</w:t>
      </w:r>
      <w:r w:rsidR="00AC5125" w:rsidRPr="00095771">
        <w:rPr>
          <w:rFonts w:ascii="Times New Roman" w:eastAsia="Calibri" w:hAnsi="Times New Roman" w:cs="Times New Roman"/>
        </w:rPr>
        <w:t xml:space="preserve"> and </w:t>
      </w:r>
      <w:r w:rsidR="006A62D1" w:rsidRPr="00095771">
        <w:rPr>
          <w:rFonts w:ascii="Times New Roman" w:eastAsia="Calibri" w:hAnsi="Times New Roman" w:cs="Times New Roman"/>
        </w:rPr>
        <w:t xml:space="preserve">South Africa, China is </w:t>
      </w:r>
      <w:r w:rsidR="00AC5125" w:rsidRPr="00095771">
        <w:rPr>
          <w:rFonts w:ascii="Times New Roman" w:eastAsia="Calibri" w:hAnsi="Times New Roman" w:cs="Times New Roman"/>
        </w:rPr>
        <w:t>evidently</w:t>
      </w:r>
      <w:r w:rsidR="006A62D1" w:rsidRPr="00095771">
        <w:rPr>
          <w:rFonts w:ascii="Times New Roman" w:eastAsia="Calibri" w:hAnsi="Times New Roman" w:cs="Times New Roman"/>
        </w:rPr>
        <w:t xml:space="preserve"> the primary global producer</w:t>
      </w:r>
      <w:r w:rsidR="00B02D18" w:rsidRPr="00095771">
        <w:rPr>
          <w:rFonts w:ascii="Times New Roman" w:eastAsia="Calibri" w:hAnsi="Times New Roman" w:cs="Times New Roman"/>
        </w:rPr>
        <w:t xml:space="preserve"> for Fe-Mn</w:t>
      </w:r>
      <w:r w:rsidR="006A62D1" w:rsidRPr="00095771">
        <w:rPr>
          <w:rFonts w:ascii="Times New Roman" w:eastAsia="Calibri" w:hAnsi="Times New Roman" w:cs="Times New Roman"/>
        </w:rPr>
        <w:t>.</w:t>
      </w:r>
    </w:p>
    <w:p w:rsidR="00B02D18" w:rsidRPr="00095771" w:rsidRDefault="006A62D1" w:rsidP="00B02D18">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In terms of electricity grid mixes, the models</w:t>
      </w:r>
      <w:r w:rsidR="00B02D18" w:rsidRPr="00095771">
        <w:rPr>
          <w:rFonts w:ascii="Times New Roman" w:eastAsia="Calibri" w:hAnsi="Times New Roman" w:cs="Times New Roman"/>
        </w:rPr>
        <w:t xml:space="preserve"> for China and South Africa are identical to the models used for Fe-Cr. The only difference being the percentage make-up of the model in relation to global production. Thus leaving</w:t>
      </w:r>
      <w:r w:rsidR="00492164" w:rsidRPr="00095771">
        <w:rPr>
          <w:rFonts w:ascii="Times New Roman" w:eastAsia="Calibri" w:hAnsi="Times New Roman" w:cs="Times New Roman"/>
        </w:rPr>
        <w:t xml:space="preserve"> the description</w:t>
      </w:r>
      <w:r w:rsidR="00B02D18" w:rsidRPr="00095771">
        <w:rPr>
          <w:rFonts w:ascii="Times New Roman" w:eastAsia="Calibri" w:hAnsi="Times New Roman" w:cs="Times New Roman"/>
        </w:rPr>
        <w:t xml:space="preserve"> of</w:t>
      </w:r>
      <w:r w:rsidR="00492164" w:rsidRPr="00095771">
        <w:rPr>
          <w:rFonts w:ascii="Times New Roman" w:eastAsia="Calibri" w:hAnsi="Times New Roman" w:cs="Times New Roman"/>
        </w:rPr>
        <w:t xml:space="preserve"> the</w:t>
      </w:r>
      <w:r w:rsidR="00B02D18" w:rsidRPr="00095771">
        <w:rPr>
          <w:rFonts w:ascii="Times New Roman" w:eastAsia="Calibri" w:hAnsi="Times New Roman" w:cs="Times New Roman"/>
        </w:rPr>
        <w:t xml:space="preserve"> electricity grid mix for India.</w:t>
      </w:r>
    </w:p>
    <w:p w:rsidR="007013F3" w:rsidRPr="00095771" w:rsidRDefault="00B02D18" w:rsidP="007013F3">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As to</w:t>
      </w:r>
      <w:r w:rsidR="006A62D1" w:rsidRPr="00095771">
        <w:rPr>
          <w:rFonts w:ascii="Times New Roman" w:eastAsia="Calibri" w:hAnsi="Times New Roman" w:cs="Times New Roman"/>
        </w:rPr>
        <w:t xml:space="preserve"> India, its primary and secondary sources of electricity were identical to China, in that they were</w:t>
      </w:r>
      <w:r w:rsidRPr="00095771">
        <w:rPr>
          <w:rFonts w:ascii="Times New Roman" w:eastAsia="Calibri" w:hAnsi="Times New Roman" w:cs="Times New Roman"/>
        </w:rPr>
        <w:t xml:space="preserve"> represented by</w:t>
      </w:r>
      <w:r w:rsidR="006A62D1" w:rsidRPr="00095771">
        <w:rPr>
          <w:rFonts w:ascii="Times New Roman" w:eastAsia="Calibri" w:hAnsi="Times New Roman" w:cs="Times New Roman"/>
        </w:rPr>
        <w:t xml:space="preserve"> hard coal and hydro-electricity. </w:t>
      </w:r>
      <w:r w:rsidRPr="00095771">
        <w:rPr>
          <w:rFonts w:ascii="Times New Roman" w:eastAsia="Calibri" w:hAnsi="Times New Roman" w:cs="Times New Roman"/>
        </w:rPr>
        <w:t>Additionally the percentage contributions from these two fuel sources were also comparable to percentage values for China, with contributions of 72.83% for coal and 11.87% for hydro-electricity respectively.</w:t>
      </w:r>
      <w:r w:rsidR="00336809" w:rsidRPr="00095771">
        <w:rPr>
          <w:rFonts w:ascii="Times New Roman" w:eastAsia="Calibri" w:hAnsi="Times New Roman" w:cs="Times New Roman"/>
        </w:rPr>
        <w:t xml:space="preserve"> Though both countries had similar percentages for coal and hydro-electricity, the actual values in </w:t>
      </w:r>
      <w:proofErr w:type="spellStart"/>
      <w:r w:rsidR="00F6210A">
        <w:rPr>
          <w:rFonts w:ascii="Times New Roman" w:eastAsia="Calibri" w:hAnsi="Times New Roman" w:cs="Times New Roman"/>
        </w:rPr>
        <w:t>GWh</w:t>
      </w:r>
      <w:proofErr w:type="spellEnd"/>
      <w:r w:rsidR="00336809" w:rsidRPr="00095771">
        <w:rPr>
          <w:rFonts w:ascii="Times New Roman" w:eastAsia="Calibri" w:hAnsi="Times New Roman" w:cs="Times New Roman"/>
        </w:rPr>
        <w:t xml:space="preserve"> provided a different perspective. In terms of </w:t>
      </w:r>
      <w:proofErr w:type="spellStart"/>
      <w:r w:rsidR="00F6210A">
        <w:rPr>
          <w:rFonts w:ascii="Times New Roman" w:eastAsia="Calibri" w:hAnsi="Times New Roman" w:cs="Times New Roman"/>
        </w:rPr>
        <w:t>GWh</w:t>
      </w:r>
      <w:proofErr w:type="spellEnd"/>
      <w:r w:rsidR="00336809" w:rsidRPr="00095771">
        <w:rPr>
          <w:rFonts w:ascii="Times New Roman" w:eastAsia="Calibri" w:hAnsi="Times New Roman" w:cs="Times New Roman"/>
        </w:rPr>
        <w:t>, China produced 4.73 times more electricity from hard coal than India, and 6.49 times more electricity than India in terms of hydro-electricity. Thus highlighting a significant difference, but not unusual particularly when comparing against China, due its rapid technological development in sectors such as energy as well as the size of some of its industries.</w:t>
      </w:r>
    </w:p>
    <w:p w:rsidR="00823C21" w:rsidRPr="00095771" w:rsidRDefault="00336809" w:rsidP="007013F3">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 In the matter of range of fuel sources India’s electricity grid mix was composed of eight different processes for electricity product</w:t>
      </w:r>
      <w:r w:rsidR="00823C21" w:rsidRPr="00095771">
        <w:rPr>
          <w:rFonts w:ascii="Times New Roman" w:eastAsia="Calibri" w:hAnsi="Times New Roman" w:cs="Times New Roman"/>
        </w:rPr>
        <w:t>ion. Geothermal and wind</w:t>
      </w:r>
      <w:r w:rsidRPr="00095771">
        <w:rPr>
          <w:rFonts w:ascii="Times New Roman" w:eastAsia="Calibri" w:hAnsi="Times New Roman" w:cs="Times New Roman"/>
        </w:rPr>
        <w:t xml:space="preserve"> </w:t>
      </w:r>
      <w:r w:rsidR="006A62D1" w:rsidRPr="00095771">
        <w:rPr>
          <w:rFonts w:ascii="Times New Roman" w:eastAsia="Calibri" w:hAnsi="Times New Roman" w:cs="Times New Roman"/>
        </w:rPr>
        <w:t>were not included since they did not contribute any value to the electricity grid makeup according to the IEA database.</w:t>
      </w:r>
      <w:r w:rsidRPr="00095771">
        <w:rPr>
          <w:rFonts w:ascii="Times New Roman" w:eastAsia="Calibri" w:hAnsi="Times New Roman" w:cs="Times New Roman"/>
        </w:rPr>
        <w:t xml:space="preserve"> Add</w:t>
      </w:r>
      <w:r w:rsidR="00823C21" w:rsidRPr="00095771">
        <w:rPr>
          <w:rFonts w:ascii="Times New Roman" w:eastAsia="Calibri" w:hAnsi="Times New Roman" w:cs="Times New Roman"/>
        </w:rPr>
        <w:t>itionally, electricity from tide</w:t>
      </w:r>
      <w:r w:rsidRPr="00095771">
        <w:rPr>
          <w:rFonts w:ascii="Times New Roman" w:eastAsia="Calibri" w:hAnsi="Times New Roman" w:cs="Times New Roman"/>
        </w:rPr>
        <w:t xml:space="preserve"> was not included since the pr</w:t>
      </w:r>
      <w:r w:rsidR="00823C21" w:rsidRPr="00095771">
        <w:rPr>
          <w:rFonts w:ascii="Times New Roman" w:eastAsia="Calibri" w:hAnsi="Times New Roman" w:cs="Times New Roman"/>
        </w:rPr>
        <w:t xml:space="preserve">ocess was not available in </w:t>
      </w:r>
      <w:r w:rsidR="004D2D91" w:rsidRPr="00095771">
        <w:rPr>
          <w:rFonts w:ascii="Times New Roman" w:eastAsia="Calibri" w:hAnsi="Times New Roman" w:cs="Times New Roman"/>
        </w:rPr>
        <w:t>GaBi</w:t>
      </w:r>
      <w:r w:rsidR="00823C21" w:rsidRPr="00095771">
        <w:rPr>
          <w:rFonts w:ascii="Times New Roman" w:eastAsia="Calibri" w:hAnsi="Times New Roman" w:cs="Times New Roman"/>
        </w:rPr>
        <w:t>.</w:t>
      </w:r>
    </w:p>
    <w:p w:rsidR="006A62D1" w:rsidRDefault="00336809" w:rsidP="00095771">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Finally six</w:t>
      </w:r>
      <w:r w:rsidR="006A62D1" w:rsidRPr="00095771">
        <w:rPr>
          <w:rFonts w:ascii="Times New Roman" w:eastAsia="Calibri" w:hAnsi="Times New Roman" w:cs="Times New Roman"/>
        </w:rPr>
        <w:t xml:space="preserve"> out of eight processes selected for India were from</w:t>
      </w:r>
      <w:r w:rsidR="007013F3" w:rsidRPr="00095771">
        <w:rPr>
          <w:rFonts w:ascii="Times New Roman" w:eastAsia="Calibri" w:hAnsi="Times New Roman" w:cs="Times New Roman"/>
        </w:rPr>
        <w:t xml:space="preserve"> the source country. Notable exceptions were e</w:t>
      </w:r>
      <w:r w:rsidR="006A62D1" w:rsidRPr="00095771">
        <w:rPr>
          <w:rFonts w:ascii="Times New Roman" w:eastAsia="Calibri" w:hAnsi="Times New Roman" w:cs="Times New Roman"/>
        </w:rPr>
        <w:t>lectricity from photovoltaic</w:t>
      </w:r>
      <w:r w:rsidRPr="00095771">
        <w:rPr>
          <w:rFonts w:ascii="Times New Roman" w:eastAsia="Calibri" w:hAnsi="Times New Roman" w:cs="Times New Roman"/>
        </w:rPr>
        <w:t xml:space="preserve"> and waste,</w:t>
      </w:r>
      <w:r w:rsidR="007013F3" w:rsidRPr="00095771">
        <w:rPr>
          <w:rFonts w:ascii="Times New Roman" w:eastAsia="Calibri" w:hAnsi="Times New Roman" w:cs="Times New Roman"/>
        </w:rPr>
        <w:t xml:space="preserve"> were</w:t>
      </w:r>
      <w:r w:rsidR="006A62D1" w:rsidRPr="00095771">
        <w:rPr>
          <w:rFonts w:ascii="Times New Roman" w:eastAsia="Calibri" w:hAnsi="Times New Roman" w:cs="Times New Roman"/>
        </w:rPr>
        <w:t xml:space="preserve"> </w:t>
      </w:r>
      <w:r w:rsidRPr="00095771">
        <w:rPr>
          <w:rFonts w:ascii="Times New Roman" w:eastAsia="Calibri" w:hAnsi="Times New Roman" w:cs="Times New Roman"/>
        </w:rPr>
        <w:t xml:space="preserve">processes from Japan and the EU-27 </w:t>
      </w:r>
      <w:r w:rsidR="00823C21" w:rsidRPr="00095771">
        <w:rPr>
          <w:rFonts w:ascii="Times New Roman" w:eastAsia="Calibri" w:hAnsi="Times New Roman" w:cs="Times New Roman"/>
        </w:rPr>
        <w:t>were instead utilised.</w:t>
      </w:r>
    </w:p>
    <w:p w:rsidR="00095771" w:rsidRDefault="00095771" w:rsidP="00095771">
      <w:pPr>
        <w:spacing w:after="0" w:line="360" w:lineRule="auto"/>
        <w:jc w:val="both"/>
        <w:rPr>
          <w:rFonts w:ascii="Times New Roman" w:eastAsia="Calibri" w:hAnsi="Times New Roman" w:cs="Times New Roman"/>
        </w:rPr>
      </w:pPr>
    </w:p>
    <w:p w:rsidR="006A62D1" w:rsidRDefault="006A62D1" w:rsidP="006A62D1">
      <w:pPr>
        <w:spacing w:line="360" w:lineRule="auto"/>
        <w:rPr>
          <w:rFonts w:ascii="Times New Roman" w:eastAsia="Calibri" w:hAnsi="Times New Roman" w:cs="Times New Roman"/>
        </w:rPr>
        <w:sectPr w:rsidR="006A62D1" w:rsidSect="00C24042">
          <w:pgSz w:w="11906" w:h="16838"/>
          <w:pgMar w:top="1440" w:right="1440" w:bottom="1440" w:left="1440" w:header="708" w:footer="708" w:gutter="0"/>
          <w:cols w:space="708"/>
          <w:docGrid w:linePitch="360"/>
        </w:sectPr>
      </w:pPr>
    </w:p>
    <w:p w:rsidR="006A62D1" w:rsidRPr="005B3139" w:rsidRDefault="000F4FAE" w:rsidP="006A62D1">
      <w:pPr>
        <w:spacing w:after="0" w:line="360" w:lineRule="auto"/>
        <w:rPr>
          <w:rFonts w:ascii="Times New Roman" w:eastAsia="Calibri" w:hAnsi="Times New Roman" w:cs="Times New Roman"/>
        </w:rPr>
      </w:pPr>
      <w:r>
        <w:rPr>
          <w:noProof/>
        </w:rPr>
        <w:lastRenderedPageBreak/>
        <w:drawing>
          <wp:inline distT="0" distB="0" distL="0" distR="0">
            <wp:extent cx="8768219" cy="5411279"/>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l="2968" t="9045" r="19153" b="5506"/>
                    <a:stretch/>
                  </pic:blipFill>
                  <pic:spPr bwMode="auto">
                    <a:xfrm>
                      <a:off x="0" y="0"/>
                      <a:ext cx="8778516" cy="5417634"/>
                    </a:xfrm>
                    <a:prstGeom prst="rect">
                      <a:avLst/>
                    </a:prstGeom>
                    <a:ln>
                      <a:noFill/>
                    </a:ln>
                    <a:extLst>
                      <a:ext uri="{53640926-AAD7-44D8-BBD7-CCE9431645EC}">
                        <a14:shadowObscured xmlns:a14="http://schemas.microsoft.com/office/drawing/2010/main"/>
                      </a:ext>
                    </a:extLst>
                  </pic:spPr>
                </pic:pic>
              </a:graphicData>
            </a:graphic>
          </wp:inline>
        </w:drawing>
      </w:r>
    </w:p>
    <w:p w:rsidR="006A62D1" w:rsidRDefault="006A62D1" w:rsidP="006A62D1">
      <w:pPr>
        <w:rPr>
          <w:rFonts w:ascii="Times New Roman" w:eastAsia="Calibri" w:hAnsi="Times New Roman" w:cs="Times New Roman"/>
        </w:rPr>
      </w:pPr>
      <w:bookmarkStart w:id="123" w:name="_Ref468303905"/>
      <w:bookmarkStart w:id="124" w:name="_Toc495848353"/>
      <w:r w:rsidRPr="00095771">
        <w:rPr>
          <w:rFonts w:ascii="Times New Roman" w:hAnsi="Times New Roman" w:cs="Times New Roman"/>
        </w:rPr>
        <w:t xml:space="preserve">Figure </w:t>
      </w:r>
      <w:r w:rsidR="009A0ED7" w:rsidRPr="00095771">
        <w:rPr>
          <w:rFonts w:ascii="Times New Roman" w:hAnsi="Times New Roman" w:cs="Times New Roman"/>
        </w:rPr>
        <w:fldChar w:fldCharType="begin"/>
      </w:r>
      <w:r w:rsidRPr="00095771">
        <w:rPr>
          <w:rFonts w:ascii="Times New Roman" w:hAnsi="Times New Roman" w:cs="Times New Roman"/>
        </w:rPr>
        <w:instrText xml:space="preserve"> SEQ Figure \* ARABIC </w:instrText>
      </w:r>
      <w:r w:rsidR="009A0ED7" w:rsidRPr="00095771">
        <w:rPr>
          <w:rFonts w:ascii="Times New Roman" w:hAnsi="Times New Roman" w:cs="Times New Roman"/>
        </w:rPr>
        <w:fldChar w:fldCharType="separate"/>
      </w:r>
      <w:r w:rsidR="009F5483">
        <w:rPr>
          <w:rFonts w:ascii="Times New Roman" w:hAnsi="Times New Roman" w:cs="Times New Roman"/>
          <w:noProof/>
        </w:rPr>
        <w:t>20</w:t>
      </w:r>
      <w:r w:rsidR="009A0ED7" w:rsidRPr="00095771">
        <w:rPr>
          <w:rFonts w:ascii="Times New Roman" w:hAnsi="Times New Roman" w:cs="Times New Roman"/>
        </w:rPr>
        <w:fldChar w:fldCharType="end"/>
      </w:r>
      <w:bookmarkEnd w:id="123"/>
      <w:r w:rsidRPr="00095771">
        <w:rPr>
          <w:rFonts w:ascii="Times New Roman" w:hAnsi="Times New Roman" w:cs="Times New Roman"/>
        </w:rPr>
        <w:t xml:space="preserve">. </w:t>
      </w:r>
      <w:r w:rsidR="004D2D91" w:rsidRPr="00095771">
        <w:rPr>
          <w:rFonts w:ascii="Times New Roman" w:eastAsia="Calibri" w:hAnsi="Times New Roman" w:cs="Times New Roman"/>
        </w:rPr>
        <w:t>GaBi</w:t>
      </w:r>
      <w:r w:rsidRPr="00095771">
        <w:rPr>
          <w:rFonts w:ascii="Times New Roman" w:eastAsia="Calibri" w:hAnsi="Times New Roman" w:cs="Times New Roman"/>
        </w:rPr>
        <w:t xml:space="preserve"> model of average electricity for global Fe-Ni production.</w:t>
      </w:r>
      <w:bookmarkEnd w:id="124"/>
    </w:p>
    <w:p w:rsidR="006A62D1" w:rsidRDefault="006A62D1" w:rsidP="006A62D1">
      <w:pPr>
        <w:rPr>
          <w:rFonts w:ascii="Times New Roman" w:eastAsia="Calibri" w:hAnsi="Times New Roman" w:cs="Times New Roman"/>
        </w:rPr>
        <w:sectPr w:rsidR="006A62D1" w:rsidSect="00FB69D9">
          <w:footerReference w:type="default" r:id="rId79"/>
          <w:pgSz w:w="16838" w:h="11906" w:orient="landscape"/>
          <w:pgMar w:top="1440" w:right="1440" w:bottom="1440" w:left="1440" w:header="708" w:footer="708" w:gutter="0"/>
          <w:cols w:space="708"/>
          <w:titlePg/>
          <w:docGrid w:linePitch="360"/>
        </w:sectPr>
      </w:pPr>
    </w:p>
    <w:p w:rsidR="006A62D1" w:rsidRPr="00095771" w:rsidRDefault="00A6415F" w:rsidP="007013F3">
      <w:pPr>
        <w:spacing w:after="0" w:line="360" w:lineRule="auto"/>
        <w:ind w:firstLine="720"/>
        <w:jc w:val="both"/>
        <w:rPr>
          <w:rFonts w:ascii="Times New Roman" w:eastAsia="Calibri" w:hAnsi="Times New Roman" w:cs="Times New Roman"/>
        </w:rPr>
      </w:pPr>
      <w:r w:rsidRPr="00095771">
        <w:lastRenderedPageBreak/>
        <w:fldChar w:fldCharType="begin"/>
      </w:r>
      <w:r w:rsidRPr="00095771">
        <w:instrText xml:space="preserve"> REF _Ref468303905 \h  \* MERGEFORMAT </w:instrText>
      </w:r>
      <w:r w:rsidRPr="00095771">
        <w:fldChar w:fldCharType="separate"/>
      </w:r>
      <w:r w:rsidR="009F5483" w:rsidRPr="00095771">
        <w:rPr>
          <w:rFonts w:ascii="Times New Roman" w:hAnsi="Times New Roman" w:cs="Times New Roman"/>
        </w:rPr>
        <w:t xml:space="preserve">Figure </w:t>
      </w:r>
      <w:r w:rsidR="009F5483">
        <w:rPr>
          <w:rFonts w:ascii="Times New Roman" w:hAnsi="Times New Roman" w:cs="Times New Roman"/>
          <w:noProof/>
        </w:rPr>
        <w:t>20</w:t>
      </w:r>
      <w:r w:rsidRPr="00095771">
        <w:fldChar w:fldCharType="end"/>
      </w:r>
      <w:r w:rsidR="007013F3" w:rsidRPr="00095771">
        <w:rPr>
          <w:rFonts w:ascii="Times New Roman" w:eastAsia="Calibri" w:hAnsi="Times New Roman" w:cs="Times New Roman"/>
        </w:rPr>
        <w:t xml:space="preserve"> depicts the average electricity for global Fe-Ni model. The model consists of China (51.28%), Japan (13.62%) and New Caledonia (5.20%) has the top three leading countries that produce Fe-Ni. </w:t>
      </w:r>
      <w:r w:rsidR="006A62D1" w:rsidRPr="00095771">
        <w:rPr>
          <w:rFonts w:ascii="Times New Roman" w:eastAsia="Calibri" w:hAnsi="Times New Roman" w:cs="Times New Roman"/>
        </w:rPr>
        <w:t>The make-up of China’s electricity grid mix has been described in detail earlier</w:t>
      </w:r>
      <w:r w:rsidR="007013F3" w:rsidRPr="00095771">
        <w:rPr>
          <w:rFonts w:ascii="Times New Roman" w:eastAsia="Calibri" w:hAnsi="Times New Roman" w:cs="Times New Roman"/>
        </w:rPr>
        <w:t xml:space="preserve"> in Fe-Cr and so </w:t>
      </w:r>
      <w:r w:rsidR="006A62D1" w:rsidRPr="00095771">
        <w:rPr>
          <w:rFonts w:ascii="Times New Roman" w:eastAsia="Calibri" w:hAnsi="Times New Roman" w:cs="Times New Roman"/>
        </w:rPr>
        <w:t>the focus will be on</w:t>
      </w:r>
      <w:r w:rsidR="001B28E5" w:rsidRPr="00095771">
        <w:rPr>
          <w:rFonts w:ascii="Times New Roman" w:eastAsia="Calibri" w:hAnsi="Times New Roman" w:cs="Times New Roman"/>
        </w:rPr>
        <w:t xml:space="preserve"> analysis</w:t>
      </w:r>
      <w:r w:rsidR="007013F3" w:rsidRPr="00095771">
        <w:rPr>
          <w:rFonts w:ascii="Times New Roman" w:eastAsia="Calibri" w:hAnsi="Times New Roman" w:cs="Times New Roman"/>
        </w:rPr>
        <w:t xml:space="preserve"> of</w:t>
      </w:r>
      <w:r w:rsidR="006A62D1" w:rsidRPr="00095771">
        <w:rPr>
          <w:rFonts w:ascii="Times New Roman" w:eastAsia="Calibri" w:hAnsi="Times New Roman" w:cs="Times New Roman"/>
        </w:rPr>
        <w:t xml:space="preserve"> Japan</w:t>
      </w:r>
      <w:r w:rsidR="001B28E5" w:rsidRPr="00095771">
        <w:rPr>
          <w:rFonts w:ascii="Times New Roman" w:eastAsia="Calibri" w:hAnsi="Times New Roman" w:cs="Times New Roman"/>
        </w:rPr>
        <w:t>ese</w:t>
      </w:r>
      <w:r w:rsidR="006A62D1" w:rsidRPr="00095771">
        <w:rPr>
          <w:rFonts w:ascii="Times New Roman" w:eastAsia="Calibri" w:hAnsi="Times New Roman" w:cs="Times New Roman"/>
        </w:rPr>
        <w:t xml:space="preserve"> and New Caledonia</w:t>
      </w:r>
      <w:r w:rsidR="001B28E5" w:rsidRPr="00095771">
        <w:rPr>
          <w:rFonts w:ascii="Times New Roman" w:eastAsia="Calibri" w:hAnsi="Times New Roman" w:cs="Times New Roman"/>
        </w:rPr>
        <w:t>n</w:t>
      </w:r>
      <w:r w:rsidR="007013F3" w:rsidRPr="00095771">
        <w:rPr>
          <w:rFonts w:ascii="Times New Roman" w:eastAsia="Calibri" w:hAnsi="Times New Roman" w:cs="Times New Roman"/>
        </w:rPr>
        <w:t xml:space="preserve"> electricity models</w:t>
      </w:r>
      <w:r w:rsidR="006A62D1" w:rsidRPr="00095771">
        <w:rPr>
          <w:rFonts w:ascii="Times New Roman" w:eastAsia="Calibri" w:hAnsi="Times New Roman" w:cs="Times New Roman"/>
        </w:rPr>
        <w:t>.</w:t>
      </w:r>
    </w:p>
    <w:p w:rsidR="00934375" w:rsidRPr="00095771" w:rsidRDefault="009452B3" w:rsidP="00934375">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Concerning Japan, its electricity grid mix was</w:t>
      </w:r>
      <w:r w:rsidR="006A62D1" w:rsidRPr="00095771">
        <w:rPr>
          <w:rFonts w:ascii="Times New Roman" w:eastAsia="Calibri" w:hAnsi="Times New Roman" w:cs="Times New Roman"/>
        </w:rPr>
        <w:t xml:space="preserve"> predominantly fossil fuel based, with fossil fuels contributing 84.98% of total electricity produced</w:t>
      </w:r>
      <w:r w:rsidR="00332E7D" w:rsidRPr="00095771">
        <w:rPr>
          <w:rFonts w:ascii="Times New Roman" w:eastAsia="Calibri" w:hAnsi="Times New Roman" w:cs="Times New Roman"/>
        </w:rPr>
        <w:t>. T</w:t>
      </w:r>
      <w:r w:rsidR="006A62D1" w:rsidRPr="00095771">
        <w:rPr>
          <w:rFonts w:ascii="Times New Roman" w:eastAsia="Calibri" w:hAnsi="Times New Roman" w:cs="Times New Roman"/>
        </w:rPr>
        <w:t>he remainder</w:t>
      </w:r>
      <w:r w:rsidR="00332E7D" w:rsidRPr="00095771">
        <w:rPr>
          <w:rFonts w:ascii="Times New Roman" w:eastAsia="Calibri" w:hAnsi="Times New Roman" w:cs="Times New Roman"/>
        </w:rPr>
        <w:t xml:space="preserve"> of electricity production was</w:t>
      </w:r>
      <w:r w:rsidR="006A62D1" w:rsidRPr="00095771">
        <w:rPr>
          <w:rFonts w:ascii="Times New Roman" w:eastAsia="Calibri" w:hAnsi="Times New Roman" w:cs="Times New Roman"/>
        </w:rPr>
        <w:t xml:space="preserve"> </w:t>
      </w:r>
      <w:r w:rsidRPr="00095771">
        <w:rPr>
          <w:rFonts w:ascii="Times New Roman" w:eastAsia="Calibri" w:hAnsi="Times New Roman" w:cs="Times New Roman"/>
        </w:rPr>
        <w:t xml:space="preserve">provided by </w:t>
      </w:r>
      <w:r w:rsidR="006A62D1" w:rsidRPr="00095771">
        <w:rPr>
          <w:rFonts w:ascii="Times New Roman" w:eastAsia="Calibri" w:hAnsi="Times New Roman" w:cs="Times New Roman"/>
        </w:rPr>
        <w:t>non-fossil fuel</w:t>
      </w:r>
      <w:r w:rsidRPr="00095771">
        <w:rPr>
          <w:rFonts w:ascii="Times New Roman" w:eastAsia="Calibri" w:hAnsi="Times New Roman" w:cs="Times New Roman"/>
        </w:rPr>
        <w:t xml:space="preserve"> sources</w:t>
      </w:r>
      <w:r w:rsidR="00332E7D" w:rsidRPr="00095771">
        <w:rPr>
          <w:rFonts w:ascii="Times New Roman" w:eastAsia="Calibri" w:hAnsi="Times New Roman" w:cs="Times New Roman"/>
        </w:rPr>
        <w:t xml:space="preserve"> (14.13%), </w:t>
      </w:r>
      <w:r w:rsidRPr="00095771">
        <w:rPr>
          <w:rFonts w:ascii="Times New Roman" w:eastAsia="Calibri" w:hAnsi="Times New Roman" w:cs="Times New Roman"/>
        </w:rPr>
        <w:t>excluding electricity from nuclear</w:t>
      </w:r>
      <w:r w:rsidR="00332E7D" w:rsidRPr="00095771">
        <w:rPr>
          <w:rFonts w:ascii="Times New Roman" w:eastAsia="Calibri" w:hAnsi="Times New Roman" w:cs="Times New Roman"/>
        </w:rPr>
        <w:t xml:space="preserve"> energy</w:t>
      </w:r>
      <w:r w:rsidR="006A62D1" w:rsidRPr="00095771">
        <w:rPr>
          <w:rFonts w:ascii="Times New Roman" w:eastAsia="Calibri" w:hAnsi="Times New Roman" w:cs="Times New Roman"/>
        </w:rPr>
        <w:t xml:space="preserve"> (0.89%). Breakdown of fossil fuels, reveal</w:t>
      </w:r>
      <w:r w:rsidR="00332E7D" w:rsidRPr="00095771">
        <w:rPr>
          <w:rFonts w:ascii="Times New Roman" w:eastAsia="Calibri" w:hAnsi="Times New Roman" w:cs="Times New Roman"/>
        </w:rPr>
        <w:t>ed</w:t>
      </w:r>
      <w:r w:rsidR="006A62D1" w:rsidRPr="00095771">
        <w:rPr>
          <w:rFonts w:ascii="Times New Roman" w:eastAsia="Calibri" w:hAnsi="Times New Roman" w:cs="Times New Roman"/>
        </w:rPr>
        <w:t xml:space="preserve"> natural gas (38.43%) to be the primary contributor followed by coal (32.21%) and natural gas (14.34%). In terms of non-fossil fuels, hydro-el</w:t>
      </w:r>
      <w:r w:rsidR="00FD2D49" w:rsidRPr="00095771">
        <w:rPr>
          <w:rFonts w:ascii="Times New Roman" w:eastAsia="Calibri" w:hAnsi="Times New Roman" w:cs="Times New Roman"/>
        </w:rPr>
        <w:t>ectricity contributed the most</w:t>
      </w:r>
      <w:r w:rsidR="006A62D1" w:rsidRPr="00095771">
        <w:rPr>
          <w:rFonts w:ascii="Times New Roman" w:eastAsia="Calibri" w:hAnsi="Times New Roman" w:cs="Times New Roman"/>
        </w:rPr>
        <w:t xml:space="preserve"> amount with a percentage of 8.12%. Contributions from</w:t>
      </w:r>
      <w:r w:rsidR="00FD2D49" w:rsidRPr="00095771">
        <w:rPr>
          <w:rFonts w:ascii="Times New Roman" w:eastAsia="Calibri" w:hAnsi="Times New Roman" w:cs="Times New Roman"/>
        </w:rPr>
        <w:t xml:space="preserve"> the remainder of the electricity grid mix specifically, biomass (3.07%), </w:t>
      </w:r>
      <w:r w:rsidR="006A62D1" w:rsidRPr="00095771">
        <w:rPr>
          <w:rFonts w:ascii="Times New Roman" w:eastAsia="Calibri" w:hAnsi="Times New Roman" w:cs="Times New Roman"/>
        </w:rPr>
        <w:t>geothermal</w:t>
      </w:r>
      <w:r w:rsidR="00FD2D49" w:rsidRPr="00095771">
        <w:rPr>
          <w:rFonts w:ascii="Times New Roman" w:eastAsia="Calibri" w:hAnsi="Times New Roman" w:cs="Times New Roman"/>
        </w:rPr>
        <w:t xml:space="preserve"> (0.25%)</w:t>
      </w:r>
      <w:r w:rsidR="006A62D1" w:rsidRPr="00095771">
        <w:rPr>
          <w:rFonts w:ascii="Times New Roman" w:eastAsia="Calibri" w:hAnsi="Times New Roman" w:cs="Times New Roman"/>
        </w:rPr>
        <w:t>, sola</w:t>
      </w:r>
      <w:r w:rsidR="00FD2D49" w:rsidRPr="00095771">
        <w:rPr>
          <w:rFonts w:ascii="Times New Roman" w:eastAsia="Calibri" w:hAnsi="Times New Roman" w:cs="Times New Roman"/>
        </w:rPr>
        <w:t>r (1.37%), waste (0.16%) and</w:t>
      </w:r>
      <w:r w:rsidR="006A62D1" w:rsidRPr="00095771">
        <w:rPr>
          <w:rFonts w:ascii="Times New Roman" w:eastAsia="Calibri" w:hAnsi="Times New Roman" w:cs="Times New Roman"/>
        </w:rPr>
        <w:t xml:space="preserve"> wind</w:t>
      </w:r>
      <w:r w:rsidR="00FD2D49" w:rsidRPr="00095771">
        <w:rPr>
          <w:rFonts w:ascii="Times New Roman" w:eastAsia="Calibri" w:hAnsi="Times New Roman" w:cs="Times New Roman"/>
        </w:rPr>
        <w:t xml:space="preserve"> (0.50%) were minor</w:t>
      </w:r>
      <w:r w:rsidR="006A62D1" w:rsidRPr="00095771">
        <w:rPr>
          <w:rFonts w:ascii="Times New Roman" w:eastAsia="Calibri" w:hAnsi="Times New Roman" w:cs="Times New Roman"/>
        </w:rPr>
        <w:t>.</w:t>
      </w:r>
      <w:r w:rsidR="00FD2D49" w:rsidRPr="00095771">
        <w:rPr>
          <w:rFonts w:ascii="Times New Roman" w:eastAsia="Calibri" w:hAnsi="Times New Roman" w:cs="Times New Roman"/>
        </w:rPr>
        <w:t xml:space="preserve"> </w:t>
      </w:r>
      <w:r w:rsidR="00BF007B" w:rsidRPr="00095771">
        <w:rPr>
          <w:rFonts w:ascii="Times New Roman" w:eastAsia="Calibri" w:hAnsi="Times New Roman" w:cs="Times New Roman"/>
        </w:rPr>
        <w:t xml:space="preserve">Out of all the countries modelled, </w:t>
      </w:r>
      <w:r w:rsidR="006A62D1" w:rsidRPr="00095771">
        <w:rPr>
          <w:rFonts w:ascii="Times New Roman" w:eastAsia="Calibri" w:hAnsi="Times New Roman" w:cs="Times New Roman"/>
        </w:rPr>
        <w:t xml:space="preserve">Japan </w:t>
      </w:r>
      <w:r w:rsidR="00BF007B" w:rsidRPr="00095771">
        <w:rPr>
          <w:rFonts w:ascii="Times New Roman" w:eastAsia="Calibri" w:hAnsi="Times New Roman" w:cs="Times New Roman"/>
        </w:rPr>
        <w:t>possessed the most</w:t>
      </w:r>
      <w:r w:rsidR="006A62D1" w:rsidRPr="00095771">
        <w:rPr>
          <w:rFonts w:ascii="Times New Roman" w:eastAsia="Calibri" w:hAnsi="Times New Roman" w:cs="Times New Roman"/>
        </w:rPr>
        <w:t xml:space="preserve"> diversified electricity grid mix with ele</w:t>
      </w:r>
      <w:r w:rsidR="00934375" w:rsidRPr="00095771">
        <w:rPr>
          <w:rFonts w:ascii="Times New Roman" w:eastAsia="Calibri" w:hAnsi="Times New Roman" w:cs="Times New Roman"/>
        </w:rPr>
        <w:t>ctricity contributions from ten</w:t>
      </w:r>
      <w:r w:rsidR="00BF007B" w:rsidRPr="00095771">
        <w:rPr>
          <w:rFonts w:ascii="Times New Roman" w:eastAsia="Calibri" w:hAnsi="Times New Roman" w:cs="Times New Roman"/>
        </w:rPr>
        <w:t xml:space="preserve"> different sources</w:t>
      </w:r>
      <w:r w:rsidR="006A62D1" w:rsidRPr="00095771">
        <w:rPr>
          <w:rFonts w:ascii="Times New Roman" w:eastAsia="Calibri" w:hAnsi="Times New Roman" w:cs="Times New Roman"/>
        </w:rPr>
        <w:t xml:space="preserve">. </w:t>
      </w:r>
      <w:r w:rsidR="00BF007B" w:rsidRPr="00095771">
        <w:rPr>
          <w:rFonts w:ascii="Times New Roman" w:eastAsia="Calibri" w:hAnsi="Times New Roman" w:cs="Times New Roman"/>
        </w:rPr>
        <w:t xml:space="preserve">In addition, electricity from tide was excluded since it made no contribution to the electricity grid make up as well as the process being unavailable in </w:t>
      </w:r>
      <w:r w:rsidR="004D2D91" w:rsidRPr="00095771">
        <w:rPr>
          <w:rFonts w:ascii="Times New Roman" w:eastAsia="Calibri" w:hAnsi="Times New Roman" w:cs="Times New Roman"/>
        </w:rPr>
        <w:t>GaBi</w:t>
      </w:r>
      <w:r w:rsidR="00BF007B" w:rsidRPr="00095771">
        <w:rPr>
          <w:rFonts w:ascii="Times New Roman" w:eastAsia="Calibri" w:hAnsi="Times New Roman" w:cs="Times New Roman"/>
        </w:rPr>
        <w:t>.</w:t>
      </w:r>
    </w:p>
    <w:p w:rsidR="006A62D1" w:rsidRPr="00095771" w:rsidRDefault="00BF007B" w:rsidP="00934375">
      <w:pPr>
        <w:spacing w:after="0" w:line="360" w:lineRule="auto"/>
        <w:jc w:val="both"/>
        <w:rPr>
          <w:rFonts w:ascii="Times New Roman" w:eastAsia="Calibri" w:hAnsi="Times New Roman" w:cs="Times New Roman"/>
        </w:rPr>
      </w:pPr>
      <w:r w:rsidRPr="00095771">
        <w:rPr>
          <w:rFonts w:ascii="Times New Roman" w:eastAsia="Calibri" w:hAnsi="Times New Roman" w:cs="Times New Roman"/>
        </w:rPr>
        <w:t>Finally,</w:t>
      </w:r>
      <w:r w:rsidR="00FD2D49" w:rsidRPr="00095771">
        <w:rPr>
          <w:rFonts w:ascii="Times New Roman" w:eastAsia="Calibri" w:hAnsi="Times New Roman" w:cs="Times New Roman"/>
        </w:rPr>
        <w:t xml:space="preserve"> Japan</w:t>
      </w:r>
      <w:r w:rsidRPr="00095771">
        <w:rPr>
          <w:rFonts w:ascii="Times New Roman" w:eastAsia="Calibri" w:hAnsi="Times New Roman" w:cs="Times New Roman"/>
        </w:rPr>
        <w:t xml:space="preserve"> was</w:t>
      </w:r>
      <w:r w:rsidR="006A62D1" w:rsidRPr="00095771">
        <w:rPr>
          <w:rFonts w:ascii="Times New Roman" w:eastAsia="Calibri" w:hAnsi="Times New Roman" w:cs="Times New Roman"/>
        </w:rPr>
        <w:t xml:space="preserve"> one of three countries</w:t>
      </w:r>
      <w:r w:rsidR="00FD2D49" w:rsidRPr="00095771">
        <w:rPr>
          <w:rFonts w:ascii="Times New Roman" w:eastAsia="Calibri" w:hAnsi="Times New Roman" w:cs="Times New Roman"/>
        </w:rPr>
        <w:t>, India and Norway being the other two,</w:t>
      </w:r>
      <w:r w:rsidR="006A62D1" w:rsidRPr="00095771">
        <w:rPr>
          <w:rFonts w:ascii="Times New Roman" w:eastAsia="Calibri" w:hAnsi="Times New Roman" w:cs="Times New Roman"/>
        </w:rPr>
        <w:t xml:space="preserve"> for which </w:t>
      </w:r>
      <w:r w:rsidR="004D2D91" w:rsidRPr="00095771">
        <w:rPr>
          <w:rFonts w:ascii="Times New Roman" w:eastAsia="Calibri" w:hAnsi="Times New Roman" w:cs="Times New Roman"/>
        </w:rPr>
        <w:t>GaBi</w:t>
      </w:r>
      <w:r w:rsidR="006A62D1" w:rsidRPr="00095771">
        <w:rPr>
          <w:rFonts w:ascii="Times New Roman" w:eastAsia="Calibri" w:hAnsi="Times New Roman" w:cs="Times New Roman"/>
        </w:rPr>
        <w:t xml:space="preserve"> did have</w:t>
      </w:r>
      <w:r w:rsidR="00934375" w:rsidRPr="00095771">
        <w:rPr>
          <w:rFonts w:ascii="Times New Roman" w:eastAsia="Calibri" w:hAnsi="Times New Roman" w:cs="Times New Roman"/>
        </w:rPr>
        <w:t xml:space="preserve"> country specific</w:t>
      </w:r>
      <w:r w:rsidR="006A62D1" w:rsidRPr="00095771">
        <w:rPr>
          <w:rFonts w:ascii="Times New Roman" w:eastAsia="Calibri" w:hAnsi="Times New Roman" w:cs="Times New Roman"/>
        </w:rPr>
        <w:t xml:space="preserve"> electricity processes.</w:t>
      </w:r>
    </w:p>
    <w:p w:rsidR="006A62D1" w:rsidRDefault="00953131" w:rsidP="00095771">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As far as the electricity grid mix for New Caledonia, this consisted of simply </w:t>
      </w:r>
      <w:r w:rsidR="001B28E5" w:rsidRPr="00095771">
        <w:rPr>
          <w:rFonts w:ascii="Times New Roman" w:eastAsia="Calibri" w:hAnsi="Times New Roman" w:cs="Times New Roman"/>
        </w:rPr>
        <w:t xml:space="preserve">four different fuel sources by way of </w:t>
      </w:r>
      <w:r w:rsidRPr="00095771">
        <w:rPr>
          <w:rFonts w:ascii="Times New Roman" w:eastAsia="Calibri" w:hAnsi="Times New Roman" w:cs="Times New Roman"/>
        </w:rPr>
        <w:t>coal (24.1%), oil (54.30%), hydro-electricity (17.40%) and wind (2.50%). Fossil fuels made up 78.40% compared to renewa</w:t>
      </w:r>
      <w:r w:rsidR="001B28E5" w:rsidRPr="00095771">
        <w:rPr>
          <w:rFonts w:ascii="Times New Roman" w:eastAsia="Calibri" w:hAnsi="Times New Roman" w:cs="Times New Roman"/>
        </w:rPr>
        <w:t xml:space="preserve">bles which consisted of 19.90%. </w:t>
      </w:r>
      <w:r w:rsidR="006A62D1" w:rsidRPr="00095771">
        <w:rPr>
          <w:rFonts w:ascii="Times New Roman" w:eastAsia="Calibri" w:hAnsi="Times New Roman" w:cs="Times New Roman"/>
        </w:rPr>
        <w:t>Biomass, geothermal, n</w:t>
      </w:r>
      <w:r w:rsidR="00934375" w:rsidRPr="00095771">
        <w:rPr>
          <w:rFonts w:ascii="Times New Roman" w:eastAsia="Calibri" w:hAnsi="Times New Roman" w:cs="Times New Roman"/>
        </w:rPr>
        <w:t xml:space="preserve">atural gas, nuclear, solar, </w:t>
      </w:r>
      <w:r w:rsidR="006A62D1" w:rsidRPr="00095771">
        <w:rPr>
          <w:rFonts w:ascii="Times New Roman" w:eastAsia="Calibri" w:hAnsi="Times New Roman" w:cs="Times New Roman"/>
        </w:rPr>
        <w:t>tid</w:t>
      </w:r>
      <w:r w:rsidRPr="00095771">
        <w:rPr>
          <w:rFonts w:ascii="Times New Roman" w:eastAsia="Calibri" w:hAnsi="Times New Roman" w:cs="Times New Roman"/>
        </w:rPr>
        <w:t>e</w:t>
      </w:r>
      <w:r w:rsidR="00934375" w:rsidRPr="00095771">
        <w:rPr>
          <w:rFonts w:ascii="Times New Roman" w:eastAsia="Calibri" w:hAnsi="Times New Roman" w:cs="Times New Roman"/>
        </w:rPr>
        <w:t xml:space="preserve"> and waste</w:t>
      </w:r>
      <w:r w:rsidRPr="00095771">
        <w:rPr>
          <w:rFonts w:ascii="Times New Roman" w:eastAsia="Calibri" w:hAnsi="Times New Roman" w:cs="Times New Roman"/>
        </w:rPr>
        <w:t xml:space="preserve"> did not contribute to the </w:t>
      </w:r>
      <w:r w:rsidR="006A62D1" w:rsidRPr="00095771">
        <w:rPr>
          <w:rFonts w:ascii="Times New Roman" w:eastAsia="Calibri" w:hAnsi="Times New Roman" w:cs="Times New Roman"/>
        </w:rPr>
        <w:t xml:space="preserve">electricity grid mix and so were not included. </w:t>
      </w:r>
      <w:r w:rsidR="001B28E5" w:rsidRPr="00095771">
        <w:rPr>
          <w:rFonts w:ascii="Times New Roman" w:eastAsia="Calibri" w:hAnsi="Times New Roman" w:cs="Times New Roman"/>
        </w:rPr>
        <w:t>Electricity processes were taken primarily from Australia</w:t>
      </w:r>
      <w:r w:rsidR="00934375" w:rsidRPr="00095771">
        <w:rPr>
          <w:rFonts w:ascii="Times New Roman" w:eastAsia="Calibri" w:hAnsi="Times New Roman" w:cs="Times New Roman"/>
        </w:rPr>
        <w:t xml:space="preserve"> (i.e. 3 out of 4 processes)</w:t>
      </w:r>
      <w:r w:rsidR="001B28E5" w:rsidRPr="00095771">
        <w:rPr>
          <w:rFonts w:ascii="Times New Roman" w:eastAsia="Calibri" w:hAnsi="Times New Roman" w:cs="Times New Roman"/>
        </w:rPr>
        <w:t xml:space="preserve"> has worst case scenarios since actual</w:t>
      </w:r>
      <w:r w:rsidR="00934375" w:rsidRPr="00095771">
        <w:rPr>
          <w:rFonts w:ascii="Times New Roman" w:eastAsia="Calibri" w:hAnsi="Times New Roman" w:cs="Times New Roman"/>
        </w:rPr>
        <w:t xml:space="preserve"> electricity</w:t>
      </w:r>
      <w:r w:rsidR="001B28E5" w:rsidRPr="00095771">
        <w:rPr>
          <w:rFonts w:ascii="Times New Roman" w:eastAsia="Calibri" w:hAnsi="Times New Roman" w:cs="Times New Roman"/>
        </w:rPr>
        <w:t xml:space="preserve"> processes from New Caledonia were not available in </w:t>
      </w:r>
      <w:r w:rsidR="004D2D91" w:rsidRPr="00095771">
        <w:rPr>
          <w:rFonts w:ascii="Times New Roman" w:eastAsia="Calibri" w:hAnsi="Times New Roman" w:cs="Times New Roman"/>
        </w:rPr>
        <w:t>GaBi</w:t>
      </w:r>
      <w:r w:rsidR="001B28E5" w:rsidRPr="00095771">
        <w:rPr>
          <w:rFonts w:ascii="Times New Roman" w:eastAsia="Calibri" w:hAnsi="Times New Roman" w:cs="Times New Roman"/>
        </w:rPr>
        <w:t>.</w:t>
      </w:r>
    </w:p>
    <w:p w:rsidR="006A62D1" w:rsidRPr="005B3139" w:rsidRDefault="006A62D1" w:rsidP="006A62D1">
      <w:pPr>
        <w:spacing w:line="360" w:lineRule="auto"/>
        <w:jc w:val="both"/>
        <w:rPr>
          <w:rFonts w:ascii="Times New Roman" w:eastAsia="Calibri" w:hAnsi="Times New Roman" w:cs="Times New Roman"/>
        </w:rPr>
      </w:pPr>
    </w:p>
    <w:p w:rsidR="006A62D1" w:rsidRDefault="006A62D1" w:rsidP="006A62D1">
      <w:pPr>
        <w:spacing w:line="360" w:lineRule="auto"/>
        <w:rPr>
          <w:rFonts w:ascii="Times New Roman" w:eastAsia="Calibri" w:hAnsi="Times New Roman" w:cs="Times New Roman"/>
        </w:rPr>
        <w:sectPr w:rsidR="006A62D1">
          <w:pgSz w:w="11906" w:h="16838"/>
          <w:pgMar w:top="1440" w:right="1440" w:bottom="1440" w:left="1440" w:header="708" w:footer="708" w:gutter="0"/>
          <w:cols w:space="708"/>
          <w:docGrid w:linePitch="360"/>
        </w:sectPr>
      </w:pPr>
    </w:p>
    <w:p w:rsidR="006A62D1" w:rsidRPr="005B3139" w:rsidRDefault="000F4FAE" w:rsidP="006A62D1">
      <w:pPr>
        <w:spacing w:after="0" w:line="360" w:lineRule="auto"/>
        <w:jc w:val="both"/>
        <w:rPr>
          <w:rFonts w:ascii="Times New Roman" w:eastAsia="Calibri" w:hAnsi="Times New Roman" w:cs="Times New Roman"/>
        </w:rPr>
      </w:pPr>
      <w:r>
        <w:rPr>
          <w:noProof/>
        </w:rPr>
        <w:lastRenderedPageBreak/>
        <w:drawing>
          <wp:inline distT="0" distB="0" distL="0" distR="0">
            <wp:extent cx="8863330" cy="5078650"/>
            <wp:effectExtent l="0" t="0" r="0" b="825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srcRect l="1414" t="9548" r="18168" b="8527"/>
                    <a:stretch/>
                  </pic:blipFill>
                  <pic:spPr bwMode="auto">
                    <a:xfrm>
                      <a:off x="0" y="0"/>
                      <a:ext cx="8863330" cy="5078650"/>
                    </a:xfrm>
                    <a:prstGeom prst="rect">
                      <a:avLst/>
                    </a:prstGeom>
                    <a:ln>
                      <a:noFill/>
                    </a:ln>
                    <a:extLst>
                      <a:ext uri="{53640926-AAD7-44D8-BBD7-CCE9431645EC}">
                        <a14:shadowObscured xmlns:a14="http://schemas.microsoft.com/office/drawing/2010/main"/>
                      </a:ext>
                    </a:extLst>
                  </pic:spPr>
                </pic:pic>
              </a:graphicData>
            </a:graphic>
          </wp:inline>
        </w:drawing>
      </w:r>
    </w:p>
    <w:p w:rsidR="006A62D1" w:rsidRDefault="006A62D1" w:rsidP="006A62D1">
      <w:pPr>
        <w:rPr>
          <w:rFonts w:ascii="Times New Roman" w:eastAsia="Calibri" w:hAnsi="Times New Roman" w:cs="Times New Roman"/>
        </w:rPr>
      </w:pPr>
      <w:bookmarkStart w:id="125" w:name="_Ref468303991"/>
      <w:bookmarkStart w:id="126" w:name="_Toc495848354"/>
      <w:r w:rsidRPr="00095771">
        <w:rPr>
          <w:rFonts w:ascii="Times New Roman" w:hAnsi="Times New Roman" w:cs="Times New Roman"/>
        </w:rPr>
        <w:t xml:space="preserve">Figure </w:t>
      </w:r>
      <w:r w:rsidR="009A0ED7" w:rsidRPr="00095771">
        <w:rPr>
          <w:rFonts w:ascii="Times New Roman" w:hAnsi="Times New Roman" w:cs="Times New Roman"/>
        </w:rPr>
        <w:fldChar w:fldCharType="begin"/>
      </w:r>
      <w:r w:rsidRPr="00095771">
        <w:rPr>
          <w:rFonts w:ascii="Times New Roman" w:hAnsi="Times New Roman" w:cs="Times New Roman"/>
        </w:rPr>
        <w:instrText xml:space="preserve"> SEQ Figure \* ARABIC </w:instrText>
      </w:r>
      <w:r w:rsidR="009A0ED7" w:rsidRPr="00095771">
        <w:rPr>
          <w:rFonts w:ascii="Times New Roman" w:hAnsi="Times New Roman" w:cs="Times New Roman"/>
        </w:rPr>
        <w:fldChar w:fldCharType="separate"/>
      </w:r>
      <w:r w:rsidR="009F5483">
        <w:rPr>
          <w:rFonts w:ascii="Times New Roman" w:hAnsi="Times New Roman" w:cs="Times New Roman"/>
          <w:noProof/>
        </w:rPr>
        <w:t>21</w:t>
      </w:r>
      <w:r w:rsidR="009A0ED7" w:rsidRPr="00095771">
        <w:rPr>
          <w:rFonts w:ascii="Times New Roman" w:hAnsi="Times New Roman" w:cs="Times New Roman"/>
        </w:rPr>
        <w:fldChar w:fldCharType="end"/>
      </w:r>
      <w:bookmarkEnd w:id="125"/>
      <w:r w:rsidRPr="00095771">
        <w:rPr>
          <w:rFonts w:ascii="Times New Roman" w:hAnsi="Times New Roman" w:cs="Times New Roman"/>
        </w:rPr>
        <w:t xml:space="preserve">. </w:t>
      </w:r>
      <w:r w:rsidR="004D2D91" w:rsidRPr="00095771">
        <w:rPr>
          <w:rFonts w:ascii="Times New Roman" w:eastAsia="Calibri" w:hAnsi="Times New Roman" w:cs="Times New Roman"/>
        </w:rPr>
        <w:t>GaBi</w:t>
      </w:r>
      <w:r w:rsidRPr="00095771">
        <w:rPr>
          <w:rFonts w:ascii="Times New Roman" w:eastAsia="Calibri" w:hAnsi="Times New Roman" w:cs="Times New Roman"/>
        </w:rPr>
        <w:t xml:space="preserve"> model of average electricity for global Fe-Si production</w:t>
      </w:r>
      <w:r w:rsidR="00051771" w:rsidRPr="00095771">
        <w:rPr>
          <w:rFonts w:ascii="Times New Roman" w:eastAsia="Calibri" w:hAnsi="Times New Roman" w:cs="Times New Roman"/>
        </w:rPr>
        <w:t>.</w:t>
      </w:r>
      <w:bookmarkEnd w:id="126"/>
      <w:r w:rsidR="00051771">
        <w:rPr>
          <w:rFonts w:ascii="Times New Roman" w:eastAsia="Calibri" w:hAnsi="Times New Roman" w:cs="Times New Roman"/>
        </w:rPr>
        <w:t xml:space="preserve"> </w:t>
      </w:r>
    </w:p>
    <w:p w:rsidR="006763B8" w:rsidRDefault="006763B8" w:rsidP="006763B8"/>
    <w:p w:rsidR="006A62D1" w:rsidRDefault="006A62D1" w:rsidP="006A62D1">
      <w:pPr>
        <w:rPr>
          <w:rFonts w:ascii="Times New Roman" w:eastAsia="Calibri" w:hAnsi="Times New Roman" w:cs="Times New Roman"/>
        </w:rPr>
        <w:sectPr w:rsidR="006A62D1" w:rsidSect="00FB69D9">
          <w:footerReference w:type="default" r:id="rId81"/>
          <w:pgSz w:w="16838" w:h="11906" w:orient="landscape"/>
          <w:pgMar w:top="1440" w:right="1440" w:bottom="1440" w:left="1440" w:header="708" w:footer="708" w:gutter="0"/>
          <w:cols w:space="708"/>
          <w:titlePg/>
          <w:docGrid w:linePitch="360"/>
        </w:sectPr>
      </w:pPr>
    </w:p>
    <w:p w:rsidR="006A62D1" w:rsidRPr="00095771" w:rsidRDefault="00A6415F" w:rsidP="0061146C">
      <w:pPr>
        <w:spacing w:after="0" w:line="360" w:lineRule="auto"/>
        <w:ind w:firstLine="720"/>
        <w:jc w:val="both"/>
        <w:rPr>
          <w:rFonts w:ascii="Times New Roman" w:eastAsia="Calibri" w:hAnsi="Times New Roman" w:cs="Times New Roman"/>
        </w:rPr>
      </w:pPr>
      <w:r w:rsidRPr="00095771">
        <w:lastRenderedPageBreak/>
        <w:fldChar w:fldCharType="begin"/>
      </w:r>
      <w:r w:rsidRPr="00095771">
        <w:instrText xml:space="preserve"> REF _Ref468303991 \h  \* MERGEFORMAT </w:instrText>
      </w:r>
      <w:r w:rsidRPr="00095771">
        <w:fldChar w:fldCharType="separate"/>
      </w:r>
      <w:r w:rsidR="009F5483" w:rsidRPr="00095771">
        <w:rPr>
          <w:rFonts w:ascii="Times New Roman" w:hAnsi="Times New Roman" w:cs="Times New Roman"/>
        </w:rPr>
        <w:t xml:space="preserve">Figure </w:t>
      </w:r>
      <w:r w:rsidR="009F5483">
        <w:rPr>
          <w:rFonts w:ascii="Times New Roman" w:hAnsi="Times New Roman" w:cs="Times New Roman"/>
          <w:noProof/>
        </w:rPr>
        <w:t>21</w:t>
      </w:r>
      <w:r w:rsidRPr="00095771">
        <w:fldChar w:fldCharType="end"/>
      </w:r>
      <w:r w:rsidR="001B28E5" w:rsidRPr="00095771">
        <w:rPr>
          <w:rFonts w:ascii="Times New Roman" w:eastAsia="Calibri" w:hAnsi="Times New Roman" w:cs="Times New Roman"/>
        </w:rPr>
        <w:t xml:space="preserve"> depicts the average electricity for global Fe-Si model. The model consists of China (69.36%), Russia (13.24%) and Norway (2.77%) has the top three</w:t>
      </w:r>
      <w:r w:rsidR="0018393E" w:rsidRPr="00095771">
        <w:rPr>
          <w:rFonts w:ascii="Times New Roman" w:eastAsia="Calibri" w:hAnsi="Times New Roman" w:cs="Times New Roman"/>
        </w:rPr>
        <w:t xml:space="preserve"> leading countries that produce</w:t>
      </w:r>
      <w:r w:rsidR="001B28E5" w:rsidRPr="00095771">
        <w:rPr>
          <w:rFonts w:ascii="Times New Roman" w:eastAsia="Calibri" w:hAnsi="Times New Roman" w:cs="Times New Roman"/>
        </w:rPr>
        <w:t xml:space="preserve"> Fe-Si.</w:t>
      </w:r>
      <w:r w:rsidR="0061146C" w:rsidRPr="00095771">
        <w:rPr>
          <w:rFonts w:ascii="Times New Roman" w:eastAsia="Calibri" w:hAnsi="Times New Roman" w:cs="Times New Roman"/>
        </w:rPr>
        <w:t xml:space="preserve"> </w:t>
      </w:r>
      <w:r w:rsidR="006A62D1" w:rsidRPr="00095771">
        <w:rPr>
          <w:rFonts w:ascii="Times New Roman" w:eastAsia="Calibri" w:hAnsi="Times New Roman" w:cs="Times New Roman"/>
        </w:rPr>
        <w:t>The make-up of China’s electricity grid mix has been described in detail earlier</w:t>
      </w:r>
      <w:r w:rsidR="001B28E5" w:rsidRPr="00095771">
        <w:rPr>
          <w:rFonts w:ascii="Times New Roman" w:eastAsia="Calibri" w:hAnsi="Times New Roman" w:cs="Times New Roman"/>
        </w:rPr>
        <w:t xml:space="preserve"> in Fe-Cr</w:t>
      </w:r>
      <w:r w:rsidR="006A62D1" w:rsidRPr="00095771">
        <w:rPr>
          <w:rFonts w:ascii="Times New Roman" w:eastAsia="Calibri" w:hAnsi="Times New Roman" w:cs="Times New Roman"/>
        </w:rPr>
        <w:t xml:space="preserve"> and so the focus will be on </w:t>
      </w:r>
      <w:r w:rsidR="001B28E5" w:rsidRPr="00095771">
        <w:rPr>
          <w:rFonts w:ascii="Times New Roman" w:eastAsia="Calibri" w:hAnsi="Times New Roman" w:cs="Times New Roman"/>
        </w:rPr>
        <w:t>analysis of Russian and Norwegian electricity models</w:t>
      </w:r>
      <w:r w:rsidR="0061146C" w:rsidRPr="00095771">
        <w:rPr>
          <w:rFonts w:ascii="Times New Roman" w:eastAsia="Calibri" w:hAnsi="Times New Roman" w:cs="Times New Roman"/>
        </w:rPr>
        <w:t>. Coincidentally out of all the average electricity models, China had the largest share of global production for Fe-Si</w:t>
      </w:r>
    </w:p>
    <w:p w:rsidR="006A62D1" w:rsidRPr="00095771" w:rsidRDefault="0045283A" w:rsidP="0045283A">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Russia’s electricity grid mix was made up of seven different electricity processes. T</w:t>
      </w:r>
      <w:r w:rsidR="0061146C" w:rsidRPr="00095771">
        <w:rPr>
          <w:rFonts w:ascii="Times New Roman" w:eastAsia="Calibri" w:hAnsi="Times New Roman" w:cs="Times New Roman"/>
        </w:rPr>
        <w:t>he major source of electricity production was from natural gas which contributed roughly 50.04%.</w:t>
      </w:r>
      <w:r w:rsidRPr="00095771">
        <w:rPr>
          <w:rFonts w:ascii="Times New Roman" w:eastAsia="Calibri" w:hAnsi="Times New Roman" w:cs="Times New Roman"/>
        </w:rPr>
        <w:t xml:space="preserve"> Significant secondary contributions were also made from coal (15.28%), nuclear (16.29%) and hydro-electric (17.25%). Minor contributions came from geothermal (0.04%), oil (0.82%) and waste (0.0053%). No electricity was produced from biomass, solar and tide and thus were not included in the electricity grid mix. Furthermore, electricity from wind, was not included since </w:t>
      </w:r>
      <w:r w:rsidR="00934375" w:rsidRPr="00095771">
        <w:rPr>
          <w:rFonts w:ascii="Times New Roman" w:eastAsia="Calibri" w:hAnsi="Times New Roman" w:cs="Times New Roman"/>
        </w:rPr>
        <w:t>t</w:t>
      </w:r>
      <w:r w:rsidRPr="00095771">
        <w:rPr>
          <w:rFonts w:ascii="Times New Roman" w:eastAsia="Calibri" w:hAnsi="Times New Roman" w:cs="Times New Roman"/>
        </w:rPr>
        <w:t xml:space="preserve">he percentage value was to 4 decimal places, that even if included, its impact would have been negligible. </w:t>
      </w:r>
      <w:r w:rsidR="006A62D1" w:rsidRPr="00095771">
        <w:rPr>
          <w:rFonts w:ascii="Times New Roman" w:eastAsia="Calibri" w:hAnsi="Times New Roman" w:cs="Times New Roman"/>
        </w:rPr>
        <w:t>Since no Russian processes for electricity were available, estimates were</w:t>
      </w:r>
      <w:r w:rsidRPr="00095771">
        <w:rPr>
          <w:rFonts w:ascii="Times New Roman" w:eastAsia="Calibri" w:hAnsi="Times New Roman" w:cs="Times New Roman"/>
        </w:rPr>
        <w:t xml:space="preserve"> made utilising other countries has illustrated by </w:t>
      </w:r>
      <w:r w:rsidR="00A6415F" w:rsidRPr="00095771">
        <w:fldChar w:fldCharType="begin"/>
      </w:r>
      <w:r w:rsidR="00A6415F" w:rsidRPr="00095771">
        <w:instrText xml:space="preserve"> REF _Ref468303991 \h  \* MERGEFORMAT </w:instrText>
      </w:r>
      <w:r w:rsidR="00A6415F" w:rsidRPr="00095771">
        <w:fldChar w:fldCharType="separate"/>
      </w:r>
      <w:r w:rsidR="009F5483" w:rsidRPr="00095771">
        <w:rPr>
          <w:rFonts w:ascii="Times New Roman" w:hAnsi="Times New Roman" w:cs="Times New Roman"/>
        </w:rPr>
        <w:t xml:space="preserve">Figure </w:t>
      </w:r>
      <w:r w:rsidR="009F5483">
        <w:rPr>
          <w:rFonts w:ascii="Times New Roman" w:hAnsi="Times New Roman" w:cs="Times New Roman"/>
          <w:noProof/>
        </w:rPr>
        <w:t>21</w:t>
      </w:r>
      <w:r w:rsidR="00A6415F" w:rsidRPr="00095771">
        <w:fldChar w:fldCharType="end"/>
      </w:r>
      <w:r w:rsidRPr="00095771">
        <w:rPr>
          <w:rFonts w:ascii="Times New Roman" w:eastAsia="Calibri" w:hAnsi="Times New Roman" w:cs="Times New Roman"/>
        </w:rPr>
        <w:t>.</w:t>
      </w:r>
    </w:p>
    <w:p w:rsidR="006A62D1" w:rsidRPr="00095771" w:rsidRDefault="00624174" w:rsidP="00624174">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With regards to Norway electricity processes for the different fuel sources did exist in </w:t>
      </w:r>
      <w:r w:rsidR="004D2D91" w:rsidRPr="00095771">
        <w:rPr>
          <w:rFonts w:ascii="Times New Roman" w:eastAsia="Calibri" w:hAnsi="Times New Roman" w:cs="Times New Roman"/>
        </w:rPr>
        <w:t>GaBi</w:t>
      </w:r>
      <w:r w:rsidRPr="00095771">
        <w:rPr>
          <w:rFonts w:ascii="Times New Roman" w:eastAsia="Calibri" w:hAnsi="Times New Roman" w:cs="Times New Roman"/>
        </w:rPr>
        <w:t xml:space="preserve"> and were used in the construction of Norway’s electricity grid mix. The grid mix consisted of seven different electricity fuel sources, with hydro-electricity contributing 96.11%. The remaining fuel sources biomass (0.16%), coal (0.10%), natural gas (1.83%), oil (0.02%), waste (0.00063%) and wind (1.41%) made very little in terms of contribution. Electricity from g</w:t>
      </w:r>
      <w:r w:rsidR="006A62D1" w:rsidRPr="00095771">
        <w:rPr>
          <w:rFonts w:ascii="Times New Roman" w:eastAsia="Calibri" w:hAnsi="Times New Roman" w:cs="Times New Roman"/>
        </w:rPr>
        <w:t>eothermal, nuclear, solar and tide were not included as they did not contribute to Norway’s electricity grid mix.</w:t>
      </w:r>
      <w:r w:rsidRPr="00095771">
        <w:rPr>
          <w:rFonts w:ascii="Times New Roman" w:eastAsia="Calibri" w:hAnsi="Times New Roman" w:cs="Times New Roman"/>
        </w:rPr>
        <w:t xml:space="preserve"> </w:t>
      </w:r>
    </w:p>
    <w:p w:rsidR="006A62D1" w:rsidRPr="005B3139" w:rsidRDefault="006A62D1" w:rsidP="00095771">
      <w:pPr>
        <w:spacing w:after="0" w:line="360" w:lineRule="auto"/>
        <w:jc w:val="both"/>
        <w:rPr>
          <w:rFonts w:ascii="Times New Roman" w:eastAsia="Calibri" w:hAnsi="Times New Roman" w:cs="Times New Roman"/>
        </w:rPr>
      </w:pPr>
    </w:p>
    <w:p w:rsidR="006A62D1" w:rsidRDefault="006A62D1" w:rsidP="006A62D1">
      <w:pPr>
        <w:spacing w:line="360" w:lineRule="auto"/>
        <w:rPr>
          <w:rFonts w:ascii="Times New Roman" w:eastAsia="Calibri" w:hAnsi="Times New Roman" w:cs="Times New Roman"/>
        </w:rPr>
        <w:sectPr w:rsidR="006A62D1">
          <w:pgSz w:w="11906" w:h="16838"/>
          <w:pgMar w:top="1440" w:right="1440" w:bottom="1440" w:left="1440" w:header="708" w:footer="708" w:gutter="0"/>
          <w:cols w:space="708"/>
          <w:docGrid w:linePitch="360"/>
        </w:sectPr>
      </w:pPr>
    </w:p>
    <w:p w:rsidR="006A62D1" w:rsidRPr="005B3139" w:rsidRDefault="000F4FAE" w:rsidP="006A62D1">
      <w:pPr>
        <w:spacing w:line="360" w:lineRule="auto"/>
        <w:rPr>
          <w:rFonts w:ascii="Times New Roman" w:eastAsia="Calibri" w:hAnsi="Times New Roman" w:cs="Times New Roman"/>
        </w:rPr>
      </w:pPr>
      <w:r>
        <w:rPr>
          <w:noProof/>
        </w:rPr>
        <w:lastRenderedPageBreak/>
        <w:drawing>
          <wp:inline distT="0" distB="0" distL="0" distR="0">
            <wp:extent cx="8863330" cy="533702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srcRect l="2543" t="10804" r="21410" b="7779"/>
                    <a:stretch/>
                  </pic:blipFill>
                  <pic:spPr bwMode="auto">
                    <a:xfrm>
                      <a:off x="0" y="0"/>
                      <a:ext cx="8863330" cy="5337020"/>
                    </a:xfrm>
                    <a:prstGeom prst="rect">
                      <a:avLst/>
                    </a:prstGeom>
                    <a:ln>
                      <a:noFill/>
                    </a:ln>
                    <a:extLst>
                      <a:ext uri="{53640926-AAD7-44D8-BBD7-CCE9431645EC}">
                        <a14:shadowObscured xmlns:a14="http://schemas.microsoft.com/office/drawing/2010/main"/>
                      </a:ext>
                    </a:extLst>
                  </pic:spPr>
                </pic:pic>
              </a:graphicData>
            </a:graphic>
          </wp:inline>
        </w:drawing>
      </w:r>
    </w:p>
    <w:p w:rsidR="006A62D1" w:rsidRPr="00051771" w:rsidRDefault="006A62D1" w:rsidP="006A62D1">
      <w:pPr>
        <w:rPr>
          <w:rFonts w:ascii="Times New Roman" w:eastAsia="Calibri" w:hAnsi="Times New Roman" w:cs="Times New Roman"/>
          <w:color w:val="FF0000"/>
        </w:rPr>
      </w:pPr>
      <w:bookmarkStart w:id="127" w:name="_Ref468304082"/>
      <w:bookmarkStart w:id="128" w:name="_Toc495848355"/>
      <w:r w:rsidRPr="00095771">
        <w:rPr>
          <w:rFonts w:ascii="Times New Roman" w:hAnsi="Times New Roman" w:cs="Times New Roman"/>
        </w:rPr>
        <w:t xml:space="preserve">Figure </w:t>
      </w:r>
      <w:r w:rsidR="009A0ED7" w:rsidRPr="00095771">
        <w:rPr>
          <w:rFonts w:ascii="Times New Roman" w:hAnsi="Times New Roman" w:cs="Times New Roman"/>
        </w:rPr>
        <w:fldChar w:fldCharType="begin"/>
      </w:r>
      <w:r w:rsidRPr="00095771">
        <w:rPr>
          <w:rFonts w:ascii="Times New Roman" w:hAnsi="Times New Roman" w:cs="Times New Roman"/>
        </w:rPr>
        <w:instrText xml:space="preserve"> SEQ Figure \* ARABIC </w:instrText>
      </w:r>
      <w:r w:rsidR="009A0ED7" w:rsidRPr="00095771">
        <w:rPr>
          <w:rFonts w:ascii="Times New Roman" w:hAnsi="Times New Roman" w:cs="Times New Roman"/>
        </w:rPr>
        <w:fldChar w:fldCharType="separate"/>
      </w:r>
      <w:r w:rsidR="009F5483">
        <w:rPr>
          <w:rFonts w:ascii="Times New Roman" w:hAnsi="Times New Roman" w:cs="Times New Roman"/>
          <w:noProof/>
        </w:rPr>
        <w:t>22</w:t>
      </w:r>
      <w:r w:rsidR="009A0ED7" w:rsidRPr="00095771">
        <w:rPr>
          <w:rFonts w:ascii="Times New Roman" w:hAnsi="Times New Roman" w:cs="Times New Roman"/>
        </w:rPr>
        <w:fldChar w:fldCharType="end"/>
      </w:r>
      <w:bookmarkEnd w:id="127"/>
      <w:r w:rsidRPr="00095771">
        <w:rPr>
          <w:rFonts w:ascii="Times New Roman" w:hAnsi="Times New Roman" w:cs="Times New Roman"/>
        </w:rPr>
        <w:t xml:space="preserve">. </w:t>
      </w:r>
      <w:r w:rsidR="004D2D91" w:rsidRPr="00095771">
        <w:rPr>
          <w:rFonts w:ascii="Times New Roman" w:eastAsia="Calibri" w:hAnsi="Times New Roman" w:cs="Times New Roman"/>
        </w:rPr>
        <w:t>GaBi</w:t>
      </w:r>
      <w:r w:rsidRPr="00095771">
        <w:rPr>
          <w:rFonts w:ascii="Times New Roman" w:eastAsia="Calibri" w:hAnsi="Times New Roman" w:cs="Times New Roman"/>
        </w:rPr>
        <w:t xml:space="preserve"> model of average electricity for global Si-Mn production.</w:t>
      </w:r>
      <w:bookmarkEnd w:id="128"/>
    </w:p>
    <w:p w:rsidR="006A62D1" w:rsidRDefault="006A62D1" w:rsidP="006A62D1">
      <w:pPr>
        <w:rPr>
          <w:rFonts w:ascii="Times New Roman" w:eastAsia="Calibri" w:hAnsi="Times New Roman" w:cs="Times New Roman"/>
        </w:rPr>
        <w:sectPr w:rsidR="006A62D1" w:rsidSect="00FB69D9">
          <w:footerReference w:type="default" r:id="rId83"/>
          <w:pgSz w:w="16838" w:h="11906" w:orient="landscape"/>
          <w:pgMar w:top="1440" w:right="1440" w:bottom="1440" w:left="1440" w:header="708" w:footer="708" w:gutter="0"/>
          <w:cols w:space="708"/>
          <w:titlePg/>
          <w:docGrid w:linePitch="360"/>
        </w:sectPr>
      </w:pPr>
    </w:p>
    <w:p w:rsidR="0018393E" w:rsidRPr="00095771" w:rsidRDefault="00A6415F" w:rsidP="005A030B">
      <w:pPr>
        <w:spacing w:after="0" w:line="360" w:lineRule="auto"/>
        <w:ind w:firstLine="720"/>
        <w:contextualSpacing/>
        <w:jc w:val="both"/>
        <w:rPr>
          <w:rFonts w:ascii="Times New Roman" w:eastAsia="Calibri" w:hAnsi="Times New Roman" w:cs="Times New Roman"/>
        </w:rPr>
      </w:pPr>
      <w:r w:rsidRPr="00095771">
        <w:lastRenderedPageBreak/>
        <w:fldChar w:fldCharType="begin"/>
      </w:r>
      <w:r w:rsidRPr="00095771">
        <w:instrText xml:space="preserve"> REF _Ref468304082 \h  \* MERGEFORMAT </w:instrText>
      </w:r>
      <w:r w:rsidRPr="00095771">
        <w:fldChar w:fldCharType="separate"/>
      </w:r>
      <w:r w:rsidR="009F5483" w:rsidRPr="00095771">
        <w:rPr>
          <w:rFonts w:ascii="Times New Roman" w:hAnsi="Times New Roman" w:cs="Times New Roman"/>
        </w:rPr>
        <w:t xml:space="preserve">Figure </w:t>
      </w:r>
      <w:r w:rsidR="009F5483">
        <w:rPr>
          <w:rFonts w:ascii="Times New Roman" w:hAnsi="Times New Roman" w:cs="Times New Roman"/>
          <w:noProof/>
        </w:rPr>
        <w:t>22</w:t>
      </w:r>
      <w:r w:rsidRPr="00095771">
        <w:fldChar w:fldCharType="end"/>
      </w:r>
      <w:r w:rsidR="0018393E" w:rsidRPr="00095771">
        <w:rPr>
          <w:rFonts w:ascii="Times New Roman" w:eastAsia="Calibri" w:hAnsi="Times New Roman" w:cs="Times New Roman"/>
        </w:rPr>
        <w:t xml:space="preserve"> depicts the average electricity for global Si-Mn model. The model consists of China (63.52%), India (11.02%) and Ukraine (5.77%) has the top three leadin</w:t>
      </w:r>
      <w:r w:rsidR="005A030B" w:rsidRPr="00095771">
        <w:rPr>
          <w:rFonts w:ascii="Times New Roman" w:eastAsia="Calibri" w:hAnsi="Times New Roman" w:cs="Times New Roman"/>
        </w:rPr>
        <w:t xml:space="preserve">g countries that produce Si-Mn. </w:t>
      </w:r>
      <w:r w:rsidR="006A62D1" w:rsidRPr="00095771">
        <w:rPr>
          <w:rFonts w:ascii="Times New Roman" w:eastAsia="Calibri" w:hAnsi="Times New Roman" w:cs="Times New Roman"/>
        </w:rPr>
        <w:t xml:space="preserve">The make-up of China’s and India’s electricity grid mixes have been described </w:t>
      </w:r>
      <w:r w:rsidR="0018393E" w:rsidRPr="00095771">
        <w:rPr>
          <w:rFonts w:ascii="Times New Roman" w:eastAsia="Calibri" w:hAnsi="Times New Roman" w:cs="Times New Roman"/>
        </w:rPr>
        <w:t>previously</w:t>
      </w:r>
      <w:r w:rsidR="00E774A3" w:rsidRPr="00095771">
        <w:rPr>
          <w:rFonts w:ascii="Times New Roman" w:eastAsia="Calibri" w:hAnsi="Times New Roman" w:cs="Times New Roman"/>
        </w:rPr>
        <w:t xml:space="preserve"> and </w:t>
      </w:r>
      <w:r w:rsidR="006A62D1" w:rsidRPr="00095771">
        <w:rPr>
          <w:rFonts w:ascii="Times New Roman" w:eastAsia="Calibri" w:hAnsi="Times New Roman" w:cs="Times New Roman"/>
        </w:rPr>
        <w:t>will not be discussed here. Instead the focus will be on</w:t>
      </w:r>
      <w:r w:rsidR="0018393E" w:rsidRPr="00095771">
        <w:rPr>
          <w:rFonts w:ascii="Times New Roman" w:eastAsia="Calibri" w:hAnsi="Times New Roman" w:cs="Times New Roman"/>
        </w:rPr>
        <w:t xml:space="preserve"> Ukraine.</w:t>
      </w:r>
    </w:p>
    <w:p w:rsidR="00844B6F" w:rsidRPr="00095771" w:rsidRDefault="0018393E" w:rsidP="00844B6F">
      <w:pPr>
        <w:spacing w:after="0" w:line="360" w:lineRule="auto"/>
        <w:ind w:firstLine="720"/>
        <w:contextualSpacing/>
        <w:jc w:val="both"/>
        <w:rPr>
          <w:rFonts w:ascii="Times New Roman" w:eastAsia="Calibri" w:hAnsi="Times New Roman" w:cs="Times New Roman"/>
        </w:rPr>
      </w:pPr>
      <w:r w:rsidRPr="00095771">
        <w:rPr>
          <w:rFonts w:ascii="Times New Roman" w:eastAsia="Calibri" w:hAnsi="Times New Roman" w:cs="Times New Roman"/>
        </w:rPr>
        <w:t xml:space="preserve">Ukraine’s electricity grid mix </w:t>
      </w:r>
      <w:r w:rsidR="006A62D1" w:rsidRPr="00095771">
        <w:rPr>
          <w:rFonts w:ascii="Times New Roman" w:eastAsia="Calibri" w:hAnsi="Times New Roman" w:cs="Times New Roman"/>
        </w:rPr>
        <w:t>is heavily based on electricity from nuclear (42.81%) followed closely by electricity from coal (41.68%). Although Ukraine’s electricity breakdown is composed of eight different fuel sources, excluding nuclear</w:t>
      </w:r>
      <w:r w:rsidRPr="00095771">
        <w:rPr>
          <w:rFonts w:ascii="Times New Roman" w:eastAsia="Calibri" w:hAnsi="Times New Roman" w:cs="Times New Roman"/>
        </w:rPr>
        <w:t xml:space="preserve"> and coal, their contribution are</w:t>
      </w:r>
      <w:r w:rsidR="006A62D1" w:rsidRPr="00095771">
        <w:rPr>
          <w:rFonts w:ascii="Times New Roman" w:eastAsia="Calibri" w:hAnsi="Times New Roman" w:cs="Times New Roman"/>
        </w:rPr>
        <w:t xml:space="preserve"> small. For example, non-renewables make up some of Ukraine’s electricity grid mix through, biomass, hydro-electricity, solar and wind, but </w:t>
      </w:r>
      <w:r w:rsidRPr="00095771">
        <w:rPr>
          <w:rFonts w:ascii="Times New Roman" w:eastAsia="Calibri" w:hAnsi="Times New Roman" w:cs="Times New Roman"/>
        </w:rPr>
        <w:t>their contributions only amount</w:t>
      </w:r>
      <w:r w:rsidR="006A62D1" w:rsidRPr="00095771">
        <w:rPr>
          <w:rFonts w:ascii="Times New Roman" w:eastAsia="Calibri" w:hAnsi="Times New Roman" w:cs="Times New Roman"/>
        </w:rPr>
        <w:t xml:space="preserve"> to 8</w:t>
      </w:r>
      <w:r w:rsidRPr="00095771">
        <w:rPr>
          <w:rFonts w:ascii="Times New Roman" w:eastAsia="Calibri" w:hAnsi="Times New Roman" w:cs="Times New Roman"/>
        </w:rPr>
        <w:t xml:space="preserve">.12% of overall electricity. Electricity from geothermal, </w:t>
      </w:r>
      <w:r w:rsidR="006A62D1" w:rsidRPr="00095771">
        <w:rPr>
          <w:rFonts w:ascii="Times New Roman" w:eastAsia="Calibri" w:hAnsi="Times New Roman" w:cs="Times New Roman"/>
        </w:rPr>
        <w:t>tide</w:t>
      </w:r>
      <w:r w:rsidRPr="00095771">
        <w:rPr>
          <w:rFonts w:ascii="Times New Roman" w:eastAsia="Calibri" w:hAnsi="Times New Roman" w:cs="Times New Roman"/>
        </w:rPr>
        <w:t xml:space="preserve"> and waste were not included as they did</w:t>
      </w:r>
      <w:r w:rsidR="006A62D1" w:rsidRPr="00095771">
        <w:rPr>
          <w:rFonts w:ascii="Times New Roman" w:eastAsia="Calibri" w:hAnsi="Times New Roman" w:cs="Times New Roman"/>
        </w:rPr>
        <w:t xml:space="preserve"> not contribute to Ukraine’s electricity grid mix.</w:t>
      </w:r>
      <w:r w:rsidR="0036568A" w:rsidRPr="00095771">
        <w:rPr>
          <w:rFonts w:ascii="Times New Roman" w:eastAsia="Calibri" w:hAnsi="Times New Roman" w:cs="Times New Roman"/>
        </w:rPr>
        <w:t xml:space="preserve"> </w:t>
      </w:r>
    </w:p>
    <w:p w:rsidR="006A62D1" w:rsidRPr="00095771" w:rsidRDefault="0036568A" w:rsidP="00844B6F">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With an in-depth </w:t>
      </w:r>
      <w:r w:rsidR="005A030B" w:rsidRPr="00095771">
        <w:rPr>
          <w:rFonts w:ascii="Times New Roman" w:eastAsia="Calibri" w:hAnsi="Times New Roman" w:cs="Times New Roman"/>
        </w:rPr>
        <w:t>description provided about the five</w:t>
      </w:r>
      <w:r w:rsidRPr="00095771">
        <w:rPr>
          <w:rFonts w:ascii="Times New Roman" w:eastAsia="Calibri" w:hAnsi="Times New Roman" w:cs="Times New Roman"/>
        </w:rPr>
        <w:t xml:space="preserve"> average electricity models based o</w:t>
      </w:r>
      <w:r w:rsidR="00844B6F" w:rsidRPr="00095771">
        <w:rPr>
          <w:rFonts w:ascii="Times New Roman" w:eastAsia="Calibri" w:hAnsi="Times New Roman" w:cs="Times New Roman"/>
        </w:rPr>
        <w:t xml:space="preserve">n global ferro-alloy production. The ferro-alloys were </w:t>
      </w:r>
      <w:r w:rsidR="005A030B" w:rsidRPr="00095771">
        <w:rPr>
          <w:rFonts w:ascii="Times New Roman" w:eastAsia="Calibri" w:hAnsi="Times New Roman" w:cs="Times New Roman"/>
        </w:rPr>
        <w:t>critically evaluated</w:t>
      </w:r>
      <w:r w:rsidRPr="00095771">
        <w:rPr>
          <w:rFonts w:ascii="Times New Roman" w:eastAsia="Calibri" w:hAnsi="Times New Roman" w:cs="Times New Roman"/>
        </w:rPr>
        <w:t xml:space="preserve"> by determining the</w:t>
      </w:r>
      <w:r w:rsidR="006763B8" w:rsidRPr="00095771">
        <w:rPr>
          <w:rFonts w:ascii="Times New Roman" w:eastAsia="Calibri" w:hAnsi="Times New Roman" w:cs="Times New Roman"/>
        </w:rPr>
        <w:t xml:space="preserve"> individual</w:t>
      </w:r>
      <w:r w:rsidRPr="00095771">
        <w:rPr>
          <w:rFonts w:ascii="Times New Roman" w:eastAsia="Calibri" w:hAnsi="Times New Roman" w:cs="Times New Roman"/>
        </w:rPr>
        <w:t xml:space="preserve"> GWP</w:t>
      </w:r>
      <w:r w:rsidR="000C260F" w:rsidRPr="00095771">
        <w:rPr>
          <w:rFonts w:ascii="Times New Roman" w:eastAsia="Calibri" w:hAnsi="Times New Roman" w:cs="Times New Roman"/>
        </w:rPr>
        <w:t xml:space="preserve"> values</w:t>
      </w:r>
      <w:r w:rsidRPr="00095771">
        <w:rPr>
          <w:rFonts w:ascii="Times New Roman" w:eastAsia="Calibri" w:hAnsi="Times New Roman" w:cs="Times New Roman"/>
        </w:rPr>
        <w:t xml:space="preserve"> </w:t>
      </w:r>
      <w:r w:rsidR="006A62D1" w:rsidRPr="00095771">
        <w:rPr>
          <w:rFonts w:ascii="Times New Roman" w:eastAsia="Calibri" w:hAnsi="Times New Roman" w:cs="Times New Roman"/>
        </w:rPr>
        <w:t xml:space="preserve">for each </w:t>
      </w:r>
      <w:r w:rsidRPr="00095771">
        <w:rPr>
          <w:rFonts w:ascii="Times New Roman" w:eastAsia="Calibri" w:hAnsi="Times New Roman" w:cs="Times New Roman"/>
        </w:rPr>
        <w:t>of the</w:t>
      </w:r>
      <w:r w:rsidR="00844B6F" w:rsidRPr="00095771">
        <w:rPr>
          <w:rFonts w:ascii="Times New Roman" w:eastAsia="Calibri" w:hAnsi="Times New Roman" w:cs="Times New Roman"/>
        </w:rPr>
        <w:t xml:space="preserve"> </w:t>
      </w:r>
      <w:r w:rsidR="005A030B" w:rsidRPr="00095771">
        <w:rPr>
          <w:rFonts w:ascii="Times New Roman" w:eastAsia="Calibri" w:hAnsi="Times New Roman" w:cs="Times New Roman"/>
        </w:rPr>
        <w:t>ferro-</w:t>
      </w:r>
      <w:r w:rsidR="00844B6F" w:rsidRPr="00095771">
        <w:rPr>
          <w:rFonts w:ascii="Times New Roman" w:eastAsia="Calibri" w:hAnsi="Times New Roman" w:cs="Times New Roman"/>
        </w:rPr>
        <w:t>alloy</w:t>
      </w:r>
      <w:r w:rsidR="005A030B" w:rsidRPr="00095771">
        <w:rPr>
          <w:rFonts w:ascii="Times New Roman" w:eastAsia="Calibri" w:hAnsi="Times New Roman" w:cs="Times New Roman"/>
        </w:rPr>
        <w:t>s</w:t>
      </w:r>
      <w:r w:rsidR="00844B6F" w:rsidRPr="00095771">
        <w:rPr>
          <w:rFonts w:ascii="Times New Roman" w:eastAsia="Calibri" w:hAnsi="Times New Roman" w:cs="Times New Roman"/>
        </w:rPr>
        <w:t xml:space="preserve"> as </w:t>
      </w:r>
      <w:r w:rsidRPr="00095771">
        <w:rPr>
          <w:rFonts w:ascii="Times New Roman" w:eastAsia="Calibri" w:hAnsi="Times New Roman" w:cs="Times New Roman"/>
        </w:rPr>
        <w:t xml:space="preserve">shown by </w:t>
      </w:r>
      <w:r w:rsidR="00A6415F" w:rsidRPr="00095771">
        <w:fldChar w:fldCharType="begin"/>
      </w:r>
      <w:r w:rsidR="00A6415F" w:rsidRPr="00095771">
        <w:instrText xml:space="preserve"> REF _Ref468304145 \h  \* MERGEFORMAT </w:instrText>
      </w:r>
      <w:r w:rsidR="00A6415F" w:rsidRPr="00095771">
        <w:fldChar w:fldCharType="separate"/>
      </w:r>
      <w:r w:rsidR="009F5483" w:rsidRPr="00095771">
        <w:rPr>
          <w:rFonts w:ascii="Times New Roman" w:hAnsi="Times New Roman" w:cs="Times New Roman"/>
        </w:rPr>
        <w:t xml:space="preserve">Figure </w:t>
      </w:r>
      <w:r w:rsidR="009F5483">
        <w:rPr>
          <w:rFonts w:ascii="Times New Roman" w:hAnsi="Times New Roman" w:cs="Times New Roman"/>
          <w:noProof/>
        </w:rPr>
        <w:t>23</w:t>
      </w:r>
      <w:r w:rsidR="00A6415F" w:rsidRPr="00095771">
        <w:fldChar w:fldCharType="end"/>
      </w:r>
      <w:r w:rsidRPr="00095771">
        <w:rPr>
          <w:rFonts w:ascii="Times New Roman" w:eastAsia="Calibri" w:hAnsi="Times New Roman" w:cs="Times New Roman"/>
        </w:rPr>
        <w:t>.</w:t>
      </w:r>
    </w:p>
    <w:p w:rsidR="006A62D1" w:rsidRPr="00095771" w:rsidRDefault="006A62D1" w:rsidP="00774856">
      <w:pPr>
        <w:keepNext/>
        <w:spacing w:line="360" w:lineRule="auto"/>
        <w:jc w:val="center"/>
        <w:rPr>
          <w:rFonts w:ascii="Times New Roman" w:eastAsia="Calibri" w:hAnsi="Times New Roman" w:cs="Times New Roman"/>
        </w:rPr>
      </w:pPr>
      <w:r w:rsidRPr="00095771">
        <w:rPr>
          <w:noProof/>
        </w:rPr>
        <w:drawing>
          <wp:inline distT="0" distB="0" distL="0" distR="0">
            <wp:extent cx="5207000" cy="3048000"/>
            <wp:effectExtent l="0" t="0" r="12700" b="0"/>
            <wp:docPr id="36"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6A62D1" w:rsidRPr="00095771" w:rsidRDefault="006A62D1" w:rsidP="006A62D1">
      <w:pPr>
        <w:rPr>
          <w:rFonts w:ascii="Times New Roman" w:eastAsia="Calibri" w:hAnsi="Times New Roman" w:cs="Times New Roman"/>
        </w:rPr>
      </w:pPr>
      <w:bookmarkStart w:id="129" w:name="_Ref468304145"/>
      <w:bookmarkStart w:id="130" w:name="_Toc495848356"/>
      <w:r w:rsidRPr="00095771">
        <w:rPr>
          <w:rFonts w:ascii="Times New Roman" w:hAnsi="Times New Roman" w:cs="Times New Roman"/>
        </w:rPr>
        <w:t xml:space="preserve">Figure </w:t>
      </w:r>
      <w:r w:rsidR="009A0ED7" w:rsidRPr="00095771">
        <w:rPr>
          <w:rFonts w:ascii="Times New Roman" w:hAnsi="Times New Roman" w:cs="Times New Roman"/>
        </w:rPr>
        <w:fldChar w:fldCharType="begin"/>
      </w:r>
      <w:r w:rsidRPr="00095771">
        <w:rPr>
          <w:rFonts w:ascii="Times New Roman" w:hAnsi="Times New Roman" w:cs="Times New Roman"/>
        </w:rPr>
        <w:instrText xml:space="preserve"> SEQ Figure \* ARABIC </w:instrText>
      </w:r>
      <w:r w:rsidR="009A0ED7" w:rsidRPr="00095771">
        <w:rPr>
          <w:rFonts w:ascii="Times New Roman" w:hAnsi="Times New Roman" w:cs="Times New Roman"/>
        </w:rPr>
        <w:fldChar w:fldCharType="separate"/>
      </w:r>
      <w:r w:rsidR="009F5483">
        <w:rPr>
          <w:rFonts w:ascii="Times New Roman" w:hAnsi="Times New Roman" w:cs="Times New Roman"/>
          <w:noProof/>
        </w:rPr>
        <w:t>23</w:t>
      </w:r>
      <w:r w:rsidR="009A0ED7" w:rsidRPr="00095771">
        <w:rPr>
          <w:rFonts w:ascii="Times New Roman" w:hAnsi="Times New Roman" w:cs="Times New Roman"/>
        </w:rPr>
        <w:fldChar w:fldCharType="end"/>
      </w:r>
      <w:bookmarkEnd w:id="129"/>
      <w:r w:rsidRPr="00095771">
        <w:rPr>
          <w:rFonts w:ascii="Times New Roman" w:hAnsi="Times New Roman" w:cs="Times New Roman"/>
        </w:rPr>
        <w:t xml:space="preserve">. </w:t>
      </w:r>
      <w:r w:rsidRPr="00095771">
        <w:rPr>
          <w:rFonts w:ascii="Times New Roman" w:eastAsia="Calibri" w:hAnsi="Times New Roman" w:cs="Times New Roman"/>
        </w:rPr>
        <w:t>GWP values</w:t>
      </w:r>
      <w:r w:rsidR="00492164" w:rsidRPr="00095771">
        <w:rPr>
          <w:rFonts w:ascii="Times New Roman" w:eastAsia="Calibri" w:hAnsi="Times New Roman" w:cs="Times New Roman"/>
        </w:rPr>
        <w:t xml:space="preserve"> across all five ferro-alloys</w:t>
      </w:r>
      <w:r w:rsidR="00927F59" w:rsidRPr="00095771">
        <w:rPr>
          <w:rFonts w:ascii="Times New Roman" w:eastAsia="Calibri" w:hAnsi="Times New Roman" w:cs="Times New Roman"/>
        </w:rPr>
        <w:t xml:space="preserve"> comprising of the average electricity grid mixes.</w:t>
      </w:r>
      <w:bookmarkEnd w:id="130"/>
    </w:p>
    <w:p w:rsidR="006A62D1" w:rsidRPr="00095771" w:rsidRDefault="00A6415F" w:rsidP="00844B6F">
      <w:pPr>
        <w:spacing w:after="0" w:line="360" w:lineRule="auto"/>
        <w:ind w:firstLine="720"/>
        <w:jc w:val="both"/>
        <w:rPr>
          <w:rFonts w:ascii="Times New Roman" w:eastAsia="Calibri" w:hAnsi="Times New Roman" w:cs="Times New Roman"/>
        </w:rPr>
      </w:pPr>
      <w:r w:rsidRPr="00095771">
        <w:fldChar w:fldCharType="begin"/>
      </w:r>
      <w:r w:rsidRPr="00095771">
        <w:instrText xml:space="preserve"> REF _Ref468304145 \h  \* MERGEFORMAT </w:instrText>
      </w:r>
      <w:r w:rsidRPr="00095771">
        <w:fldChar w:fldCharType="separate"/>
      </w:r>
      <w:r w:rsidR="009F5483" w:rsidRPr="009F5483">
        <w:rPr>
          <w:rStyle w:val="FiguresChar"/>
          <w:color w:val="auto"/>
        </w:rPr>
        <w:t>Figure 23</w:t>
      </w:r>
      <w:r w:rsidRPr="00095771">
        <w:fldChar w:fldCharType="end"/>
      </w:r>
      <w:r w:rsidR="0099414E" w:rsidRPr="00095771">
        <w:rPr>
          <w:rFonts w:ascii="Times New Roman" w:eastAsia="Calibri" w:hAnsi="Times New Roman" w:cs="Times New Roman"/>
        </w:rPr>
        <w:t xml:space="preserve"> </w:t>
      </w:r>
      <w:r w:rsidR="006A62D1" w:rsidRPr="00095771">
        <w:rPr>
          <w:rFonts w:ascii="Times New Roman" w:eastAsia="Calibri" w:hAnsi="Times New Roman" w:cs="Times New Roman"/>
        </w:rPr>
        <w:t>reveals from highest to lowest</w:t>
      </w:r>
      <w:r w:rsidR="00844B6F" w:rsidRPr="00095771">
        <w:rPr>
          <w:rFonts w:ascii="Times New Roman" w:eastAsia="Calibri" w:hAnsi="Times New Roman" w:cs="Times New Roman"/>
        </w:rPr>
        <w:t xml:space="preserve"> the following GWP results;</w:t>
      </w:r>
      <w:r w:rsidR="006A62D1" w:rsidRPr="00095771">
        <w:rPr>
          <w:rFonts w:ascii="Times New Roman" w:eastAsia="Calibri" w:hAnsi="Times New Roman" w:cs="Times New Roman"/>
        </w:rPr>
        <w:t xml:space="preserve"> Fe-Cr &gt; Si-Mn &gt; Fe-Si &gt; Fe-Mn &gt; Fe-Ni.</w:t>
      </w:r>
      <w:r w:rsidR="00844B6F" w:rsidRPr="00095771">
        <w:rPr>
          <w:rFonts w:ascii="Times New Roman" w:eastAsia="Calibri" w:hAnsi="Times New Roman" w:cs="Times New Roman"/>
        </w:rPr>
        <w:t xml:space="preserve">  Fe-Cr had the largest value, with Fe-Ni the lowest. The percentage difference between the two values was roughly 34%.</w:t>
      </w:r>
      <w:r w:rsidR="00660936" w:rsidRPr="00095771">
        <w:rPr>
          <w:rFonts w:ascii="Times New Roman" w:eastAsia="Calibri" w:hAnsi="Times New Roman" w:cs="Times New Roman"/>
        </w:rPr>
        <w:t xml:space="preserve"> </w:t>
      </w:r>
      <w:r w:rsidR="00844B6F" w:rsidRPr="00095771">
        <w:rPr>
          <w:rFonts w:ascii="Times New Roman" w:eastAsia="Calibri" w:hAnsi="Times New Roman" w:cs="Times New Roman"/>
        </w:rPr>
        <w:t xml:space="preserve">In order to explain why Fe-Cr had the highest value and Fe-Ni the lowest, each ferro-alloy was broken down into its constituent countries as displayed by </w:t>
      </w:r>
      <w:r w:rsidRPr="00095771">
        <w:fldChar w:fldCharType="begin"/>
      </w:r>
      <w:r w:rsidRPr="00095771">
        <w:instrText xml:space="preserve"> REF _Ref474173762 \h  \* MERGEFORMAT </w:instrText>
      </w:r>
      <w:r w:rsidRPr="00095771">
        <w:fldChar w:fldCharType="separate"/>
      </w:r>
      <w:r w:rsidR="009F5483" w:rsidRPr="00095771">
        <w:rPr>
          <w:rFonts w:ascii="Times New Roman" w:hAnsi="Times New Roman" w:cs="Times New Roman"/>
        </w:rPr>
        <w:t xml:space="preserve">Figure </w:t>
      </w:r>
      <w:r w:rsidR="009F5483">
        <w:rPr>
          <w:rFonts w:ascii="Times New Roman" w:hAnsi="Times New Roman" w:cs="Times New Roman"/>
          <w:noProof/>
        </w:rPr>
        <w:t>24</w:t>
      </w:r>
      <w:r w:rsidRPr="00095771">
        <w:fldChar w:fldCharType="end"/>
      </w:r>
      <w:r w:rsidR="00844B6F" w:rsidRPr="00095771">
        <w:rPr>
          <w:rFonts w:ascii="Times New Roman" w:eastAsia="Calibri" w:hAnsi="Times New Roman" w:cs="Times New Roman"/>
        </w:rPr>
        <w:t>.</w:t>
      </w:r>
    </w:p>
    <w:p w:rsidR="006A62D1" w:rsidRPr="00095771" w:rsidRDefault="006A62D1" w:rsidP="00774856">
      <w:pPr>
        <w:keepNext/>
        <w:spacing w:line="360" w:lineRule="auto"/>
        <w:rPr>
          <w:rFonts w:ascii="Times New Roman" w:eastAsia="Calibri" w:hAnsi="Times New Roman" w:cs="Times New Roman"/>
        </w:rPr>
      </w:pPr>
      <w:r w:rsidRPr="00095771">
        <w:rPr>
          <w:noProof/>
        </w:rPr>
        <w:lastRenderedPageBreak/>
        <w:drawing>
          <wp:inline distT="0" distB="0" distL="0" distR="0">
            <wp:extent cx="5731510" cy="3886200"/>
            <wp:effectExtent l="0" t="0" r="2540" b="0"/>
            <wp:docPr id="3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6A62D1" w:rsidRPr="00095771" w:rsidRDefault="006A62D1" w:rsidP="006A62D1">
      <w:pPr>
        <w:rPr>
          <w:rFonts w:ascii="Times New Roman" w:eastAsia="Calibri" w:hAnsi="Times New Roman" w:cs="Times New Roman"/>
        </w:rPr>
      </w:pPr>
      <w:bookmarkStart w:id="131" w:name="_Ref474173762"/>
      <w:bookmarkStart w:id="132" w:name="_Toc495848357"/>
      <w:r w:rsidRPr="00095771">
        <w:rPr>
          <w:rFonts w:ascii="Times New Roman" w:hAnsi="Times New Roman" w:cs="Times New Roman"/>
        </w:rPr>
        <w:t xml:space="preserve">Figure </w:t>
      </w:r>
      <w:r w:rsidR="009A0ED7" w:rsidRPr="00095771">
        <w:rPr>
          <w:rFonts w:ascii="Times New Roman" w:hAnsi="Times New Roman" w:cs="Times New Roman"/>
        </w:rPr>
        <w:fldChar w:fldCharType="begin"/>
      </w:r>
      <w:r w:rsidRPr="00095771">
        <w:rPr>
          <w:rFonts w:ascii="Times New Roman" w:hAnsi="Times New Roman" w:cs="Times New Roman"/>
        </w:rPr>
        <w:instrText xml:space="preserve"> SEQ Figure \* ARABIC </w:instrText>
      </w:r>
      <w:r w:rsidR="009A0ED7" w:rsidRPr="00095771">
        <w:rPr>
          <w:rFonts w:ascii="Times New Roman" w:hAnsi="Times New Roman" w:cs="Times New Roman"/>
        </w:rPr>
        <w:fldChar w:fldCharType="separate"/>
      </w:r>
      <w:r w:rsidR="009F5483">
        <w:rPr>
          <w:rFonts w:ascii="Times New Roman" w:hAnsi="Times New Roman" w:cs="Times New Roman"/>
          <w:noProof/>
        </w:rPr>
        <w:t>24</w:t>
      </w:r>
      <w:r w:rsidR="009A0ED7" w:rsidRPr="00095771">
        <w:rPr>
          <w:rFonts w:ascii="Times New Roman" w:hAnsi="Times New Roman" w:cs="Times New Roman"/>
        </w:rPr>
        <w:fldChar w:fldCharType="end"/>
      </w:r>
      <w:bookmarkEnd w:id="131"/>
      <w:r w:rsidRPr="00095771">
        <w:rPr>
          <w:rFonts w:ascii="Times New Roman" w:hAnsi="Times New Roman" w:cs="Times New Roman"/>
        </w:rPr>
        <w:t xml:space="preserve">. </w:t>
      </w:r>
      <w:r w:rsidR="00927F59" w:rsidRPr="00095771">
        <w:rPr>
          <w:rFonts w:ascii="Times New Roman" w:eastAsia="Calibri" w:hAnsi="Times New Roman" w:cs="Times New Roman"/>
        </w:rPr>
        <w:t>Make up of top</w:t>
      </w:r>
      <w:r w:rsidRPr="00095771">
        <w:rPr>
          <w:rFonts w:ascii="Times New Roman" w:eastAsia="Calibri" w:hAnsi="Times New Roman" w:cs="Times New Roman"/>
        </w:rPr>
        <w:t xml:space="preserve"> three global producers for Fe-Cr, Fe-Mn, Fe-Ni, Fe-Si and Si-Mn.</w:t>
      </w:r>
      <w:bookmarkEnd w:id="132"/>
      <w:r w:rsidRPr="00095771">
        <w:rPr>
          <w:rFonts w:ascii="Times New Roman" w:eastAsia="Calibri" w:hAnsi="Times New Roman" w:cs="Times New Roman"/>
        </w:rPr>
        <w:t xml:space="preserve"> </w:t>
      </w:r>
    </w:p>
    <w:p w:rsidR="006763B8" w:rsidRPr="00095771" w:rsidRDefault="006A62D1" w:rsidP="006763B8">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It is distinguishable that China dominates the production of all five ferro-alloys: Fe-</w:t>
      </w:r>
      <w:r w:rsidR="000D2334" w:rsidRPr="00095771">
        <w:rPr>
          <w:rFonts w:ascii="Times New Roman" w:eastAsia="Calibri" w:hAnsi="Times New Roman" w:cs="Times New Roman"/>
        </w:rPr>
        <w:t>Cr (35%), Fe-Mn (49%), Fe-Ni (52%), Fe-Si (69%) and Si-Mn (6</w:t>
      </w:r>
      <w:r w:rsidRPr="00095771">
        <w:rPr>
          <w:rFonts w:ascii="Times New Roman" w:eastAsia="Calibri" w:hAnsi="Times New Roman" w:cs="Times New Roman"/>
        </w:rPr>
        <w:t>4%). From current global trends and literature into fuel sources</w:t>
      </w:r>
      <w:r w:rsidR="000D2334" w:rsidRPr="00095771">
        <w:rPr>
          <w:rFonts w:ascii="Times New Roman" w:eastAsia="Calibri" w:hAnsi="Times New Roman" w:cs="Times New Roman"/>
        </w:rPr>
        <w:t>,</w:t>
      </w:r>
      <w:r w:rsidRPr="00095771">
        <w:rPr>
          <w:rFonts w:ascii="Times New Roman" w:eastAsia="Calibri" w:hAnsi="Times New Roman" w:cs="Times New Roman"/>
        </w:rPr>
        <w:t xml:space="preserve"> it would be expected that the country with th</w:t>
      </w:r>
      <w:r w:rsidR="000D2334" w:rsidRPr="00095771">
        <w:rPr>
          <w:rFonts w:ascii="Times New Roman" w:eastAsia="Calibri" w:hAnsi="Times New Roman" w:cs="Times New Roman"/>
        </w:rPr>
        <w:t xml:space="preserve">e largest percentage make-up i.e. </w:t>
      </w:r>
      <w:r w:rsidRPr="00095771">
        <w:rPr>
          <w:rFonts w:ascii="Times New Roman" w:eastAsia="Calibri" w:hAnsi="Times New Roman" w:cs="Times New Roman"/>
        </w:rPr>
        <w:t>Chi</w:t>
      </w:r>
      <w:r w:rsidR="00660936" w:rsidRPr="00095771">
        <w:rPr>
          <w:rFonts w:ascii="Times New Roman" w:eastAsia="Calibri" w:hAnsi="Times New Roman" w:cs="Times New Roman"/>
        </w:rPr>
        <w:t>na would have the highest value i.e.</w:t>
      </w:r>
      <w:r w:rsidR="009F68DF" w:rsidRPr="00095771">
        <w:rPr>
          <w:rFonts w:ascii="Times New Roman" w:eastAsia="Calibri" w:hAnsi="Times New Roman" w:cs="Times New Roman"/>
        </w:rPr>
        <w:t xml:space="preserve"> </w:t>
      </w:r>
      <w:r w:rsidR="00660936" w:rsidRPr="00095771">
        <w:rPr>
          <w:rFonts w:ascii="Times New Roman" w:eastAsia="Calibri" w:hAnsi="Times New Roman" w:cs="Times New Roman"/>
        </w:rPr>
        <w:t>Fe-Si</w:t>
      </w:r>
      <w:r w:rsidR="009F68DF" w:rsidRPr="00095771">
        <w:rPr>
          <w:rFonts w:ascii="Times New Roman" w:eastAsia="Calibri" w:hAnsi="Times New Roman" w:cs="Times New Roman"/>
        </w:rPr>
        <w:t xml:space="preserve"> &gt; Si-Mn &gt;Fe-Ni &gt; Fe-Mn &gt; Fe-Cr, </w:t>
      </w:r>
      <w:r w:rsidR="00660936" w:rsidRPr="00095771">
        <w:rPr>
          <w:rFonts w:ascii="Times New Roman" w:eastAsia="Calibri" w:hAnsi="Times New Roman" w:cs="Times New Roman"/>
        </w:rPr>
        <w:t>but this is not the case. B</w:t>
      </w:r>
      <w:r w:rsidR="000D2334" w:rsidRPr="00095771">
        <w:rPr>
          <w:rFonts w:ascii="Times New Roman" w:eastAsia="Calibri" w:hAnsi="Times New Roman" w:cs="Times New Roman"/>
        </w:rPr>
        <w:t xml:space="preserve">reakdown of individual </w:t>
      </w:r>
      <w:r w:rsidRPr="00095771">
        <w:rPr>
          <w:rFonts w:ascii="Times New Roman" w:eastAsia="Calibri" w:hAnsi="Times New Roman" w:cs="Times New Roman"/>
        </w:rPr>
        <w:t>ferro-alloys into the constituent countries, reveals secondary and tertiary countries</w:t>
      </w:r>
      <w:r w:rsidR="00A22141" w:rsidRPr="00095771">
        <w:rPr>
          <w:rFonts w:ascii="Times New Roman" w:eastAsia="Calibri" w:hAnsi="Times New Roman" w:cs="Times New Roman"/>
        </w:rPr>
        <w:t xml:space="preserve"> to</w:t>
      </w:r>
      <w:r w:rsidRPr="00095771">
        <w:rPr>
          <w:rFonts w:ascii="Times New Roman" w:eastAsia="Calibri" w:hAnsi="Times New Roman" w:cs="Times New Roman"/>
        </w:rPr>
        <w:t xml:space="preserve"> also have a si</w:t>
      </w:r>
      <w:r w:rsidR="00FB69D9">
        <w:rPr>
          <w:rFonts w:ascii="Times New Roman" w:eastAsia="Calibri" w:hAnsi="Times New Roman" w:cs="Times New Roman"/>
        </w:rPr>
        <w:t xml:space="preserve">gnificant impact </w:t>
      </w:r>
      <w:r w:rsidR="006763B8" w:rsidRPr="00095771">
        <w:rPr>
          <w:rFonts w:ascii="Times New Roman" w:eastAsia="Calibri" w:hAnsi="Times New Roman" w:cs="Times New Roman"/>
        </w:rPr>
        <w:t xml:space="preserve">as depicted by </w:t>
      </w:r>
      <w:r w:rsidR="00A6415F" w:rsidRPr="00095771">
        <w:fldChar w:fldCharType="begin"/>
      </w:r>
      <w:r w:rsidR="00A6415F" w:rsidRPr="00095771">
        <w:instrText xml:space="preserve"> REF _Ref475374407 \h  \* MERGEFORMAT </w:instrText>
      </w:r>
      <w:r w:rsidR="00A6415F" w:rsidRPr="00095771">
        <w:fldChar w:fldCharType="separate"/>
      </w:r>
      <w:r w:rsidR="009F5483" w:rsidRPr="009F5483">
        <w:rPr>
          <w:rStyle w:val="TablesChar"/>
          <w:color w:val="auto"/>
        </w:rPr>
        <w:t>Table 24</w:t>
      </w:r>
      <w:r w:rsidR="00A6415F" w:rsidRPr="00095771">
        <w:fldChar w:fldCharType="end"/>
      </w:r>
      <w:r w:rsidR="006763B8" w:rsidRPr="00095771">
        <w:rPr>
          <w:rStyle w:val="TablesChar"/>
          <w:color w:val="auto"/>
        </w:rPr>
        <w:t>.</w:t>
      </w:r>
      <w:r w:rsidRPr="00095771">
        <w:rPr>
          <w:rFonts w:ascii="Times New Roman" w:eastAsia="Calibri" w:hAnsi="Times New Roman" w:cs="Times New Roman"/>
        </w:rPr>
        <w:t xml:space="preserve"> </w:t>
      </w:r>
    </w:p>
    <w:p w:rsidR="006763B8" w:rsidRPr="00095771" w:rsidRDefault="006763B8" w:rsidP="006763B8">
      <w:pPr>
        <w:pStyle w:val="Caption"/>
        <w:rPr>
          <w:rFonts w:ascii="Times New Roman" w:hAnsi="Times New Roman" w:cs="Times New Roman"/>
          <w:i w:val="0"/>
          <w:color w:val="auto"/>
          <w:sz w:val="22"/>
        </w:rPr>
      </w:pPr>
      <w:bookmarkStart w:id="133" w:name="_Ref475374407"/>
      <w:bookmarkStart w:id="134" w:name="_Toc474486532"/>
      <w:bookmarkStart w:id="135" w:name="_Toc495852702"/>
      <w:r w:rsidRPr="00095771">
        <w:rPr>
          <w:rFonts w:ascii="Times New Roman" w:hAnsi="Times New Roman" w:cs="Times New Roman"/>
          <w:i w:val="0"/>
          <w:color w:val="auto"/>
          <w:sz w:val="22"/>
        </w:rPr>
        <w:t xml:space="preserve">Table </w:t>
      </w:r>
      <w:r w:rsidR="009A0ED7" w:rsidRPr="00095771">
        <w:rPr>
          <w:rFonts w:ascii="Times New Roman" w:hAnsi="Times New Roman" w:cs="Times New Roman"/>
          <w:i w:val="0"/>
          <w:color w:val="auto"/>
          <w:sz w:val="22"/>
        </w:rPr>
        <w:fldChar w:fldCharType="begin"/>
      </w:r>
      <w:r w:rsidRPr="00095771">
        <w:rPr>
          <w:rFonts w:ascii="Times New Roman" w:hAnsi="Times New Roman" w:cs="Times New Roman"/>
          <w:i w:val="0"/>
          <w:color w:val="auto"/>
          <w:sz w:val="22"/>
        </w:rPr>
        <w:instrText xml:space="preserve"> SEQ Table \* ARABIC </w:instrText>
      </w:r>
      <w:r w:rsidR="009A0ED7" w:rsidRPr="00095771">
        <w:rPr>
          <w:rFonts w:ascii="Times New Roman" w:hAnsi="Times New Roman" w:cs="Times New Roman"/>
          <w:i w:val="0"/>
          <w:color w:val="auto"/>
          <w:sz w:val="22"/>
        </w:rPr>
        <w:fldChar w:fldCharType="separate"/>
      </w:r>
      <w:r w:rsidR="009F5483">
        <w:rPr>
          <w:rFonts w:ascii="Times New Roman" w:hAnsi="Times New Roman" w:cs="Times New Roman"/>
          <w:i w:val="0"/>
          <w:noProof/>
          <w:color w:val="auto"/>
          <w:sz w:val="22"/>
        </w:rPr>
        <w:t>24</w:t>
      </w:r>
      <w:r w:rsidR="009A0ED7" w:rsidRPr="00095771">
        <w:rPr>
          <w:rFonts w:ascii="Times New Roman" w:hAnsi="Times New Roman" w:cs="Times New Roman"/>
          <w:i w:val="0"/>
          <w:color w:val="auto"/>
          <w:sz w:val="22"/>
        </w:rPr>
        <w:fldChar w:fldCharType="end"/>
      </w:r>
      <w:bookmarkEnd w:id="133"/>
      <w:r w:rsidRPr="00095771">
        <w:rPr>
          <w:rFonts w:ascii="Times New Roman" w:hAnsi="Times New Roman" w:cs="Times New Roman"/>
          <w:i w:val="0"/>
          <w:color w:val="auto"/>
          <w:sz w:val="22"/>
        </w:rPr>
        <w:t>. Individual country breakdown of GWP results.</w:t>
      </w:r>
      <w:bookmarkEnd w:id="134"/>
      <w:bookmarkEnd w:id="1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6"/>
        <w:gridCol w:w="1103"/>
        <w:gridCol w:w="1260"/>
        <w:gridCol w:w="1347"/>
        <w:gridCol w:w="1260"/>
        <w:gridCol w:w="1579"/>
        <w:gridCol w:w="1261"/>
      </w:tblGrid>
      <w:tr w:rsidR="006763B8" w:rsidRPr="00095771" w:rsidTr="00774856">
        <w:trPr>
          <w:trHeight w:val="600"/>
        </w:trPr>
        <w:tc>
          <w:tcPr>
            <w:tcW w:w="620" w:type="pct"/>
            <w:shd w:val="clear" w:color="000000" w:fill="FFFFFF"/>
            <w:noWrap/>
            <w:vAlign w:val="center"/>
            <w:hideMark/>
          </w:tcPr>
          <w:p w:rsidR="006763B8" w:rsidRPr="00095771" w:rsidRDefault="006763B8" w:rsidP="00992904">
            <w:pPr>
              <w:spacing w:after="0" w:line="240" w:lineRule="auto"/>
              <w:rPr>
                <w:rFonts w:ascii="Times New Roman" w:eastAsia="Times New Roman" w:hAnsi="Times New Roman" w:cs="Times New Roman"/>
              </w:rPr>
            </w:pPr>
            <w:r w:rsidRPr="00095771">
              <w:rPr>
                <w:rFonts w:ascii="Times New Roman" w:eastAsia="Times New Roman" w:hAnsi="Times New Roman" w:cs="Times New Roman"/>
              </w:rPr>
              <w:t>Ferro-alloy</w:t>
            </w:r>
          </w:p>
        </w:tc>
        <w:tc>
          <w:tcPr>
            <w:tcW w:w="500" w:type="pct"/>
            <w:shd w:val="clear" w:color="000000" w:fill="FFFFFF"/>
            <w:noWrap/>
            <w:vAlign w:val="center"/>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Country 1</w:t>
            </w:r>
          </w:p>
        </w:tc>
        <w:tc>
          <w:tcPr>
            <w:tcW w:w="830" w:type="pct"/>
            <w:shd w:val="clear" w:color="000000" w:fill="FFFFFF"/>
            <w:noWrap/>
            <w:vAlign w:val="center"/>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 xml:space="preserve">Percentage </w:t>
            </w:r>
            <w:r w:rsidRPr="00095771">
              <w:rPr>
                <w:rFonts w:ascii="Times New Roman" w:eastAsia="Times New Roman" w:hAnsi="Times New Roman" w:cs="Times New Roman"/>
              </w:rPr>
              <w:br/>
              <w:t>(%)</w:t>
            </w:r>
          </w:p>
        </w:tc>
        <w:tc>
          <w:tcPr>
            <w:tcW w:w="620" w:type="pct"/>
            <w:shd w:val="clear" w:color="000000" w:fill="FFFFFF"/>
            <w:noWrap/>
            <w:vAlign w:val="center"/>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Country 2</w:t>
            </w:r>
          </w:p>
        </w:tc>
        <w:tc>
          <w:tcPr>
            <w:tcW w:w="830" w:type="pct"/>
            <w:shd w:val="clear" w:color="000000" w:fill="FFFFFF"/>
            <w:noWrap/>
            <w:vAlign w:val="center"/>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 xml:space="preserve">Percentage </w:t>
            </w:r>
            <w:r w:rsidRPr="00095771">
              <w:rPr>
                <w:rFonts w:ascii="Times New Roman" w:eastAsia="Times New Roman" w:hAnsi="Times New Roman" w:cs="Times New Roman"/>
              </w:rPr>
              <w:br/>
              <w:t>(%)</w:t>
            </w:r>
          </w:p>
        </w:tc>
        <w:tc>
          <w:tcPr>
            <w:tcW w:w="770" w:type="pct"/>
            <w:shd w:val="clear" w:color="000000" w:fill="FFFFFF"/>
            <w:noWrap/>
            <w:vAlign w:val="center"/>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Country 3</w:t>
            </w:r>
          </w:p>
        </w:tc>
        <w:tc>
          <w:tcPr>
            <w:tcW w:w="830" w:type="pct"/>
            <w:shd w:val="clear" w:color="000000" w:fill="FFFFFF"/>
            <w:noWrap/>
            <w:vAlign w:val="center"/>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 xml:space="preserve">Percentage </w:t>
            </w:r>
            <w:r w:rsidRPr="00095771">
              <w:rPr>
                <w:rFonts w:ascii="Times New Roman" w:eastAsia="Times New Roman" w:hAnsi="Times New Roman" w:cs="Times New Roman"/>
              </w:rPr>
              <w:br/>
              <w:t>(%)</w:t>
            </w:r>
          </w:p>
        </w:tc>
      </w:tr>
      <w:tr w:rsidR="006763B8" w:rsidRPr="00095771" w:rsidTr="00774856">
        <w:trPr>
          <w:trHeight w:val="300"/>
        </w:trPr>
        <w:tc>
          <w:tcPr>
            <w:tcW w:w="62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Fe-Cr</w:t>
            </w:r>
          </w:p>
        </w:tc>
        <w:tc>
          <w:tcPr>
            <w:tcW w:w="50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China</w:t>
            </w:r>
          </w:p>
        </w:tc>
        <w:tc>
          <w:tcPr>
            <w:tcW w:w="83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40.40</w:t>
            </w:r>
          </w:p>
        </w:tc>
        <w:tc>
          <w:tcPr>
            <w:tcW w:w="62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South Africa</w:t>
            </w:r>
          </w:p>
        </w:tc>
        <w:tc>
          <w:tcPr>
            <w:tcW w:w="83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46.70</w:t>
            </w:r>
          </w:p>
        </w:tc>
        <w:tc>
          <w:tcPr>
            <w:tcW w:w="77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Kazakhstan</w:t>
            </w:r>
          </w:p>
        </w:tc>
        <w:tc>
          <w:tcPr>
            <w:tcW w:w="83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12.70</w:t>
            </w:r>
          </w:p>
        </w:tc>
      </w:tr>
      <w:tr w:rsidR="006763B8" w:rsidRPr="00095771" w:rsidTr="00774856">
        <w:trPr>
          <w:trHeight w:val="300"/>
        </w:trPr>
        <w:tc>
          <w:tcPr>
            <w:tcW w:w="62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Fe-Mn</w:t>
            </w:r>
          </w:p>
        </w:tc>
        <w:tc>
          <w:tcPr>
            <w:tcW w:w="50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China</w:t>
            </w:r>
          </w:p>
        </w:tc>
        <w:tc>
          <w:tcPr>
            <w:tcW w:w="83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68.80</w:t>
            </w:r>
          </w:p>
        </w:tc>
        <w:tc>
          <w:tcPr>
            <w:tcW w:w="62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South Africa</w:t>
            </w:r>
          </w:p>
        </w:tc>
        <w:tc>
          <w:tcPr>
            <w:tcW w:w="83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19.30</w:t>
            </w:r>
          </w:p>
        </w:tc>
        <w:tc>
          <w:tcPr>
            <w:tcW w:w="77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India</w:t>
            </w:r>
          </w:p>
        </w:tc>
        <w:tc>
          <w:tcPr>
            <w:tcW w:w="83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11.70</w:t>
            </w:r>
          </w:p>
        </w:tc>
      </w:tr>
      <w:tr w:rsidR="006763B8" w:rsidRPr="00095771" w:rsidTr="00774856">
        <w:trPr>
          <w:trHeight w:val="300"/>
        </w:trPr>
        <w:tc>
          <w:tcPr>
            <w:tcW w:w="62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Fe-Ni</w:t>
            </w:r>
          </w:p>
        </w:tc>
        <w:tc>
          <w:tcPr>
            <w:tcW w:w="50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China</w:t>
            </w:r>
          </w:p>
        </w:tc>
        <w:tc>
          <w:tcPr>
            <w:tcW w:w="83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81.40</w:t>
            </w:r>
          </w:p>
        </w:tc>
        <w:tc>
          <w:tcPr>
            <w:tcW w:w="62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Japan</w:t>
            </w:r>
          </w:p>
        </w:tc>
        <w:tc>
          <w:tcPr>
            <w:tcW w:w="83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11.90</w:t>
            </w:r>
          </w:p>
        </w:tc>
        <w:tc>
          <w:tcPr>
            <w:tcW w:w="77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New Caledonia</w:t>
            </w:r>
          </w:p>
        </w:tc>
        <w:tc>
          <w:tcPr>
            <w:tcW w:w="83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6.40</w:t>
            </w:r>
          </w:p>
        </w:tc>
      </w:tr>
      <w:tr w:rsidR="006763B8" w:rsidRPr="00095771" w:rsidTr="00774856">
        <w:trPr>
          <w:trHeight w:val="300"/>
        </w:trPr>
        <w:tc>
          <w:tcPr>
            <w:tcW w:w="62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Fe-Si</w:t>
            </w:r>
          </w:p>
        </w:tc>
        <w:tc>
          <w:tcPr>
            <w:tcW w:w="50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China</w:t>
            </w:r>
          </w:p>
        </w:tc>
        <w:tc>
          <w:tcPr>
            <w:tcW w:w="83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92.40</w:t>
            </w:r>
          </w:p>
        </w:tc>
        <w:tc>
          <w:tcPr>
            <w:tcW w:w="62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Russia</w:t>
            </w:r>
          </w:p>
        </w:tc>
        <w:tc>
          <w:tcPr>
            <w:tcW w:w="83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7.40</w:t>
            </w:r>
          </w:p>
        </w:tc>
        <w:tc>
          <w:tcPr>
            <w:tcW w:w="77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Norway</w:t>
            </w:r>
          </w:p>
        </w:tc>
        <w:tc>
          <w:tcPr>
            <w:tcW w:w="83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0.00</w:t>
            </w:r>
          </w:p>
        </w:tc>
      </w:tr>
      <w:tr w:rsidR="006763B8" w:rsidRPr="00095771" w:rsidTr="00774856">
        <w:trPr>
          <w:trHeight w:val="300"/>
        </w:trPr>
        <w:tc>
          <w:tcPr>
            <w:tcW w:w="62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Si-Mn</w:t>
            </w:r>
          </w:p>
        </w:tc>
        <w:tc>
          <w:tcPr>
            <w:tcW w:w="50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China</w:t>
            </w:r>
          </w:p>
        </w:tc>
        <w:tc>
          <w:tcPr>
            <w:tcW w:w="83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80.30</w:t>
            </w:r>
          </w:p>
        </w:tc>
        <w:tc>
          <w:tcPr>
            <w:tcW w:w="62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India</w:t>
            </w:r>
          </w:p>
        </w:tc>
        <w:tc>
          <w:tcPr>
            <w:tcW w:w="83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16.30</w:t>
            </w:r>
          </w:p>
        </w:tc>
        <w:tc>
          <w:tcPr>
            <w:tcW w:w="77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Ukraine</w:t>
            </w:r>
          </w:p>
        </w:tc>
        <w:tc>
          <w:tcPr>
            <w:tcW w:w="830" w:type="pct"/>
            <w:shd w:val="clear" w:color="000000" w:fill="FFFFFF"/>
            <w:noWrap/>
            <w:vAlign w:val="bottom"/>
            <w:hideMark/>
          </w:tcPr>
          <w:p w:rsidR="006763B8" w:rsidRPr="00095771" w:rsidRDefault="006763B8" w:rsidP="00992904">
            <w:pPr>
              <w:spacing w:after="0" w:line="240" w:lineRule="auto"/>
              <w:jc w:val="center"/>
              <w:rPr>
                <w:rFonts w:ascii="Times New Roman" w:eastAsia="Times New Roman" w:hAnsi="Times New Roman" w:cs="Times New Roman"/>
              </w:rPr>
            </w:pPr>
            <w:r w:rsidRPr="00095771">
              <w:rPr>
                <w:rFonts w:ascii="Times New Roman" w:eastAsia="Times New Roman" w:hAnsi="Times New Roman" w:cs="Times New Roman"/>
              </w:rPr>
              <w:t>3.20</w:t>
            </w:r>
          </w:p>
        </w:tc>
      </w:tr>
    </w:tbl>
    <w:p w:rsidR="006763B8" w:rsidRPr="00095771" w:rsidRDefault="006763B8" w:rsidP="006A24CF">
      <w:pPr>
        <w:spacing w:after="0"/>
        <w:ind w:firstLine="720"/>
      </w:pPr>
    </w:p>
    <w:p w:rsidR="006A24CF" w:rsidRPr="00095771" w:rsidRDefault="00A6415F" w:rsidP="006A24CF">
      <w:pPr>
        <w:pStyle w:val="Tables"/>
        <w:spacing w:after="0"/>
        <w:ind w:firstLine="720"/>
        <w:rPr>
          <w:color w:val="auto"/>
        </w:rPr>
      </w:pPr>
      <w:r w:rsidRPr="00095771">
        <w:rPr>
          <w:color w:val="auto"/>
        </w:rPr>
        <w:fldChar w:fldCharType="begin"/>
      </w:r>
      <w:r w:rsidRPr="00095771">
        <w:rPr>
          <w:color w:val="auto"/>
        </w:rPr>
        <w:instrText xml:space="preserve"> REF _Ref475374407 \h  \* MERGEFORMAT </w:instrText>
      </w:r>
      <w:r w:rsidRPr="00095771">
        <w:rPr>
          <w:color w:val="auto"/>
        </w:rPr>
      </w:r>
      <w:r w:rsidRPr="00095771">
        <w:rPr>
          <w:color w:val="auto"/>
        </w:rPr>
        <w:fldChar w:fldCharType="separate"/>
      </w:r>
      <w:r w:rsidR="009F5483" w:rsidRPr="009F5483">
        <w:rPr>
          <w:color w:val="auto"/>
        </w:rPr>
        <w:t>Table 24</w:t>
      </w:r>
      <w:r w:rsidRPr="00095771">
        <w:rPr>
          <w:color w:val="auto"/>
        </w:rPr>
        <w:fldChar w:fldCharType="end"/>
      </w:r>
      <w:r w:rsidR="006763B8" w:rsidRPr="00095771">
        <w:rPr>
          <w:color w:val="auto"/>
        </w:rPr>
        <w:t xml:space="preserve"> reveals </w:t>
      </w:r>
      <w:r w:rsidR="006A24CF" w:rsidRPr="00095771">
        <w:rPr>
          <w:color w:val="auto"/>
        </w:rPr>
        <w:t>the percentage</w:t>
      </w:r>
      <w:r w:rsidR="000C260F" w:rsidRPr="00095771">
        <w:rPr>
          <w:color w:val="auto"/>
        </w:rPr>
        <w:t xml:space="preserve"> significant</w:t>
      </w:r>
      <w:r w:rsidR="006A24CF" w:rsidRPr="00095771">
        <w:rPr>
          <w:color w:val="auto"/>
        </w:rPr>
        <w:t xml:space="preserve"> contribution from South Africa and Kazakhstan, thus explaining why Fe-Cr had the largest GWP value. </w:t>
      </w:r>
      <w:r w:rsidR="006763B8" w:rsidRPr="00095771">
        <w:rPr>
          <w:color w:val="auto"/>
        </w:rPr>
        <w:t>Interestingly for Fe-Si, although no contribution was made from Norway, it percentage contribution from China</w:t>
      </w:r>
      <w:r w:rsidR="006A24CF" w:rsidRPr="00095771">
        <w:rPr>
          <w:color w:val="auto"/>
        </w:rPr>
        <w:t xml:space="preserve"> was</w:t>
      </w:r>
      <w:r w:rsidR="006763B8" w:rsidRPr="00095771">
        <w:rPr>
          <w:color w:val="auto"/>
        </w:rPr>
        <w:t xml:space="preserve"> greater than that of Fe-Ni, thus explaining why it had a higher GWP value than Fe-Ni. </w:t>
      </w:r>
      <w:r w:rsidR="006A24CF" w:rsidRPr="00095771">
        <w:rPr>
          <w:color w:val="auto"/>
        </w:rPr>
        <w:t xml:space="preserve">To summarise although China is a primary </w:t>
      </w:r>
      <w:r w:rsidR="006A24CF" w:rsidRPr="00095771">
        <w:rPr>
          <w:color w:val="auto"/>
        </w:rPr>
        <w:lastRenderedPageBreak/>
        <w:t>contributor to the GWP results, it is more of a combination of all three countries that dictates the total GWP value and thus the ranking of high carbon emitters to low carbon emitters in terms of ferro-alloys.</w:t>
      </w:r>
    </w:p>
    <w:p w:rsidR="006A24CF" w:rsidRPr="00095771" w:rsidRDefault="006A62D1" w:rsidP="006A24CF">
      <w:pPr>
        <w:pStyle w:val="Tables"/>
        <w:spacing w:after="0"/>
        <w:ind w:firstLine="720"/>
        <w:rPr>
          <w:color w:val="auto"/>
        </w:rPr>
      </w:pPr>
      <w:r w:rsidRPr="00095771">
        <w:rPr>
          <w:color w:val="auto"/>
        </w:rPr>
        <w:t>However the GWP value is also dependant on breakdown of electricity by source. Although China produces 35% of global Fe-Cr compared to 30% for South Africa. This percentage difference is not greater than the breakdown of fuel by source, where South Africa utilises 92% of coal to produce electricity compared to 76% for China. This explains why South Africa GWP value</w:t>
      </w:r>
      <w:r w:rsidR="000C260F" w:rsidRPr="00095771">
        <w:rPr>
          <w:color w:val="auto"/>
        </w:rPr>
        <w:t xml:space="preserve"> of (0.121kg/CO</w:t>
      </w:r>
      <w:r w:rsidR="000C260F" w:rsidRPr="00095771">
        <w:rPr>
          <w:color w:val="auto"/>
          <w:vertAlign w:val="subscript"/>
        </w:rPr>
        <w:t>2</w:t>
      </w:r>
      <w:r w:rsidR="000C260F" w:rsidRPr="00095771">
        <w:rPr>
          <w:color w:val="auto"/>
        </w:rPr>
        <w:t>-Equiv)</w:t>
      </w:r>
      <w:r w:rsidRPr="00095771">
        <w:rPr>
          <w:color w:val="auto"/>
        </w:rPr>
        <w:t xml:space="preserve"> was higher than</w:t>
      </w:r>
      <w:r w:rsidR="000C260F" w:rsidRPr="00095771">
        <w:rPr>
          <w:color w:val="auto"/>
        </w:rPr>
        <w:t xml:space="preserve"> the value of </w:t>
      </w:r>
      <w:r w:rsidRPr="00095771">
        <w:rPr>
          <w:color w:val="auto"/>
        </w:rPr>
        <w:t>China</w:t>
      </w:r>
      <w:r w:rsidR="000C260F" w:rsidRPr="00095771">
        <w:rPr>
          <w:color w:val="auto"/>
        </w:rPr>
        <w:t xml:space="preserve"> (0.115kg/CO</w:t>
      </w:r>
      <w:r w:rsidR="000C260F" w:rsidRPr="00095771">
        <w:rPr>
          <w:color w:val="auto"/>
          <w:vertAlign w:val="subscript"/>
        </w:rPr>
        <w:t>2</w:t>
      </w:r>
      <w:r w:rsidR="000C260F" w:rsidRPr="00095771">
        <w:rPr>
          <w:color w:val="auto"/>
        </w:rPr>
        <w:t>-Equiv)</w:t>
      </w:r>
      <w:r w:rsidRPr="00095771">
        <w:rPr>
          <w:color w:val="auto"/>
        </w:rPr>
        <w:t xml:space="preserve"> and resulted in a</w:t>
      </w:r>
      <w:r w:rsidR="000F4B6D" w:rsidRPr="00095771">
        <w:rPr>
          <w:color w:val="auto"/>
        </w:rPr>
        <w:t>n overall</w:t>
      </w:r>
      <w:r w:rsidRPr="00095771">
        <w:rPr>
          <w:color w:val="auto"/>
        </w:rPr>
        <w:t xml:space="preserve"> high</w:t>
      </w:r>
      <w:r w:rsidR="000C260F" w:rsidRPr="00095771">
        <w:rPr>
          <w:color w:val="auto"/>
        </w:rPr>
        <w:t>er</w:t>
      </w:r>
      <w:r w:rsidRPr="00095771">
        <w:rPr>
          <w:color w:val="auto"/>
        </w:rPr>
        <w:t xml:space="preserve"> GWP value for Fe-Cr.</w:t>
      </w:r>
      <w:r w:rsidR="000F4B6D" w:rsidRPr="00095771">
        <w:rPr>
          <w:color w:val="auto"/>
        </w:rPr>
        <w:t xml:space="preserve"> This explanation is also supported by the result from Fe-Si, where even though China contributes (69%) of the model, the other constituent countries Russia (42% coal) and Norway (96% hydroelectricity) are not fossil fuel heavy and therefore provide less CO</w:t>
      </w:r>
      <w:r w:rsidR="000F4B6D" w:rsidRPr="00095771">
        <w:rPr>
          <w:color w:val="auto"/>
          <w:vertAlign w:val="subscript"/>
        </w:rPr>
        <w:t xml:space="preserve">2 </w:t>
      </w:r>
      <w:r w:rsidR="000F4B6D" w:rsidRPr="00095771">
        <w:rPr>
          <w:color w:val="auto"/>
        </w:rPr>
        <w:t>emissions and a lower GWP value.</w:t>
      </w:r>
      <w:r w:rsidR="00A6500B" w:rsidRPr="00095771">
        <w:rPr>
          <w:color w:val="auto"/>
        </w:rPr>
        <w:t xml:space="preserve"> Even if Russia and Norway were fossil fuel heavy, their contributions to the model (13% and 3%) respectively were not substantial enough to affect GWP. </w:t>
      </w:r>
    </w:p>
    <w:p w:rsidR="00774856" w:rsidRDefault="00774856" w:rsidP="00774856">
      <w:pPr>
        <w:spacing w:after="0" w:line="360" w:lineRule="auto"/>
        <w:ind w:firstLine="720"/>
        <w:jc w:val="both"/>
        <w:rPr>
          <w:rFonts w:ascii="Times New Roman" w:eastAsia="Calibri" w:hAnsi="Times New Roman" w:cs="Times New Roman"/>
        </w:rPr>
      </w:pPr>
      <w:r w:rsidRPr="00095771">
        <w:rPr>
          <w:noProof/>
        </w:rPr>
        <w:drawing>
          <wp:anchor distT="0" distB="0" distL="114300" distR="114300" simplePos="0" relativeHeight="251678720" behindDoc="0" locked="0" layoutInCell="1" allowOverlap="1">
            <wp:simplePos x="0" y="0"/>
            <wp:positionH relativeFrom="column">
              <wp:posOffset>-38100</wp:posOffset>
            </wp:positionH>
            <wp:positionV relativeFrom="paragraph">
              <wp:posOffset>774767</wp:posOffset>
            </wp:positionV>
            <wp:extent cx="5511800" cy="2933700"/>
            <wp:effectExtent l="0" t="0" r="12700" b="0"/>
            <wp:wrapSquare wrapText="bothSides"/>
            <wp:docPr id="27" name="Chart 46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anchor>
        </w:drawing>
      </w:r>
      <w:r w:rsidR="007D3B53" w:rsidRPr="00095771">
        <w:rPr>
          <w:rFonts w:ascii="Times New Roman" w:eastAsia="Calibri" w:hAnsi="Times New Roman" w:cs="Times New Roman"/>
        </w:rPr>
        <w:t>A further analysis of the results was conducted by comparing country specific against average electricity models in terms of GWP. GWP results f</w:t>
      </w:r>
      <w:r w:rsidR="007E7D9F" w:rsidRPr="00095771">
        <w:rPr>
          <w:rFonts w:ascii="Times New Roman" w:eastAsia="Calibri" w:hAnsi="Times New Roman" w:cs="Times New Roman"/>
        </w:rPr>
        <w:t>or eight</w:t>
      </w:r>
      <w:r w:rsidR="007D3B53" w:rsidRPr="00095771">
        <w:rPr>
          <w:rFonts w:ascii="Times New Roman" w:eastAsia="Calibri" w:hAnsi="Times New Roman" w:cs="Times New Roman"/>
        </w:rPr>
        <w:t xml:space="preserve"> countries were selected and calculated for the year 2013, as illustrated by</w:t>
      </w:r>
      <w:r>
        <w:rPr>
          <w:rFonts w:ascii="Times New Roman" w:eastAsia="Calibri" w:hAnsi="Times New Roman" w:cs="Times New Roman"/>
        </w:rPr>
        <w:t xml:space="preserve"> </w:t>
      </w:r>
      <w:r>
        <w:rPr>
          <w:rFonts w:ascii="Times New Roman" w:eastAsia="Calibri" w:hAnsi="Times New Roman" w:cs="Times New Roman"/>
        </w:rPr>
        <w:fldChar w:fldCharType="begin"/>
      </w:r>
      <w:r>
        <w:rPr>
          <w:rFonts w:ascii="Times New Roman" w:eastAsia="Calibri" w:hAnsi="Times New Roman" w:cs="Times New Roman"/>
        </w:rPr>
        <w:instrText xml:space="preserve"> REF _Ref498418346 \h </w:instrText>
      </w:r>
      <w:r>
        <w:rPr>
          <w:rFonts w:ascii="Times New Roman" w:eastAsia="Calibri" w:hAnsi="Times New Roman" w:cs="Times New Roman"/>
        </w:rPr>
      </w:r>
      <w:r>
        <w:rPr>
          <w:rFonts w:ascii="Times New Roman" w:eastAsia="Calibri" w:hAnsi="Times New Roman" w:cs="Times New Roman"/>
        </w:rPr>
        <w:fldChar w:fldCharType="separate"/>
      </w:r>
      <w:r w:rsidRPr="00095771">
        <w:rPr>
          <w:rFonts w:ascii="Times New Roman" w:hAnsi="Times New Roman" w:cs="Times New Roman"/>
        </w:rPr>
        <w:t xml:space="preserve">Figure </w:t>
      </w:r>
      <w:r>
        <w:rPr>
          <w:rFonts w:ascii="Times New Roman" w:hAnsi="Times New Roman" w:cs="Times New Roman"/>
          <w:noProof/>
        </w:rPr>
        <w:t>25</w:t>
      </w:r>
      <w:r>
        <w:rPr>
          <w:rFonts w:ascii="Times New Roman" w:eastAsia="Calibri" w:hAnsi="Times New Roman" w:cs="Times New Roman"/>
        </w:rPr>
        <w:fldChar w:fldCharType="end"/>
      </w:r>
      <w:r w:rsidR="00982C7E">
        <w:rPr>
          <w:rFonts w:ascii="Times New Roman" w:eastAsia="Calibri" w:hAnsi="Times New Roman" w:cs="Times New Roman"/>
        </w:rPr>
        <w:t>.</w:t>
      </w:r>
      <w:bookmarkStart w:id="136" w:name="_Ref474175915"/>
      <w:bookmarkStart w:id="137" w:name="_Ref475367592"/>
    </w:p>
    <w:p w:rsidR="00774856" w:rsidRPr="00774856" w:rsidRDefault="00774856" w:rsidP="00774856">
      <w:pPr>
        <w:spacing w:after="0" w:line="360" w:lineRule="auto"/>
        <w:ind w:firstLine="720"/>
        <w:jc w:val="both"/>
        <w:rPr>
          <w:rFonts w:ascii="Times New Roman" w:eastAsia="Calibri" w:hAnsi="Times New Roman" w:cs="Times New Roman"/>
        </w:rPr>
      </w:pPr>
    </w:p>
    <w:p w:rsidR="00B61ABE" w:rsidRPr="00095771" w:rsidRDefault="00B61ABE" w:rsidP="00B61ABE">
      <w:pPr>
        <w:rPr>
          <w:rFonts w:ascii="Times New Roman" w:eastAsia="Calibri" w:hAnsi="Times New Roman" w:cs="Times New Roman"/>
        </w:rPr>
      </w:pPr>
      <w:bookmarkStart w:id="138" w:name="_Toc495848358"/>
      <w:bookmarkStart w:id="139" w:name="_Ref498418346"/>
      <w:r w:rsidRPr="00095771">
        <w:rPr>
          <w:rFonts w:ascii="Times New Roman" w:hAnsi="Times New Roman" w:cs="Times New Roman"/>
        </w:rPr>
        <w:t xml:space="preserve">Figure </w:t>
      </w:r>
      <w:r w:rsidR="009A0ED7" w:rsidRPr="00095771">
        <w:rPr>
          <w:rFonts w:ascii="Times New Roman" w:hAnsi="Times New Roman" w:cs="Times New Roman"/>
        </w:rPr>
        <w:fldChar w:fldCharType="begin"/>
      </w:r>
      <w:r w:rsidRPr="00095771">
        <w:rPr>
          <w:rFonts w:ascii="Times New Roman" w:hAnsi="Times New Roman" w:cs="Times New Roman"/>
        </w:rPr>
        <w:instrText xml:space="preserve"> SEQ Figure \* ARABIC </w:instrText>
      </w:r>
      <w:r w:rsidR="009A0ED7" w:rsidRPr="00095771">
        <w:rPr>
          <w:rFonts w:ascii="Times New Roman" w:hAnsi="Times New Roman" w:cs="Times New Roman"/>
        </w:rPr>
        <w:fldChar w:fldCharType="separate"/>
      </w:r>
      <w:r w:rsidR="009F5483">
        <w:rPr>
          <w:rFonts w:ascii="Times New Roman" w:hAnsi="Times New Roman" w:cs="Times New Roman"/>
          <w:noProof/>
        </w:rPr>
        <w:t>25</w:t>
      </w:r>
      <w:r w:rsidR="009A0ED7" w:rsidRPr="00095771">
        <w:rPr>
          <w:rFonts w:ascii="Times New Roman" w:hAnsi="Times New Roman" w:cs="Times New Roman"/>
        </w:rPr>
        <w:fldChar w:fldCharType="end"/>
      </w:r>
      <w:bookmarkEnd w:id="136"/>
      <w:bookmarkEnd w:id="137"/>
      <w:bookmarkEnd w:id="139"/>
      <w:r w:rsidRPr="00095771">
        <w:rPr>
          <w:rFonts w:ascii="Times New Roman" w:hAnsi="Times New Roman" w:cs="Times New Roman"/>
        </w:rPr>
        <w:t xml:space="preserve">. </w:t>
      </w:r>
      <w:r w:rsidRPr="00095771">
        <w:rPr>
          <w:rFonts w:ascii="Times New Roman" w:eastAsia="Calibri" w:hAnsi="Times New Roman" w:cs="Times New Roman"/>
        </w:rPr>
        <w:t>Country specific GWP</w:t>
      </w:r>
      <w:r w:rsidR="00927F59" w:rsidRPr="00095771">
        <w:rPr>
          <w:rFonts w:ascii="Times New Roman" w:eastAsia="Calibri" w:hAnsi="Times New Roman" w:cs="Times New Roman"/>
        </w:rPr>
        <w:t xml:space="preserve"> from GaBi</w:t>
      </w:r>
      <w:r w:rsidRPr="00095771">
        <w:rPr>
          <w:rFonts w:ascii="Times New Roman" w:eastAsia="Calibri" w:hAnsi="Times New Roman" w:cs="Times New Roman"/>
        </w:rPr>
        <w:t xml:space="preserve"> based on the functional unit 1MJ.</w:t>
      </w:r>
      <w:bookmarkEnd w:id="138"/>
      <w:r w:rsidRPr="00095771">
        <w:rPr>
          <w:rFonts w:ascii="Times New Roman" w:eastAsia="Calibri" w:hAnsi="Times New Roman" w:cs="Times New Roman"/>
        </w:rPr>
        <w:t xml:space="preserve"> </w:t>
      </w:r>
    </w:p>
    <w:p w:rsidR="001940D8" w:rsidRDefault="00ED687A" w:rsidP="001940D8">
      <w:pPr>
        <w:spacing w:after="0" w:line="360" w:lineRule="auto"/>
        <w:ind w:firstLine="720"/>
        <w:jc w:val="both"/>
        <w:rPr>
          <w:rFonts w:ascii="Times New Roman" w:eastAsia="Calibri" w:hAnsi="Times New Roman" w:cs="Times New Roman"/>
        </w:rPr>
      </w:pPr>
      <w:r w:rsidRPr="001940D8">
        <w:rPr>
          <w:rFonts w:ascii="Times New Roman" w:eastAsia="Calibri" w:hAnsi="Times New Roman" w:cs="Times New Roman"/>
        </w:rPr>
        <w:t xml:space="preserve">The selection of countries for </w:t>
      </w:r>
      <w:r w:rsidR="00774856">
        <w:rPr>
          <w:rFonts w:ascii="Times New Roman" w:hAnsi="Times New Roman" w:cs="Times New Roman"/>
        </w:rPr>
        <w:fldChar w:fldCharType="begin"/>
      </w:r>
      <w:r w:rsidR="00774856">
        <w:rPr>
          <w:rFonts w:ascii="Times New Roman" w:eastAsia="Calibri" w:hAnsi="Times New Roman" w:cs="Times New Roman"/>
        </w:rPr>
        <w:instrText xml:space="preserve"> REF _Ref498418346 \h </w:instrText>
      </w:r>
      <w:r w:rsidR="00774856">
        <w:rPr>
          <w:rFonts w:ascii="Times New Roman" w:hAnsi="Times New Roman" w:cs="Times New Roman"/>
        </w:rPr>
      </w:r>
      <w:r w:rsidR="00774856">
        <w:rPr>
          <w:rFonts w:ascii="Times New Roman" w:hAnsi="Times New Roman" w:cs="Times New Roman"/>
        </w:rPr>
        <w:fldChar w:fldCharType="separate"/>
      </w:r>
      <w:r w:rsidR="00774856" w:rsidRPr="00095771">
        <w:rPr>
          <w:rFonts w:ascii="Times New Roman" w:hAnsi="Times New Roman" w:cs="Times New Roman"/>
        </w:rPr>
        <w:t xml:space="preserve">Figure </w:t>
      </w:r>
      <w:r w:rsidR="00774856">
        <w:rPr>
          <w:rFonts w:ascii="Times New Roman" w:hAnsi="Times New Roman" w:cs="Times New Roman"/>
          <w:noProof/>
        </w:rPr>
        <w:t>25</w:t>
      </w:r>
      <w:r w:rsidR="00774856">
        <w:rPr>
          <w:rFonts w:ascii="Times New Roman" w:hAnsi="Times New Roman" w:cs="Times New Roman"/>
        </w:rPr>
        <w:fldChar w:fldCharType="end"/>
      </w:r>
      <w:r w:rsidR="001940D8" w:rsidRPr="001940D8">
        <w:rPr>
          <w:rFonts w:ascii="Times New Roman" w:eastAsia="Calibri" w:hAnsi="Times New Roman" w:cs="Times New Roman"/>
        </w:rPr>
        <w:t xml:space="preserve"> </w:t>
      </w:r>
      <w:r w:rsidRPr="001940D8">
        <w:rPr>
          <w:rFonts w:ascii="Times New Roman" w:eastAsia="Calibri" w:hAnsi="Times New Roman" w:cs="Times New Roman"/>
        </w:rPr>
        <w:t>was based on IEA statistics of key world electricity producers in 2013. Notable absentees include Canada, China, Russia</w:t>
      </w:r>
      <w:r w:rsidRPr="00095771">
        <w:rPr>
          <w:rFonts w:ascii="Times New Roman" w:eastAsia="Calibri" w:hAnsi="Times New Roman" w:cs="Times New Roman"/>
        </w:rPr>
        <w:t xml:space="preserve"> and South Korea due to their unavailability in </w:t>
      </w:r>
      <w:r w:rsidR="004D2D91" w:rsidRPr="00095771">
        <w:rPr>
          <w:rFonts w:ascii="Times New Roman" w:eastAsia="Calibri" w:hAnsi="Times New Roman" w:cs="Times New Roman"/>
        </w:rPr>
        <w:t>GaBi</w:t>
      </w:r>
      <w:r w:rsidRPr="00095771">
        <w:rPr>
          <w:rFonts w:ascii="Times New Roman" w:eastAsia="Calibri" w:hAnsi="Times New Roman" w:cs="Times New Roman"/>
        </w:rPr>
        <w:t xml:space="preserve"> database. Instead, other nations of interest namely, the UK and Australia were included for a comprehensive global review. The GWP values were obtained by utilising </w:t>
      </w:r>
      <w:r w:rsidR="004D2D91" w:rsidRPr="00095771">
        <w:rPr>
          <w:rFonts w:ascii="Times New Roman" w:eastAsia="Calibri" w:hAnsi="Times New Roman" w:cs="Times New Roman"/>
        </w:rPr>
        <w:t>GaBi</w:t>
      </w:r>
      <w:r w:rsidRPr="00095771">
        <w:rPr>
          <w:rFonts w:ascii="Times New Roman" w:eastAsia="Calibri" w:hAnsi="Times New Roman" w:cs="Times New Roman"/>
        </w:rPr>
        <w:t xml:space="preserve"> software and conducting balances based on 1MJ as the functional unit.</w:t>
      </w:r>
    </w:p>
    <w:p w:rsidR="00F413E6" w:rsidRPr="00C92BE5" w:rsidRDefault="00ED687A" w:rsidP="001940D8">
      <w:pPr>
        <w:spacing w:after="0" w:line="360" w:lineRule="auto"/>
        <w:ind w:firstLine="720"/>
        <w:jc w:val="both"/>
        <w:rPr>
          <w:rFonts w:ascii="Times New Roman" w:eastAsia="Calibri" w:hAnsi="Times New Roman" w:cs="Times New Roman"/>
        </w:rPr>
      </w:pPr>
      <w:r w:rsidRPr="001940D8">
        <w:rPr>
          <w:rFonts w:ascii="Times New Roman" w:eastAsia="Calibri" w:hAnsi="Times New Roman" w:cs="Times New Roman"/>
        </w:rPr>
        <w:t xml:space="preserve">From </w:t>
      </w:r>
      <w:r w:rsidR="00774856">
        <w:rPr>
          <w:rFonts w:ascii="Times New Roman" w:hAnsi="Times New Roman" w:cs="Times New Roman"/>
        </w:rPr>
        <w:fldChar w:fldCharType="begin"/>
      </w:r>
      <w:r w:rsidR="00774856">
        <w:rPr>
          <w:rFonts w:ascii="Times New Roman" w:eastAsia="Calibri" w:hAnsi="Times New Roman" w:cs="Times New Roman"/>
        </w:rPr>
        <w:instrText xml:space="preserve"> REF _Ref498418346 \h </w:instrText>
      </w:r>
      <w:r w:rsidR="00774856">
        <w:rPr>
          <w:rFonts w:ascii="Times New Roman" w:hAnsi="Times New Roman" w:cs="Times New Roman"/>
        </w:rPr>
      </w:r>
      <w:r w:rsidR="00774856">
        <w:rPr>
          <w:rFonts w:ascii="Times New Roman" w:hAnsi="Times New Roman" w:cs="Times New Roman"/>
        </w:rPr>
        <w:fldChar w:fldCharType="separate"/>
      </w:r>
      <w:r w:rsidR="00774856" w:rsidRPr="00095771">
        <w:rPr>
          <w:rFonts w:ascii="Times New Roman" w:hAnsi="Times New Roman" w:cs="Times New Roman"/>
        </w:rPr>
        <w:t xml:space="preserve">Figure </w:t>
      </w:r>
      <w:r w:rsidR="00774856">
        <w:rPr>
          <w:rFonts w:ascii="Times New Roman" w:hAnsi="Times New Roman" w:cs="Times New Roman"/>
          <w:noProof/>
        </w:rPr>
        <w:t>25</w:t>
      </w:r>
      <w:r w:rsidR="00774856">
        <w:rPr>
          <w:rFonts w:ascii="Times New Roman" w:hAnsi="Times New Roman" w:cs="Times New Roman"/>
        </w:rPr>
        <w:fldChar w:fldCharType="end"/>
      </w:r>
      <w:r w:rsidR="001940D8">
        <w:rPr>
          <w:rFonts w:ascii="Times New Roman" w:eastAsia="Calibri" w:hAnsi="Times New Roman" w:cs="Times New Roman"/>
        </w:rPr>
        <w:t xml:space="preserve"> </w:t>
      </w:r>
      <w:r w:rsidRPr="00095771">
        <w:rPr>
          <w:rFonts w:ascii="Times New Roman" w:eastAsia="Calibri" w:hAnsi="Times New Roman" w:cs="Times New Roman"/>
        </w:rPr>
        <w:t xml:space="preserve">India had the highest GWP value, followed by Australia in second (25% less than India) and the USA third (33% less than Australia). Both Brazil and France had quite low GWP </w:t>
      </w:r>
      <w:r w:rsidRPr="00095771">
        <w:rPr>
          <w:rFonts w:ascii="Times New Roman" w:eastAsia="Calibri" w:hAnsi="Times New Roman" w:cs="Times New Roman"/>
        </w:rPr>
        <w:lastRenderedPageBreak/>
        <w:t xml:space="preserve">values in comparison with the other countries, with France having the lowest GWP value from all countries. The discrepancy in GWP values between the countries can be explained by the breakdown of electricity by energy source for each country. </w:t>
      </w:r>
    </w:p>
    <w:p w:rsidR="00F413E6" w:rsidRPr="00095771" w:rsidRDefault="00ED687A" w:rsidP="009430C0">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The GWP value of India was expected to be high</w:t>
      </w:r>
      <w:r w:rsidR="004A6C72" w:rsidRPr="00095771">
        <w:rPr>
          <w:rFonts w:ascii="Times New Roman" w:eastAsia="Calibri" w:hAnsi="Times New Roman" w:cs="Times New Roman"/>
        </w:rPr>
        <w:t>, because within the eight countries present India had the highest contribution from hard coal.</w:t>
      </w:r>
      <w:r w:rsidR="00EF3AB5" w:rsidRPr="00095771">
        <w:rPr>
          <w:rFonts w:ascii="Times New Roman" w:eastAsia="Calibri" w:hAnsi="Times New Roman" w:cs="Times New Roman"/>
        </w:rPr>
        <w:t xml:space="preserve"> In terms of explaining why Australia had a larger GWP value than the USA, this was due to the make-up of their electricity grid mixes. From </w:t>
      </w:r>
      <w:r w:rsidR="004D2D91" w:rsidRPr="00095771">
        <w:rPr>
          <w:rFonts w:ascii="Times New Roman" w:eastAsia="Calibri" w:hAnsi="Times New Roman" w:cs="Times New Roman"/>
        </w:rPr>
        <w:t>GaBi</w:t>
      </w:r>
      <w:r w:rsidR="00EF3AB5" w:rsidRPr="00095771">
        <w:rPr>
          <w:rFonts w:ascii="Times New Roman" w:eastAsia="Calibri" w:hAnsi="Times New Roman" w:cs="Times New Roman"/>
        </w:rPr>
        <w:t xml:space="preserve"> documentation, the top three fuel sources for Australia’s elec</w:t>
      </w:r>
      <w:r w:rsidR="005A030B" w:rsidRPr="00095771">
        <w:rPr>
          <w:rFonts w:ascii="Times New Roman" w:eastAsia="Calibri" w:hAnsi="Times New Roman" w:cs="Times New Roman"/>
        </w:rPr>
        <w:t>tricity grid mix consisted of: hard coal (46.56%), lignite (21.89%) and n</w:t>
      </w:r>
      <w:r w:rsidR="00EF3AB5" w:rsidRPr="00095771">
        <w:rPr>
          <w:rFonts w:ascii="Times New Roman" w:eastAsia="Calibri" w:hAnsi="Times New Roman" w:cs="Times New Roman"/>
        </w:rPr>
        <w:t>atural gas (19.66%). Hard coal (</w:t>
      </w:r>
      <w:r w:rsidR="00F413E6" w:rsidRPr="00095771">
        <w:rPr>
          <w:rFonts w:ascii="Times New Roman" w:eastAsia="Calibri" w:hAnsi="Times New Roman" w:cs="Times New Roman"/>
        </w:rPr>
        <w:t>0.34 kgCO</w:t>
      </w:r>
      <w:r w:rsidR="00F413E6" w:rsidRPr="00095771">
        <w:rPr>
          <w:rFonts w:ascii="Times New Roman" w:eastAsia="Calibri" w:hAnsi="Times New Roman" w:cs="Times New Roman"/>
          <w:vertAlign w:val="subscript"/>
        </w:rPr>
        <w:t>2</w:t>
      </w:r>
      <w:r w:rsidR="00F413E6" w:rsidRPr="00095771">
        <w:rPr>
          <w:rFonts w:ascii="Times New Roman" w:eastAsia="Calibri" w:hAnsi="Times New Roman" w:cs="Times New Roman"/>
        </w:rPr>
        <w:t>/kWh</w:t>
      </w:r>
      <w:r w:rsidR="00EF3AB5" w:rsidRPr="00095771">
        <w:rPr>
          <w:rFonts w:ascii="Times New Roman" w:eastAsia="Calibri" w:hAnsi="Times New Roman" w:cs="Times New Roman"/>
        </w:rPr>
        <w:t>) and lignite</w:t>
      </w:r>
      <w:r w:rsidR="00F413E6" w:rsidRPr="00095771">
        <w:rPr>
          <w:rFonts w:ascii="Times New Roman" w:eastAsia="Calibri" w:hAnsi="Times New Roman" w:cs="Times New Roman"/>
        </w:rPr>
        <w:t xml:space="preserve"> (0.36 kgCO</w:t>
      </w:r>
      <w:r w:rsidR="00F413E6" w:rsidRPr="00095771">
        <w:rPr>
          <w:rFonts w:ascii="Times New Roman" w:eastAsia="Calibri" w:hAnsi="Times New Roman" w:cs="Times New Roman"/>
          <w:vertAlign w:val="subscript"/>
        </w:rPr>
        <w:t>2</w:t>
      </w:r>
      <w:r w:rsidR="00F413E6" w:rsidRPr="00095771">
        <w:rPr>
          <w:rFonts w:ascii="Times New Roman" w:eastAsia="Calibri" w:hAnsi="Times New Roman" w:cs="Times New Roman"/>
        </w:rPr>
        <w:t>/kWh)</w:t>
      </w:r>
      <w:r w:rsidR="00EF3AB5" w:rsidRPr="00095771">
        <w:rPr>
          <w:rFonts w:ascii="Times New Roman" w:eastAsia="Calibri" w:hAnsi="Times New Roman" w:cs="Times New Roman"/>
        </w:rPr>
        <w:t xml:space="preserve"> are known emit higher carbon dioxide emissions</w:t>
      </w:r>
      <w:r w:rsidR="00F413E6" w:rsidRPr="00095771">
        <w:rPr>
          <w:rFonts w:ascii="Times New Roman" w:eastAsia="Calibri" w:hAnsi="Times New Roman" w:cs="Times New Roman"/>
        </w:rPr>
        <w:t xml:space="preserve">. In contrast, lignite contributes only 2.17% of USA electricity grid mix. </w:t>
      </w:r>
      <w:r w:rsidR="00EF3AB5" w:rsidRPr="00095771">
        <w:rPr>
          <w:rFonts w:ascii="Times New Roman" w:eastAsia="Calibri" w:hAnsi="Times New Roman" w:cs="Times New Roman"/>
        </w:rPr>
        <w:t>The majority of coal burned in the USA is steaming coal, both bituminous and sub-bituminous. This would explain the significantly higher GWP values of Australia compared to the USA</w:t>
      </w:r>
      <w:r w:rsidR="00F413E6" w:rsidRPr="00095771">
        <w:rPr>
          <w:rFonts w:ascii="Times New Roman" w:eastAsia="Calibri" w:hAnsi="Times New Roman" w:cs="Times New Roman"/>
        </w:rPr>
        <w:t>.</w:t>
      </w:r>
    </w:p>
    <w:p w:rsidR="009430C0" w:rsidRPr="00095771" w:rsidRDefault="00ED687A" w:rsidP="009430C0">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France and Brazil were expected to have low GWP values due to their alternative non-fossil fuel based energy sources. The e</w:t>
      </w:r>
      <w:r w:rsidR="009430C0" w:rsidRPr="00095771">
        <w:rPr>
          <w:rFonts w:ascii="Times New Roman" w:eastAsia="Calibri" w:hAnsi="Times New Roman" w:cs="Times New Roman"/>
        </w:rPr>
        <w:t>lectricity grid mix of France was</w:t>
      </w:r>
      <w:r w:rsidRPr="00095771">
        <w:rPr>
          <w:rFonts w:ascii="Times New Roman" w:eastAsia="Calibri" w:hAnsi="Times New Roman" w:cs="Times New Roman"/>
        </w:rPr>
        <w:t xml:space="preserve"> mainly nuclear (80%). Whereas for</w:t>
      </w:r>
      <w:r w:rsidR="009430C0" w:rsidRPr="00095771">
        <w:rPr>
          <w:rFonts w:ascii="Times New Roman" w:eastAsia="Calibri" w:hAnsi="Times New Roman" w:cs="Times New Roman"/>
        </w:rPr>
        <w:t xml:space="preserve"> Brazil, hydro-power contributed</w:t>
      </w:r>
      <w:r w:rsidRPr="00095771">
        <w:rPr>
          <w:rFonts w:ascii="Times New Roman" w:eastAsia="Calibri" w:hAnsi="Times New Roman" w:cs="Times New Roman"/>
        </w:rPr>
        <w:t xml:space="preserve"> </w:t>
      </w:r>
      <w:r w:rsidR="009430C0" w:rsidRPr="00095771">
        <w:rPr>
          <w:rFonts w:ascii="Times New Roman" w:eastAsia="Calibri" w:hAnsi="Times New Roman" w:cs="Times New Roman"/>
        </w:rPr>
        <w:t>nearly</w:t>
      </w:r>
      <w:r w:rsidRPr="00095771">
        <w:rPr>
          <w:rFonts w:ascii="Times New Roman" w:eastAsia="Calibri" w:hAnsi="Times New Roman" w:cs="Times New Roman"/>
        </w:rPr>
        <w:t xml:space="preserve"> 80% of electricity. </w:t>
      </w:r>
    </w:p>
    <w:p w:rsidR="006A62D1" w:rsidRPr="00095771" w:rsidRDefault="006A62D1" w:rsidP="009430C0">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Comparing country specific to average electricity grid mix, the latter seems to provide a more representative view point as demonstrated by the Fe-Cr example. However it is recognised that this type of data is not available and thus hard to compare our results with something meaningful. The majority of the current literature focusses on country, company or product specific GWP values. However even within these groups there exists a number of variables: (type of plant, type of fuel, electricity grid mix,) thus making each study unique and conclusions more broad based.</w:t>
      </w:r>
    </w:p>
    <w:p w:rsidR="006A62D1" w:rsidRDefault="000C260F" w:rsidP="00BE5968">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To summarise, Fe-Cr had the greatest GWP value across all five ferro-alloys investigated. The explanation behind this lay not just in the contribution from China, the primary producer for all</w:t>
      </w:r>
      <w:r w:rsidR="00BE5968" w:rsidRPr="00095771">
        <w:rPr>
          <w:rFonts w:ascii="Times New Roman" w:eastAsia="Calibri" w:hAnsi="Times New Roman" w:cs="Times New Roman"/>
        </w:rPr>
        <w:t xml:space="preserve"> five fer</w:t>
      </w:r>
      <w:r w:rsidRPr="00095771">
        <w:rPr>
          <w:rFonts w:ascii="Times New Roman" w:eastAsia="Calibri" w:hAnsi="Times New Roman" w:cs="Times New Roman"/>
        </w:rPr>
        <w:t>ro-alloys, but from contributions from secondary and tertiary countries.</w:t>
      </w:r>
      <w:r w:rsidR="00BE5968" w:rsidRPr="00095771">
        <w:rPr>
          <w:rFonts w:ascii="Times New Roman" w:eastAsia="Calibri" w:hAnsi="Times New Roman" w:cs="Times New Roman"/>
        </w:rPr>
        <w:t xml:space="preserve"> In addition breakdown by fuel source would have also affected the GWP values, with fossil fuel based countries (i.e. South Africa), having a greater impact than renewables based nations (i.e. Norway). In comparison with GWP values from singular countries, the average electricity models were more representative has they included </w:t>
      </w:r>
      <w:r w:rsidR="006A62D1" w:rsidRPr="00095771">
        <w:rPr>
          <w:rFonts w:ascii="Times New Roman" w:eastAsia="Calibri" w:hAnsi="Times New Roman" w:cs="Times New Roman"/>
        </w:rPr>
        <w:t xml:space="preserve">parameters such as </w:t>
      </w:r>
      <w:r w:rsidR="00BE5968" w:rsidRPr="00095771">
        <w:rPr>
          <w:rFonts w:ascii="Times New Roman" w:eastAsia="Calibri" w:hAnsi="Times New Roman" w:cs="Times New Roman"/>
        </w:rPr>
        <w:t>share of global production, breakdown of fuel</w:t>
      </w:r>
      <w:r w:rsidR="003F2CF0" w:rsidRPr="00095771">
        <w:rPr>
          <w:rFonts w:ascii="Times New Roman" w:eastAsia="Calibri" w:hAnsi="Times New Roman" w:cs="Times New Roman"/>
        </w:rPr>
        <w:t xml:space="preserve"> source</w:t>
      </w:r>
      <w:r w:rsidR="00BE5968" w:rsidRPr="00095771">
        <w:rPr>
          <w:rFonts w:ascii="Times New Roman" w:eastAsia="Calibri" w:hAnsi="Times New Roman" w:cs="Times New Roman"/>
        </w:rPr>
        <w:t xml:space="preserve"> and </w:t>
      </w:r>
      <w:r w:rsidR="006A62D1" w:rsidRPr="00095771">
        <w:rPr>
          <w:rFonts w:ascii="Times New Roman" w:eastAsia="Calibri" w:hAnsi="Times New Roman" w:cs="Times New Roman"/>
        </w:rPr>
        <w:t>percentage of</w:t>
      </w:r>
      <w:r w:rsidR="00BE5968" w:rsidRPr="00095771">
        <w:rPr>
          <w:rFonts w:ascii="Times New Roman" w:eastAsia="Calibri" w:hAnsi="Times New Roman" w:cs="Times New Roman"/>
        </w:rPr>
        <w:t xml:space="preserve"> renewables and non-renewables.</w:t>
      </w:r>
      <w:r w:rsidR="006A62D1" w:rsidRPr="00095771">
        <w:rPr>
          <w:rFonts w:ascii="Times New Roman" w:eastAsia="Calibri" w:hAnsi="Times New Roman" w:cs="Times New Roman"/>
        </w:rPr>
        <w:t xml:space="preserve"> </w:t>
      </w:r>
    </w:p>
    <w:p w:rsidR="00095771" w:rsidRPr="00095771" w:rsidRDefault="00095771" w:rsidP="00095771">
      <w:pPr>
        <w:spacing w:after="0" w:line="360" w:lineRule="auto"/>
        <w:jc w:val="both"/>
        <w:rPr>
          <w:rFonts w:ascii="Times New Roman" w:eastAsia="Calibri" w:hAnsi="Times New Roman" w:cs="Times New Roman"/>
        </w:rPr>
      </w:pPr>
    </w:p>
    <w:p w:rsidR="00095771" w:rsidRDefault="00095771" w:rsidP="009430C0">
      <w:pPr>
        <w:spacing w:after="0" w:line="360" w:lineRule="auto"/>
        <w:ind w:firstLine="720"/>
        <w:jc w:val="both"/>
        <w:rPr>
          <w:rFonts w:ascii="Times New Roman" w:eastAsia="Calibri" w:hAnsi="Times New Roman" w:cs="Times New Roman"/>
        </w:rPr>
        <w:sectPr w:rsidR="00095771" w:rsidSect="00EC09B2">
          <w:pgSz w:w="11906" w:h="16838"/>
          <w:pgMar w:top="1440" w:right="1440" w:bottom="1440" w:left="1440" w:header="708" w:footer="708" w:gutter="0"/>
          <w:cols w:space="708"/>
          <w:docGrid w:linePitch="360"/>
        </w:sectPr>
      </w:pPr>
    </w:p>
    <w:p w:rsidR="006A62D1" w:rsidRDefault="000F272E" w:rsidP="006A62D1">
      <w:pPr>
        <w:pStyle w:val="Heading2"/>
        <w:rPr>
          <w:rFonts w:eastAsia="Calibri Light"/>
        </w:rPr>
      </w:pPr>
      <w:r>
        <w:rPr>
          <w:rFonts w:eastAsia="Calibri Light"/>
        </w:rPr>
        <w:lastRenderedPageBreak/>
        <w:t>6</w:t>
      </w:r>
      <w:r w:rsidR="00F367EB">
        <w:rPr>
          <w:rFonts w:eastAsia="Calibri Light"/>
        </w:rPr>
        <w:t xml:space="preserve">.3 </w:t>
      </w:r>
      <w:r w:rsidR="00BE5968">
        <w:rPr>
          <w:rFonts w:eastAsia="Calibri Light"/>
        </w:rPr>
        <w:t xml:space="preserve">Summary </w:t>
      </w:r>
    </w:p>
    <w:p w:rsidR="00C81D87" w:rsidRPr="00095771" w:rsidRDefault="00C81D87" w:rsidP="007972D9">
      <w:pPr>
        <w:spacing w:after="0" w:line="360" w:lineRule="auto"/>
        <w:ind w:firstLine="720"/>
        <w:jc w:val="both"/>
        <w:rPr>
          <w:rFonts w:ascii="Times New Roman" w:hAnsi="Times New Roman" w:cs="Times New Roman"/>
        </w:rPr>
      </w:pPr>
      <w:r w:rsidRPr="00095771">
        <w:rPr>
          <w:rFonts w:ascii="Times New Roman" w:hAnsi="Times New Roman" w:cs="Times New Roman"/>
        </w:rPr>
        <w:t xml:space="preserve">Generating average electricity grid mixes </w:t>
      </w:r>
      <w:r w:rsidR="00890D80" w:rsidRPr="00095771">
        <w:rPr>
          <w:rFonts w:ascii="Times New Roman" w:hAnsi="Times New Roman" w:cs="Times New Roman"/>
        </w:rPr>
        <w:t>based on global ferro-alloy production is a challenging task. Most existing</w:t>
      </w:r>
      <w:r w:rsidR="007972D9" w:rsidRPr="00095771">
        <w:rPr>
          <w:rFonts w:ascii="Times New Roman" w:hAnsi="Times New Roman" w:cs="Times New Roman"/>
        </w:rPr>
        <w:t xml:space="preserve"> studies in literature utilise</w:t>
      </w:r>
      <w:r w:rsidR="00782B22">
        <w:rPr>
          <w:rFonts w:ascii="Times New Roman" w:hAnsi="Times New Roman" w:cs="Times New Roman"/>
        </w:rPr>
        <w:t xml:space="preserve"> an electricity process </w:t>
      </w:r>
      <w:r w:rsidR="00890D80" w:rsidRPr="00095771">
        <w:rPr>
          <w:rFonts w:ascii="Times New Roman" w:hAnsi="Times New Roman" w:cs="Times New Roman"/>
        </w:rPr>
        <w:t>based on a single country. Furthermore these studies utilise electricity</w:t>
      </w:r>
      <w:r w:rsidR="00FB69D9">
        <w:rPr>
          <w:rFonts w:ascii="Times New Roman" w:hAnsi="Times New Roman" w:cs="Times New Roman"/>
        </w:rPr>
        <w:t xml:space="preserve"> </w:t>
      </w:r>
      <w:r w:rsidR="00890D80" w:rsidRPr="00095771">
        <w:rPr>
          <w:rFonts w:ascii="Times New Roman" w:hAnsi="Times New Roman" w:cs="Times New Roman"/>
        </w:rPr>
        <w:t xml:space="preserve">as a parameter variation within a study and investigate the impact of switching from fossil fuels to renewables based electricity sources. </w:t>
      </w:r>
    </w:p>
    <w:p w:rsidR="00D75A9F" w:rsidRPr="00095771" w:rsidRDefault="007972D9" w:rsidP="00D75A9F">
      <w:pPr>
        <w:spacing w:after="0" w:line="360" w:lineRule="auto"/>
        <w:ind w:firstLine="720"/>
        <w:jc w:val="both"/>
        <w:rPr>
          <w:rFonts w:ascii="Times New Roman" w:eastAsia="Calibri" w:hAnsi="Times New Roman" w:cs="Times New Roman"/>
          <w:shd w:val="clear" w:color="auto" w:fill="FFFFFF"/>
        </w:rPr>
      </w:pPr>
      <w:r w:rsidRPr="00095771">
        <w:rPr>
          <w:rFonts w:ascii="Times New Roman" w:hAnsi="Times New Roman" w:cs="Times New Roman"/>
        </w:rPr>
        <w:t>The five average electricity models, described and explained in the previous sections, were produced</w:t>
      </w:r>
      <w:r w:rsidR="0024780A" w:rsidRPr="00095771">
        <w:rPr>
          <w:rFonts w:ascii="Times New Roman" w:hAnsi="Times New Roman" w:cs="Times New Roman"/>
        </w:rPr>
        <w:t xml:space="preserve"> </w:t>
      </w:r>
      <w:r w:rsidR="009300A0" w:rsidRPr="00095771">
        <w:rPr>
          <w:rFonts w:ascii="Times New Roman" w:hAnsi="Times New Roman" w:cs="Times New Roman"/>
        </w:rPr>
        <w:t xml:space="preserve">in three stages. In stage 1, </w:t>
      </w:r>
      <w:r w:rsidR="0024780A" w:rsidRPr="00095771">
        <w:rPr>
          <w:rFonts w:ascii="Times New Roman" w:eastAsia="Calibri" w:hAnsi="Times New Roman" w:cs="Times New Roman"/>
          <w:shd w:val="clear" w:color="auto" w:fill="FFFFFF"/>
        </w:rPr>
        <w:t>electricity grid mixes to be modelled</w:t>
      </w:r>
      <w:r w:rsidR="009300A0" w:rsidRPr="00095771">
        <w:rPr>
          <w:rFonts w:ascii="Times New Roman" w:eastAsia="Calibri" w:hAnsi="Times New Roman" w:cs="Times New Roman"/>
          <w:shd w:val="clear" w:color="auto" w:fill="FFFFFF"/>
        </w:rPr>
        <w:t xml:space="preserve"> were highlighted</w:t>
      </w:r>
      <w:r w:rsidR="0024780A" w:rsidRPr="00095771">
        <w:rPr>
          <w:rFonts w:ascii="Times New Roman" w:eastAsia="Calibri" w:hAnsi="Times New Roman" w:cs="Times New Roman"/>
          <w:shd w:val="clear" w:color="auto" w:fill="FFFFFF"/>
        </w:rPr>
        <w:t xml:space="preserve"> based on global </w:t>
      </w:r>
      <w:r w:rsidR="0024780A" w:rsidRPr="00095771">
        <w:rPr>
          <w:rFonts w:ascii="Times New Roman" w:eastAsia="Calibri" w:hAnsi="Times New Roman" w:cs="Times New Roman"/>
        </w:rPr>
        <w:t xml:space="preserve">production values for 5 ferro-alloys: </w:t>
      </w:r>
      <w:r w:rsidR="0024780A" w:rsidRPr="00095771">
        <w:rPr>
          <w:rFonts w:ascii="Times New Roman" w:eastAsia="Calibri" w:hAnsi="Times New Roman" w:cs="Times New Roman"/>
          <w:shd w:val="clear" w:color="auto" w:fill="FFFFFF"/>
        </w:rPr>
        <w:t xml:space="preserve">Fe-Cr, Fe-Mn, Fe-Ni, Fe-Si and Si-Mn. For each ferro-alloy the top 3 global producing nations were identified leading to a list of 9 countries, as follows: </w:t>
      </w:r>
      <w:r w:rsidR="0024780A" w:rsidRPr="00095771">
        <w:rPr>
          <w:rFonts w:ascii="Times New Roman" w:eastAsia="Calibri" w:hAnsi="Times New Roman" w:cs="Times New Roman"/>
        </w:rPr>
        <w:t xml:space="preserve">China, India, Japan, Kazakhstan, New Caledonia, Norway, Russian Federation, South Africa and Ukraine. </w:t>
      </w:r>
      <w:r w:rsidR="009300A0" w:rsidRPr="00095771">
        <w:rPr>
          <w:rFonts w:ascii="Times New Roman" w:eastAsia="Calibri" w:hAnsi="Times New Roman" w:cs="Times New Roman"/>
          <w:shd w:val="clear" w:color="auto" w:fill="FFFFFF"/>
        </w:rPr>
        <w:t xml:space="preserve">In </w:t>
      </w:r>
      <w:r w:rsidR="0024780A" w:rsidRPr="00095771">
        <w:rPr>
          <w:rFonts w:ascii="Times New Roman" w:eastAsia="Calibri" w:hAnsi="Times New Roman" w:cs="Times New Roman"/>
          <w:shd w:val="clear" w:color="auto" w:fill="FFFFFF"/>
        </w:rPr>
        <w:t>stage 2 elec</w:t>
      </w:r>
      <w:r w:rsidR="009300A0" w:rsidRPr="00095771">
        <w:rPr>
          <w:rFonts w:ascii="Times New Roman" w:eastAsia="Calibri" w:hAnsi="Times New Roman" w:cs="Times New Roman"/>
          <w:shd w:val="clear" w:color="auto" w:fill="FFFFFF"/>
        </w:rPr>
        <w:t>tricity breakdown by fuel</w:t>
      </w:r>
      <w:r w:rsidR="0024780A" w:rsidRPr="00095771">
        <w:rPr>
          <w:rFonts w:ascii="Times New Roman" w:eastAsia="Calibri" w:hAnsi="Times New Roman" w:cs="Times New Roman"/>
          <w:shd w:val="clear" w:color="auto" w:fill="FFFFFF"/>
        </w:rPr>
        <w:t xml:space="preserve"> source was </w:t>
      </w:r>
      <w:r w:rsidR="007E66B3" w:rsidRPr="00095771">
        <w:rPr>
          <w:rFonts w:ascii="Times New Roman" w:eastAsia="Calibri" w:hAnsi="Times New Roman" w:cs="Times New Roman"/>
          <w:shd w:val="clear" w:color="auto" w:fill="FFFFFF"/>
        </w:rPr>
        <w:t xml:space="preserve">obtained from the IEA </w:t>
      </w:r>
      <w:r w:rsidR="0024780A" w:rsidRPr="00095771">
        <w:rPr>
          <w:rFonts w:ascii="Times New Roman" w:eastAsia="Calibri" w:hAnsi="Times New Roman" w:cs="Times New Roman"/>
          <w:shd w:val="clear" w:color="auto" w:fill="FFFFFF"/>
        </w:rPr>
        <w:t>for the 9 countries of interest. This would allow construction of electricity grid mixes for each individual country.</w:t>
      </w:r>
      <w:r w:rsidR="007E66B3" w:rsidRPr="00095771">
        <w:rPr>
          <w:rFonts w:ascii="Times New Roman" w:eastAsia="Calibri" w:hAnsi="Times New Roman" w:cs="Times New Roman"/>
          <w:shd w:val="clear" w:color="auto" w:fill="FFFFFF"/>
        </w:rPr>
        <w:t xml:space="preserve"> </w:t>
      </w:r>
      <w:r w:rsidR="0024780A" w:rsidRPr="00095771">
        <w:rPr>
          <w:rFonts w:ascii="Times New Roman" w:eastAsia="Calibri" w:hAnsi="Times New Roman" w:cs="Times New Roman"/>
          <w:shd w:val="clear" w:color="auto" w:fill="FFFFFF"/>
        </w:rPr>
        <w:t>Finally in stage 3</w:t>
      </w:r>
      <w:r w:rsidR="007E66B3" w:rsidRPr="00095771">
        <w:rPr>
          <w:rFonts w:ascii="Times New Roman" w:eastAsia="Calibri" w:hAnsi="Times New Roman" w:cs="Times New Roman"/>
          <w:shd w:val="clear" w:color="auto" w:fill="FFFFFF"/>
        </w:rPr>
        <w:t xml:space="preserve"> utilising data from the World Bank, transmission, distribution and high voltage losses were </w:t>
      </w:r>
      <w:r w:rsidR="0024780A" w:rsidRPr="00095771">
        <w:rPr>
          <w:rFonts w:ascii="Times New Roman" w:eastAsia="Calibri" w:hAnsi="Times New Roman" w:cs="Times New Roman"/>
          <w:shd w:val="clear" w:color="auto" w:fill="FFFFFF"/>
        </w:rPr>
        <w:t xml:space="preserve">applied to make the models accurate and reliable. </w:t>
      </w:r>
    </w:p>
    <w:p w:rsidR="00D75A9F" w:rsidRPr="00095771" w:rsidRDefault="007E66B3" w:rsidP="009300A0">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Before developing average electricity grid mixes for all nine countries of interest, a sample of three countrie</w:t>
      </w:r>
      <w:r w:rsidR="00FB69D9">
        <w:rPr>
          <w:rFonts w:ascii="Times New Roman" w:eastAsia="Calibri" w:hAnsi="Times New Roman" w:cs="Times New Roman"/>
        </w:rPr>
        <w:t>s (India, Japan and Norway) was</w:t>
      </w:r>
      <w:r w:rsidRPr="00095771">
        <w:rPr>
          <w:rFonts w:ascii="Times New Roman" w:eastAsia="Calibri" w:hAnsi="Times New Roman" w:cs="Times New Roman"/>
        </w:rPr>
        <w:t xml:space="preserve"> selected to develop a robust and valid methodology. Selection of these three was based on their presence in both the software program GaBi and IEA online statistics database for the year 2011. The results illustrated that India had the smallest deviation (3.50%) followed by Japan (9.92%), with Norway displaying the largest difference (47.49%) between GaBi and IEA databases.  Further analysis</w:t>
      </w:r>
      <w:r w:rsidR="00D75A9F" w:rsidRPr="00095771">
        <w:rPr>
          <w:rFonts w:ascii="Times New Roman" w:eastAsia="Calibri" w:hAnsi="Times New Roman" w:cs="Times New Roman"/>
        </w:rPr>
        <w:t xml:space="preserve"> of the results by Norway were conducted </w:t>
      </w:r>
      <w:r w:rsidRPr="00095771">
        <w:rPr>
          <w:rFonts w:ascii="Times New Roman" w:eastAsia="Calibri" w:hAnsi="Times New Roman" w:cs="Times New Roman"/>
        </w:rPr>
        <w:t>in terms of</w:t>
      </w:r>
      <w:r w:rsidR="00D75A9F" w:rsidRPr="00095771">
        <w:rPr>
          <w:rFonts w:ascii="Times New Roman" w:eastAsia="Calibri" w:hAnsi="Times New Roman" w:cs="Times New Roman"/>
        </w:rPr>
        <w:t xml:space="preserve"> GHG emissions, specifically ‘percentage deviation’ against known ‘absolute values’. For Norway the results revealed t</w:t>
      </w:r>
      <w:r w:rsidR="00782B22">
        <w:rPr>
          <w:rFonts w:ascii="Times New Roman" w:eastAsia="Calibri" w:hAnsi="Times New Roman" w:cs="Times New Roman"/>
        </w:rPr>
        <w:t xml:space="preserve">hat the deviation is high only </w:t>
      </w:r>
      <w:r w:rsidR="00D75A9F" w:rsidRPr="00095771">
        <w:rPr>
          <w:rFonts w:ascii="Times New Roman" w:eastAsia="Calibri" w:hAnsi="Times New Roman" w:cs="Times New Roman"/>
        </w:rPr>
        <w:t xml:space="preserve">as a percentage (47.5%) </w:t>
      </w:r>
      <w:r w:rsidR="00E05A77" w:rsidRPr="00095771">
        <w:rPr>
          <w:rFonts w:ascii="Times New Roman" w:eastAsia="Calibri" w:hAnsi="Times New Roman" w:cs="Times New Roman"/>
        </w:rPr>
        <w:t xml:space="preserve">and not an </w:t>
      </w:r>
      <w:r w:rsidR="00D75A9F" w:rsidRPr="00095771">
        <w:rPr>
          <w:rFonts w:ascii="Times New Roman" w:eastAsia="Calibri" w:hAnsi="Times New Roman" w:cs="Times New Roman"/>
        </w:rPr>
        <w:t>absolute number</w:t>
      </w:r>
      <w:r w:rsidR="00E05A77" w:rsidRPr="00095771">
        <w:rPr>
          <w:rFonts w:ascii="Times New Roman" w:eastAsia="Calibri" w:hAnsi="Times New Roman" w:cs="Times New Roman"/>
        </w:rPr>
        <w:t>;</w:t>
      </w:r>
      <w:r w:rsidR="00782B22">
        <w:rPr>
          <w:rFonts w:ascii="Times New Roman" w:eastAsia="Calibri" w:hAnsi="Times New Roman" w:cs="Times New Roman"/>
        </w:rPr>
        <w:t xml:space="preserve"> due to the</w:t>
      </w:r>
      <w:r w:rsidR="00D75A9F" w:rsidRPr="00095771">
        <w:rPr>
          <w:rFonts w:ascii="Times New Roman" w:eastAsia="Calibri" w:hAnsi="Times New Roman" w:cs="Times New Roman"/>
        </w:rPr>
        <w:t xml:space="preserve"> fact that g CO</w:t>
      </w:r>
      <w:r w:rsidR="00D75A9F" w:rsidRPr="00095771">
        <w:rPr>
          <w:rFonts w:ascii="Times New Roman" w:eastAsia="Calibri" w:hAnsi="Times New Roman" w:cs="Times New Roman"/>
          <w:vertAlign w:val="subscript"/>
        </w:rPr>
        <w:t xml:space="preserve">2 </w:t>
      </w:r>
      <w:r w:rsidR="00D75A9F" w:rsidRPr="00095771">
        <w:rPr>
          <w:rFonts w:ascii="Times New Roman" w:eastAsia="Calibri" w:hAnsi="Times New Roman" w:cs="Times New Roman"/>
        </w:rPr>
        <w:t>per kWh is very low in Norway with 46g.</w:t>
      </w:r>
    </w:p>
    <w:p w:rsidR="00CD09FA" w:rsidRPr="00095771" w:rsidRDefault="00E05A77" w:rsidP="00CD09FA">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With regards to the analysis of the five average electricity models. The general trend across all models was that China was the leading global producer in all ferro-alloys with the largest percentage in Fe-Si (69.36%) and the lowest in Fe-Cr (35.74%). Regarding assessment by GWP, Fe-Cr had the largest GWP value across all five ferro-alloys investigated</w:t>
      </w:r>
      <w:r w:rsidR="00CD09FA" w:rsidRPr="00095771">
        <w:rPr>
          <w:rFonts w:ascii="Times New Roman" w:eastAsia="Calibri" w:hAnsi="Times New Roman" w:cs="Times New Roman"/>
        </w:rPr>
        <w:t xml:space="preserve"> wit</w:t>
      </w:r>
      <w:r w:rsidR="00782B22">
        <w:rPr>
          <w:rFonts w:ascii="Times New Roman" w:eastAsia="Calibri" w:hAnsi="Times New Roman" w:cs="Times New Roman"/>
        </w:rPr>
        <w:t>h</w:t>
      </w:r>
      <w:r w:rsidR="00CD09FA" w:rsidRPr="00095771">
        <w:rPr>
          <w:rFonts w:ascii="Times New Roman" w:eastAsia="Calibri" w:hAnsi="Times New Roman" w:cs="Times New Roman"/>
        </w:rPr>
        <w:t xml:space="preserve"> Fe-Ni the lowest. In-depth analysis by individual country breakdown revealed GWP was influenced by a combination of the percentage from China as well as contributions from secondary and tertiary countries. </w:t>
      </w:r>
      <w:r w:rsidR="00D75A9F" w:rsidRPr="00095771">
        <w:rPr>
          <w:rFonts w:ascii="Times New Roman" w:eastAsia="Calibri" w:hAnsi="Times New Roman" w:cs="Times New Roman"/>
        </w:rPr>
        <w:t xml:space="preserve">In addition breakdown by fuel source would have also affected the GWP values, with fossil fuel based countries (i.e. South Africa), having a greater impact than renewables based nations (i.e. Norway). </w:t>
      </w:r>
    </w:p>
    <w:p w:rsidR="00D75A9F" w:rsidRPr="00095771" w:rsidRDefault="00D75A9F" w:rsidP="00CD09FA">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In comparison with GWP values from singular countries, the average electricity m</w:t>
      </w:r>
      <w:r w:rsidR="00782B22">
        <w:rPr>
          <w:rFonts w:ascii="Times New Roman" w:eastAsia="Calibri" w:hAnsi="Times New Roman" w:cs="Times New Roman"/>
        </w:rPr>
        <w:t xml:space="preserve">odels were more representative </w:t>
      </w:r>
      <w:r w:rsidRPr="00095771">
        <w:rPr>
          <w:rFonts w:ascii="Times New Roman" w:eastAsia="Calibri" w:hAnsi="Times New Roman" w:cs="Times New Roman"/>
        </w:rPr>
        <w:t xml:space="preserve">as they included parameters such as share of global production, breakdown of fuel and percentage of renewables and non-renewables. </w:t>
      </w:r>
    </w:p>
    <w:p w:rsidR="007E66B3" w:rsidRDefault="009300A0" w:rsidP="00EB640D">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Overall there is confidence in the data obtained from literature and the methods utilised in creating these average </w:t>
      </w:r>
      <w:r w:rsidR="00B310FD" w:rsidRPr="00095771">
        <w:rPr>
          <w:rFonts w:ascii="Times New Roman" w:eastAsia="Calibri" w:hAnsi="Times New Roman" w:cs="Times New Roman"/>
        </w:rPr>
        <w:t xml:space="preserve">electricity grid mixes </w:t>
      </w:r>
      <w:r w:rsidRPr="00095771">
        <w:rPr>
          <w:rFonts w:ascii="Times New Roman" w:eastAsia="Calibri" w:hAnsi="Times New Roman" w:cs="Times New Roman"/>
        </w:rPr>
        <w:t>to be utilised</w:t>
      </w:r>
      <w:r w:rsidR="00B310FD" w:rsidRPr="00095771">
        <w:rPr>
          <w:rFonts w:ascii="Times New Roman" w:eastAsia="Calibri" w:hAnsi="Times New Roman" w:cs="Times New Roman"/>
        </w:rPr>
        <w:t xml:space="preserve"> as processes</w:t>
      </w:r>
      <w:r w:rsidRPr="00095771">
        <w:rPr>
          <w:rFonts w:ascii="Times New Roman" w:eastAsia="Calibri" w:hAnsi="Times New Roman" w:cs="Times New Roman"/>
        </w:rPr>
        <w:t xml:space="preserve"> in the ferro-alloy mod</w:t>
      </w:r>
      <w:r w:rsidR="00EB640D" w:rsidRPr="00095771">
        <w:rPr>
          <w:rFonts w:ascii="Times New Roman" w:eastAsia="Calibri" w:hAnsi="Times New Roman" w:cs="Times New Roman"/>
        </w:rPr>
        <w:t>els.</w:t>
      </w:r>
    </w:p>
    <w:p w:rsidR="00095771" w:rsidRDefault="00095771" w:rsidP="00095771">
      <w:pPr>
        <w:spacing w:after="0" w:line="360" w:lineRule="auto"/>
        <w:jc w:val="both"/>
        <w:rPr>
          <w:rFonts w:ascii="Times New Roman" w:eastAsia="Calibri" w:hAnsi="Times New Roman" w:cs="Times New Roman"/>
        </w:rPr>
      </w:pPr>
    </w:p>
    <w:p w:rsidR="00095771" w:rsidRPr="00095771" w:rsidRDefault="00095771" w:rsidP="00EB640D">
      <w:pPr>
        <w:spacing w:after="0" w:line="360" w:lineRule="auto"/>
        <w:ind w:firstLine="720"/>
        <w:jc w:val="both"/>
        <w:rPr>
          <w:rFonts w:ascii="Times New Roman" w:eastAsia="Calibri" w:hAnsi="Times New Roman" w:cs="Times New Roman"/>
        </w:rPr>
        <w:sectPr w:rsidR="00095771" w:rsidRPr="00095771" w:rsidSect="00EC09B2">
          <w:pgSz w:w="11906" w:h="16838"/>
          <w:pgMar w:top="1440" w:right="1440" w:bottom="1440" w:left="1440" w:header="708" w:footer="708" w:gutter="0"/>
          <w:cols w:space="708"/>
          <w:docGrid w:linePitch="360"/>
        </w:sectPr>
      </w:pPr>
    </w:p>
    <w:p w:rsidR="006A62D1" w:rsidRPr="005B3139" w:rsidRDefault="000F272E" w:rsidP="006A62D1">
      <w:pPr>
        <w:pStyle w:val="Heading1"/>
        <w:rPr>
          <w:rFonts w:eastAsia="Calibri Light"/>
        </w:rPr>
      </w:pPr>
      <w:r>
        <w:rPr>
          <w:rFonts w:eastAsia="Calibri Light"/>
        </w:rPr>
        <w:lastRenderedPageBreak/>
        <w:t>7</w:t>
      </w:r>
      <w:r w:rsidR="006A62D1" w:rsidRPr="005B3139">
        <w:rPr>
          <w:rFonts w:eastAsia="Calibri Light"/>
        </w:rPr>
        <w:t>. LCA Results</w:t>
      </w:r>
      <w:r w:rsidR="00F774D9">
        <w:rPr>
          <w:rFonts w:eastAsia="Calibri Light"/>
        </w:rPr>
        <w:t xml:space="preserve"> -</w:t>
      </w:r>
      <w:r w:rsidR="006A62D1" w:rsidRPr="005B3139">
        <w:rPr>
          <w:rFonts w:eastAsia="Calibri Light"/>
        </w:rPr>
        <w:t xml:space="preserve"> Ferro-alloy</w:t>
      </w:r>
      <w:r w:rsidR="00095771">
        <w:rPr>
          <w:rFonts w:eastAsia="Calibri Light"/>
        </w:rPr>
        <w:t xml:space="preserve"> </w:t>
      </w:r>
    </w:p>
    <w:p w:rsidR="006A62D1" w:rsidRPr="005B3139" w:rsidRDefault="000F272E" w:rsidP="006A62D1">
      <w:pPr>
        <w:pStyle w:val="Heading2"/>
        <w:rPr>
          <w:rFonts w:eastAsia="Calibri Light"/>
        </w:rPr>
      </w:pPr>
      <w:r>
        <w:rPr>
          <w:rFonts w:eastAsia="Calibri Light"/>
        </w:rPr>
        <w:t xml:space="preserve">7.1. Ferro-Boron </w:t>
      </w:r>
    </w:p>
    <w:p w:rsidR="006A62D1" w:rsidRPr="005B3139" w:rsidRDefault="006A62D1" w:rsidP="00774856">
      <w:pPr>
        <w:spacing w:line="360" w:lineRule="auto"/>
        <w:jc w:val="center"/>
        <w:rPr>
          <w:rFonts w:ascii="Times New Roman" w:eastAsia="Calibri" w:hAnsi="Times New Roman" w:cs="Times New Roman"/>
        </w:rPr>
      </w:pPr>
      <w:r>
        <w:rPr>
          <w:noProof/>
        </w:rPr>
        <w:drawing>
          <wp:inline distT="0" distB="0" distL="0" distR="0">
            <wp:extent cx="4711700" cy="2590800"/>
            <wp:effectExtent l="0" t="0" r="12700" b="0"/>
            <wp:docPr id="44"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6A62D1" w:rsidRPr="00095771" w:rsidRDefault="006A62D1" w:rsidP="006A62D1">
      <w:pPr>
        <w:rPr>
          <w:rFonts w:ascii="Times New Roman" w:eastAsia="Calibri" w:hAnsi="Times New Roman" w:cs="Times New Roman"/>
        </w:rPr>
      </w:pPr>
      <w:bookmarkStart w:id="140" w:name="_Ref474333162"/>
      <w:bookmarkStart w:id="141" w:name="_Toc495848359"/>
      <w:r w:rsidRPr="00095771">
        <w:rPr>
          <w:rFonts w:ascii="Times New Roman" w:hAnsi="Times New Roman" w:cs="Times New Roman"/>
        </w:rPr>
        <w:t xml:space="preserve">Figure </w:t>
      </w:r>
      <w:r w:rsidR="009A0ED7" w:rsidRPr="00095771">
        <w:rPr>
          <w:rFonts w:ascii="Times New Roman" w:hAnsi="Times New Roman" w:cs="Times New Roman"/>
        </w:rPr>
        <w:fldChar w:fldCharType="begin"/>
      </w:r>
      <w:r w:rsidRPr="00095771">
        <w:rPr>
          <w:rFonts w:ascii="Times New Roman" w:hAnsi="Times New Roman" w:cs="Times New Roman"/>
        </w:rPr>
        <w:instrText xml:space="preserve"> SEQ Figure \* ARABIC </w:instrText>
      </w:r>
      <w:r w:rsidR="009A0ED7" w:rsidRPr="00095771">
        <w:rPr>
          <w:rFonts w:ascii="Times New Roman" w:hAnsi="Times New Roman" w:cs="Times New Roman"/>
        </w:rPr>
        <w:fldChar w:fldCharType="separate"/>
      </w:r>
      <w:r w:rsidR="009F5483">
        <w:rPr>
          <w:rFonts w:ascii="Times New Roman" w:hAnsi="Times New Roman" w:cs="Times New Roman"/>
          <w:noProof/>
        </w:rPr>
        <w:t>26</w:t>
      </w:r>
      <w:r w:rsidR="009A0ED7" w:rsidRPr="00095771">
        <w:rPr>
          <w:rFonts w:ascii="Times New Roman" w:hAnsi="Times New Roman" w:cs="Times New Roman"/>
        </w:rPr>
        <w:fldChar w:fldCharType="end"/>
      </w:r>
      <w:bookmarkEnd w:id="140"/>
      <w:r w:rsidRPr="00095771">
        <w:rPr>
          <w:rFonts w:ascii="Times New Roman" w:hAnsi="Times New Roman" w:cs="Times New Roman"/>
        </w:rPr>
        <w:t xml:space="preserve">. </w:t>
      </w:r>
      <w:r w:rsidRPr="00095771">
        <w:rPr>
          <w:rFonts w:ascii="Times New Roman" w:eastAsia="Calibri" w:hAnsi="Times New Roman" w:cs="Times New Roman"/>
        </w:rPr>
        <w:t>Comparison of different literature sources for Fe-B production via GWP.</w:t>
      </w:r>
      <w:bookmarkEnd w:id="141"/>
    </w:p>
    <w:p w:rsidR="006A62D1" w:rsidRPr="00095771" w:rsidRDefault="00FC5535" w:rsidP="0099414E">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The results for Fe-B were</w:t>
      </w:r>
      <w:r w:rsidR="006A62D1" w:rsidRPr="00095771">
        <w:rPr>
          <w:rFonts w:ascii="Times New Roman" w:eastAsia="Calibri" w:hAnsi="Times New Roman" w:cs="Times New Roman"/>
        </w:rPr>
        <w:t xml:space="preserve"> divided into two categories as indicated by the colours in </w:t>
      </w:r>
      <w:r w:rsidR="00A6415F" w:rsidRPr="00095771">
        <w:fldChar w:fldCharType="begin"/>
      </w:r>
      <w:r w:rsidR="00A6415F" w:rsidRPr="00095771">
        <w:instrText xml:space="preserve"> REF _Ref474333162 \h  \* MERGEFORMAT </w:instrText>
      </w:r>
      <w:r w:rsidR="00A6415F" w:rsidRPr="00095771">
        <w:fldChar w:fldCharType="separate"/>
      </w:r>
      <w:r w:rsidR="009F5483" w:rsidRPr="00095771">
        <w:rPr>
          <w:rFonts w:ascii="Times New Roman" w:hAnsi="Times New Roman" w:cs="Times New Roman"/>
        </w:rPr>
        <w:t xml:space="preserve">Figure </w:t>
      </w:r>
      <w:r w:rsidR="009F5483">
        <w:rPr>
          <w:rFonts w:ascii="Times New Roman" w:hAnsi="Times New Roman" w:cs="Times New Roman"/>
          <w:noProof/>
        </w:rPr>
        <w:t>26</w:t>
      </w:r>
      <w:r w:rsidR="00A6415F" w:rsidRPr="00095771">
        <w:fldChar w:fldCharType="end"/>
      </w:r>
      <w:r w:rsidR="006A62D1" w:rsidRPr="00095771">
        <w:rPr>
          <w:rFonts w:ascii="Times New Roman" w:eastAsia="Calibri" w:hAnsi="Times New Roman" w:cs="Times New Roman"/>
        </w:rPr>
        <w:t>.</w:t>
      </w:r>
      <w:r w:rsidRPr="00095771">
        <w:rPr>
          <w:rFonts w:ascii="Times New Roman" w:eastAsia="Calibri" w:hAnsi="Times New Roman" w:cs="Times New Roman"/>
        </w:rPr>
        <w:t xml:space="preserve"> The dark pink colour represented</w:t>
      </w:r>
      <w:r w:rsidR="006A62D1" w:rsidRPr="00095771">
        <w:rPr>
          <w:rFonts w:ascii="Times New Roman" w:eastAsia="Calibri" w:hAnsi="Times New Roman" w:cs="Times New Roman"/>
        </w:rPr>
        <w:t xml:space="preserve"> GWP values for processes created using literature. W</w:t>
      </w:r>
      <w:r w:rsidRPr="00095771">
        <w:rPr>
          <w:rFonts w:ascii="Times New Roman" w:eastAsia="Calibri" w:hAnsi="Times New Roman" w:cs="Times New Roman"/>
        </w:rPr>
        <w:t>hereas the red colour represented</w:t>
      </w:r>
      <w:r w:rsidR="006A62D1" w:rsidRPr="00095771">
        <w:rPr>
          <w:rFonts w:ascii="Times New Roman" w:eastAsia="Calibri" w:hAnsi="Times New Roman" w:cs="Times New Roman"/>
        </w:rPr>
        <w:t xml:space="preserve"> an estimated value. For all three GWP values, Tudor’s val</w:t>
      </w:r>
      <w:r w:rsidRPr="00095771">
        <w:rPr>
          <w:rFonts w:ascii="Times New Roman" w:eastAsia="Calibri" w:hAnsi="Times New Roman" w:cs="Times New Roman"/>
        </w:rPr>
        <w:t>ue was</w:t>
      </w:r>
      <w:r w:rsidR="006A62D1" w:rsidRPr="00095771">
        <w:rPr>
          <w:rFonts w:ascii="Times New Roman" w:eastAsia="Calibri" w:hAnsi="Times New Roman" w:cs="Times New Roman"/>
        </w:rPr>
        <w:t xml:space="preserve"> 29.16% lower than</w:t>
      </w:r>
      <w:r w:rsidRPr="00095771">
        <w:rPr>
          <w:rFonts w:ascii="Times New Roman" w:eastAsia="Calibri" w:hAnsi="Times New Roman" w:cs="Times New Roman"/>
        </w:rPr>
        <w:t xml:space="preserve"> the</w:t>
      </w:r>
      <w:r w:rsidR="006A62D1" w:rsidRPr="00095771">
        <w:rPr>
          <w:rFonts w:ascii="Times New Roman" w:eastAsia="Calibri" w:hAnsi="Times New Roman" w:cs="Times New Roman"/>
        </w:rPr>
        <w:t xml:space="preserve"> actual values calculated using b</w:t>
      </w:r>
      <w:r w:rsidRPr="00095771">
        <w:rPr>
          <w:rFonts w:ascii="Times New Roman" w:eastAsia="Calibri" w:hAnsi="Times New Roman" w:cs="Times New Roman"/>
        </w:rPr>
        <w:t>oric oxide and borates which were</w:t>
      </w:r>
      <w:r w:rsidR="006A62D1" w:rsidRPr="00095771">
        <w:rPr>
          <w:rFonts w:ascii="Times New Roman" w:eastAsia="Calibri" w:hAnsi="Times New Roman" w:cs="Times New Roman"/>
        </w:rPr>
        <w:t xml:space="preserve"> identical. The following in-depth analysis can exp</w:t>
      </w:r>
      <w:r w:rsidRPr="00095771">
        <w:rPr>
          <w:rFonts w:ascii="Times New Roman" w:eastAsia="Calibri" w:hAnsi="Times New Roman" w:cs="Times New Roman"/>
        </w:rPr>
        <w:t>lain the discrepancy between all</w:t>
      </w:r>
      <w:r w:rsidR="006A62D1" w:rsidRPr="00095771">
        <w:rPr>
          <w:rFonts w:ascii="Times New Roman" w:eastAsia="Calibri" w:hAnsi="Times New Roman" w:cs="Times New Roman"/>
        </w:rPr>
        <w:t xml:space="preserve"> three results.</w:t>
      </w:r>
    </w:p>
    <w:p w:rsidR="006A62D1" w:rsidRPr="00095771" w:rsidRDefault="006A62D1" w:rsidP="00FC5535">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Tudor’s GWP value was an estimation due to lack of information within the LCA </w:t>
      </w:r>
      <w:r w:rsidR="004D2D91" w:rsidRPr="00095771">
        <w:rPr>
          <w:rFonts w:ascii="Times New Roman" w:eastAsia="Calibri" w:hAnsi="Times New Roman" w:cs="Times New Roman"/>
        </w:rPr>
        <w:t>GaBi</w:t>
      </w:r>
      <w:r w:rsidRPr="00095771">
        <w:rPr>
          <w:rFonts w:ascii="Times New Roman" w:eastAsia="Calibri" w:hAnsi="Times New Roman" w:cs="Times New Roman"/>
        </w:rPr>
        <w:t xml:space="preserve"> software relating to Fe-B or boric acid. The GWP value was calculated, based on the assumption that boric oxide production process was identical to the process used for the production of titanium. In the</w:t>
      </w:r>
      <w:r w:rsidR="00FC5535" w:rsidRPr="00095771">
        <w:rPr>
          <w:rFonts w:ascii="Times New Roman" w:eastAsia="Calibri" w:hAnsi="Times New Roman" w:cs="Times New Roman"/>
        </w:rPr>
        <w:t xml:space="preserve"> case of Fe-B, the boric acid is</w:t>
      </w:r>
      <w:r w:rsidRPr="00095771">
        <w:rPr>
          <w:rFonts w:ascii="Times New Roman" w:eastAsia="Calibri" w:hAnsi="Times New Roman" w:cs="Times New Roman"/>
        </w:rPr>
        <w:t xml:space="preserve"> heated in an EAF along with iron (III) oxide powder and coke, to create a carbo-the</w:t>
      </w:r>
      <w:r w:rsidR="00FC5535" w:rsidRPr="00095771">
        <w:rPr>
          <w:rFonts w:ascii="Times New Roman" w:eastAsia="Calibri" w:hAnsi="Times New Roman" w:cs="Times New Roman"/>
        </w:rPr>
        <w:t>rmic reduction. Whereas Fe-Ti is assumed to be</w:t>
      </w:r>
      <w:r w:rsidRPr="00095771">
        <w:rPr>
          <w:rFonts w:ascii="Times New Roman" w:eastAsia="Calibri" w:hAnsi="Times New Roman" w:cs="Times New Roman"/>
        </w:rPr>
        <w:t xml:space="preserve"> pro</w:t>
      </w:r>
      <w:r w:rsidR="00FC5535" w:rsidRPr="00095771">
        <w:rPr>
          <w:rFonts w:ascii="Times New Roman" w:eastAsia="Calibri" w:hAnsi="Times New Roman" w:cs="Times New Roman"/>
        </w:rPr>
        <w:t>duced via the melting of scrap t</w:t>
      </w:r>
      <w:r w:rsidRPr="00095771">
        <w:rPr>
          <w:rFonts w:ascii="Times New Roman" w:eastAsia="Calibri" w:hAnsi="Times New Roman" w:cs="Times New Roman"/>
        </w:rPr>
        <w:t>itanium (Ti) along with iron (iii) oxide and coke in the EAF. This carbo-thermic reduction produces a Fe-Ti with a Ti level of 70%. Thus a value similar to Fe-T</w:t>
      </w:r>
      <w:r w:rsidR="001E211C">
        <w:rPr>
          <w:rFonts w:ascii="Times New Roman" w:eastAsia="Calibri" w:hAnsi="Times New Roman" w:cs="Times New Roman"/>
        </w:rPr>
        <w:t>i</w:t>
      </w:r>
      <w:r w:rsidRPr="00095771">
        <w:rPr>
          <w:rFonts w:ascii="Times New Roman" w:eastAsia="Calibri" w:hAnsi="Times New Roman" w:cs="Times New Roman"/>
        </w:rPr>
        <w:t xml:space="preserve"> would be suitable. </w:t>
      </w:r>
    </w:p>
    <w:p w:rsidR="00FC5535" w:rsidRPr="00095771" w:rsidRDefault="006A62D1" w:rsidP="00FC5535">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 xml:space="preserve">Furthermore it is known that the presence of boron ores and </w:t>
      </w:r>
      <w:r w:rsidR="00D8091C" w:rsidRPr="00095771">
        <w:rPr>
          <w:rFonts w:ascii="Times New Roman" w:eastAsia="Calibri" w:hAnsi="Times New Roman" w:cs="Times New Roman"/>
        </w:rPr>
        <w:t>minerals in the Earth’s crust are</w:t>
      </w:r>
      <w:r w:rsidRPr="00095771">
        <w:rPr>
          <w:rFonts w:ascii="Times New Roman" w:eastAsia="Calibri" w:hAnsi="Times New Roman" w:cs="Times New Roman"/>
        </w:rPr>
        <w:t xml:space="preserve"> lower than that for titanium ores and minerals. Therefore more work i.e. energy is required for extraction. Based on this and the GWP value calculated by Tudor for Fe-Ti (14.00kg of CO</w:t>
      </w:r>
      <w:r w:rsidRPr="00095771">
        <w:rPr>
          <w:rFonts w:ascii="Times New Roman" w:eastAsia="Calibri" w:hAnsi="Times New Roman" w:cs="Times New Roman"/>
          <w:vertAlign w:val="subscript"/>
        </w:rPr>
        <w:t>2</w:t>
      </w:r>
      <w:r w:rsidRPr="00095771">
        <w:rPr>
          <w:rFonts w:ascii="Times New Roman" w:eastAsia="Calibri" w:hAnsi="Times New Roman" w:cs="Times New Roman"/>
        </w:rPr>
        <w:t xml:space="preserve"> per kg)</w:t>
      </w:r>
      <w:r w:rsidR="00D8091C" w:rsidRPr="00095771">
        <w:rPr>
          <w:rFonts w:ascii="Times New Roman" w:eastAsia="Calibri" w:hAnsi="Times New Roman" w:cs="Times New Roman"/>
        </w:rPr>
        <w:t>,</w:t>
      </w:r>
      <w:r w:rsidR="00DC69DC" w:rsidRPr="00095771">
        <w:rPr>
          <w:rFonts w:ascii="Times New Roman" w:eastAsia="Calibri" w:hAnsi="Times New Roman" w:cs="Times New Roman"/>
        </w:rPr>
        <w:t xml:space="preserve"> </w:t>
      </w:r>
      <w:r w:rsidRPr="00095771">
        <w:rPr>
          <w:rFonts w:ascii="Times New Roman" w:eastAsia="Calibri" w:hAnsi="Times New Roman" w:cs="Times New Roman"/>
        </w:rPr>
        <w:t>a slightly higher figure of 15.00kg of CO</w:t>
      </w:r>
      <w:r w:rsidRPr="00095771">
        <w:rPr>
          <w:rFonts w:ascii="Times New Roman" w:eastAsia="Calibri" w:hAnsi="Times New Roman" w:cs="Times New Roman"/>
          <w:vertAlign w:val="subscript"/>
        </w:rPr>
        <w:t>2</w:t>
      </w:r>
      <w:r w:rsidRPr="00095771">
        <w:rPr>
          <w:rFonts w:ascii="Times New Roman" w:eastAsia="Calibri" w:hAnsi="Times New Roman" w:cs="Times New Roman"/>
        </w:rPr>
        <w:t xml:space="preserve"> per kg of Fe-B was concluded on</w:t>
      </w:r>
      <w:r w:rsidR="00FC5535" w:rsidRPr="00095771">
        <w:rPr>
          <w:rFonts w:ascii="Times New Roman" w:eastAsia="Calibri" w:hAnsi="Times New Roman" w:cs="Times New Roman"/>
        </w:rPr>
        <w:t>.</w:t>
      </w:r>
    </w:p>
    <w:p w:rsidR="006A62D1" w:rsidRPr="00095771" w:rsidRDefault="006A62D1" w:rsidP="00FC5535">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For the two Fe-B processes created from literature, there was a percentage difference of 1.25% between Fe-B</w:t>
      </w:r>
      <w:r w:rsidR="0099414E" w:rsidRPr="00095771">
        <w:rPr>
          <w:rFonts w:ascii="Times New Roman" w:eastAsia="Calibri" w:hAnsi="Times New Roman" w:cs="Times New Roman"/>
        </w:rPr>
        <w:t xml:space="preserve"> </w:t>
      </w:r>
      <w:r w:rsidRPr="00095771">
        <w:rPr>
          <w:rFonts w:ascii="Times New Roman" w:eastAsia="Calibri" w:hAnsi="Times New Roman" w:cs="Times New Roman"/>
        </w:rPr>
        <w:t>(boric oxide) and Fe-B (borates). Unsurprisingly the percentage difference was small due to the selected production route being the same for both processes. In addition aluminium and magnesium were the primary contributors of GWP with values of 9.67 kg CO</w:t>
      </w:r>
      <w:r w:rsidRPr="00095771">
        <w:rPr>
          <w:rFonts w:ascii="Times New Roman" w:eastAsia="Calibri" w:hAnsi="Times New Roman" w:cs="Times New Roman"/>
          <w:vertAlign w:val="subscript"/>
        </w:rPr>
        <w:t>2</w:t>
      </w:r>
      <w:r w:rsidRPr="00095771">
        <w:rPr>
          <w:rFonts w:ascii="Times New Roman" w:eastAsia="Calibri" w:hAnsi="Times New Roman" w:cs="Times New Roman"/>
        </w:rPr>
        <w:t xml:space="preserve"> and 8.42 kg CO</w:t>
      </w:r>
      <w:r w:rsidRPr="00095771">
        <w:rPr>
          <w:rFonts w:ascii="Times New Roman" w:eastAsia="Calibri" w:hAnsi="Times New Roman" w:cs="Times New Roman"/>
          <w:vertAlign w:val="subscript"/>
        </w:rPr>
        <w:t>2</w:t>
      </w:r>
      <w:r w:rsidRPr="00095771">
        <w:rPr>
          <w:rFonts w:ascii="Times New Roman" w:eastAsia="Calibri" w:hAnsi="Times New Roman" w:cs="Times New Roman"/>
        </w:rPr>
        <w:t xml:space="preserve"> </w:t>
      </w:r>
      <w:r w:rsidRPr="00095771">
        <w:rPr>
          <w:rFonts w:ascii="Times New Roman" w:eastAsia="Calibri" w:hAnsi="Times New Roman" w:cs="Times New Roman"/>
        </w:rPr>
        <w:lastRenderedPageBreak/>
        <w:t>respectively for b</w:t>
      </w:r>
      <w:r w:rsidR="00FC5535" w:rsidRPr="00095771">
        <w:rPr>
          <w:rFonts w:ascii="Times New Roman" w:eastAsia="Calibri" w:hAnsi="Times New Roman" w:cs="Times New Roman"/>
        </w:rPr>
        <w:t>oth processes. However there are</w:t>
      </w:r>
      <w:r w:rsidRPr="00095771">
        <w:rPr>
          <w:rFonts w:ascii="Times New Roman" w:eastAsia="Calibri" w:hAnsi="Times New Roman" w:cs="Times New Roman"/>
        </w:rPr>
        <w:t xml:space="preserve"> two possible explanations to explain the 1.25% percentage difference.</w:t>
      </w:r>
    </w:p>
    <w:p w:rsidR="00FC5535" w:rsidRPr="00095771" w:rsidRDefault="006A62D1" w:rsidP="00FC5535">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Firstly when GWP was calculated solely on boric oxide (2.03 kg CO</w:t>
      </w:r>
      <w:r w:rsidRPr="00095771">
        <w:rPr>
          <w:rFonts w:ascii="Times New Roman" w:eastAsia="Calibri" w:hAnsi="Times New Roman" w:cs="Times New Roman"/>
          <w:vertAlign w:val="subscript"/>
        </w:rPr>
        <w:t>2</w:t>
      </w:r>
      <w:r w:rsidRPr="00095771">
        <w:rPr>
          <w:rFonts w:ascii="Times New Roman" w:eastAsia="Calibri" w:hAnsi="Times New Roman" w:cs="Times New Roman"/>
        </w:rPr>
        <w:t>) and for borates (1.78 kg CO</w:t>
      </w:r>
      <w:r w:rsidRPr="00095771">
        <w:rPr>
          <w:rFonts w:ascii="Times New Roman" w:eastAsia="Calibri" w:hAnsi="Times New Roman" w:cs="Times New Roman"/>
          <w:vertAlign w:val="subscript"/>
        </w:rPr>
        <w:t>2</w:t>
      </w:r>
      <w:r w:rsidRPr="00095771">
        <w:rPr>
          <w:rFonts w:ascii="Times New Roman" w:eastAsia="Calibri" w:hAnsi="Times New Roman" w:cs="Times New Roman"/>
        </w:rPr>
        <w:t>), the percentage difference was calculated to</w:t>
      </w:r>
      <w:r w:rsidR="00FC5535" w:rsidRPr="00095771">
        <w:rPr>
          <w:rFonts w:ascii="Times New Roman" w:eastAsia="Calibri" w:hAnsi="Times New Roman" w:cs="Times New Roman"/>
        </w:rPr>
        <w:t xml:space="preserve"> be</w:t>
      </w:r>
      <w:r w:rsidRPr="00095771">
        <w:rPr>
          <w:rFonts w:ascii="Times New Roman" w:eastAsia="Calibri" w:hAnsi="Times New Roman" w:cs="Times New Roman"/>
        </w:rPr>
        <w:t xml:space="preserve"> 1.25%, exactly the same for the percentage difference of the complete processes.</w:t>
      </w:r>
      <w:r w:rsidR="00FC5535" w:rsidRPr="00095771">
        <w:rPr>
          <w:rFonts w:ascii="Times New Roman" w:eastAsia="Calibri" w:hAnsi="Times New Roman" w:cs="Times New Roman"/>
        </w:rPr>
        <w:t xml:space="preserve"> Thus the indi</w:t>
      </w:r>
      <w:r w:rsidR="00D8091C" w:rsidRPr="00095771">
        <w:rPr>
          <w:rFonts w:ascii="Times New Roman" w:eastAsia="Calibri" w:hAnsi="Times New Roman" w:cs="Times New Roman"/>
        </w:rPr>
        <w:t>vidual processes themselves, could have been the source of the</w:t>
      </w:r>
      <w:r w:rsidR="00FC5535" w:rsidRPr="00095771">
        <w:rPr>
          <w:rFonts w:ascii="Times New Roman" w:eastAsia="Calibri" w:hAnsi="Times New Roman" w:cs="Times New Roman"/>
        </w:rPr>
        <w:t xml:space="preserve"> difference </w:t>
      </w:r>
      <w:r w:rsidR="00D8091C" w:rsidRPr="00095771">
        <w:rPr>
          <w:rFonts w:ascii="Times New Roman" w:eastAsia="Calibri" w:hAnsi="Times New Roman" w:cs="Times New Roman"/>
        </w:rPr>
        <w:t>between</w:t>
      </w:r>
      <w:r w:rsidR="00FC5535" w:rsidRPr="00095771">
        <w:rPr>
          <w:rFonts w:ascii="Times New Roman" w:eastAsia="Calibri" w:hAnsi="Times New Roman" w:cs="Times New Roman"/>
        </w:rPr>
        <w:t xml:space="preserve"> the respective models.</w:t>
      </w:r>
    </w:p>
    <w:p w:rsidR="00D56605" w:rsidRPr="00095771" w:rsidRDefault="006A62D1" w:rsidP="00D56605">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A second explanation for the difference in values between boric oxide and borates can be attributed to the boron content. Although the boron content is unknown for both processes, it would be expected that the higher the boron content in the ore, the less energy required for extraction. This explanation is supported by</w:t>
      </w:r>
      <w:r w:rsidR="00FC5535" w:rsidRPr="00095771">
        <w:rPr>
          <w:rFonts w:ascii="Times New Roman" w:eastAsia="Calibri" w:hAnsi="Times New Roman" w:cs="Times New Roman"/>
        </w:rPr>
        <w:t xml:space="preserve"> </w:t>
      </w:r>
      <w:r w:rsidR="00A6415F" w:rsidRPr="00095771">
        <w:fldChar w:fldCharType="begin"/>
      </w:r>
      <w:r w:rsidR="00A6415F" w:rsidRPr="00095771">
        <w:instrText xml:space="preserve"> REF _Ref474333503 \h  \* MERGEFORMAT </w:instrText>
      </w:r>
      <w:r w:rsidR="00A6415F" w:rsidRPr="00095771">
        <w:fldChar w:fldCharType="separate"/>
      </w:r>
      <w:r w:rsidR="009F5483" w:rsidRPr="00095771">
        <w:rPr>
          <w:rFonts w:ascii="Times New Roman" w:hAnsi="Times New Roman" w:cs="Times New Roman"/>
        </w:rPr>
        <w:t xml:space="preserve">Figure </w:t>
      </w:r>
      <w:r w:rsidR="009F5483">
        <w:rPr>
          <w:rFonts w:ascii="Times New Roman" w:hAnsi="Times New Roman" w:cs="Times New Roman"/>
          <w:noProof/>
        </w:rPr>
        <w:t>27</w:t>
      </w:r>
      <w:r w:rsidR="00A6415F" w:rsidRPr="00095771">
        <w:fldChar w:fldCharType="end"/>
      </w:r>
      <w:r w:rsidRPr="00095771">
        <w:rPr>
          <w:rFonts w:ascii="Times New Roman" w:eastAsia="Calibri" w:hAnsi="Times New Roman" w:cs="Times New Roman"/>
        </w:rPr>
        <w:t>, which demonstrates an 11.32% percentage difference in energy between boric oxide and borates.</w:t>
      </w:r>
    </w:p>
    <w:p w:rsidR="006A62D1" w:rsidRPr="00095771" w:rsidRDefault="006A62D1" w:rsidP="00774856">
      <w:pPr>
        <w:spacing w:line="360" w:lineRule="auto"/>
        <w:ind w:firstLine="720"/>
        <w:jc w:val="center"/>
        <w:rPr>
          <w:rFonts w:ascii="Times New Roman" w:eastAsia="Calibri" w:hAnsi="Times New Roman" w:cs="Times New Roman"/>
        </w:rPr>
      </w:pPr>
      <w:r w:rsidRPr="00095771">
        <w:rPr>
          <w:noProof/>
        </w:rPr>
        <w:drawing>
          <wp:inline distT="0" distB="0" distL="0" distR="0">
            <wp:extent cx="4140200" cy="2260600"/>
            <wp:effectExtent l="0" t="0" r="12700" b="6350"/>
            <wp:docPr id="45"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6A62D1" w:rsidRPr="00095771" w:rsidRDefault="006A62D1" w:rsidP="006A62D1">
      <w:pPr>
        <w:rPr>
          <w:rFonts w:ascii="Times New Roman" w:eastAsia="Calibri" w:hAnsi="Times New Roman" w:cs="Times New Roman"/>
        </w:rPr>
      </w:pPr>
      <w:bookmarkStart w:id="142" w:name="_Ref474333503"/>
      <w:bookmarkStart w:id="143" w:name="_Toc495848360"/>
      <w:r w:rsidRPr="00095771">
        <w:rPr>
          <w:rFonts w:ascii="Times New Roman" w:hAnsi="Times New Roman" w:cs="Times New Roman"/>
        </w:rPr>
        <w:t xml:space="preserve">Figure </w:t>
      </w:r>
      <w:r w:rsidR="009A0ED7" w:rsidRPr="00095771">
        <w:rPr>
          <w:rFonts w:ascii="Times New Roman" w:hAnsi="Times New Roman" w:cs="Times New Roman"/>
        </w:rPr>
        <w:fldChar w:fldCharType="begin"/>
      </w:r>
      <w:r w:rsidR="00363217" w:rsidRPr="00095771">
        <w:rPr>
          <w:rFonts w:ascii="Times New Roman" w:hAnsi="Times New Roman" w:cs="Times New Roman"/>
        </w:rPr>
        <w:instrText xml:space="preserve"> SEQ Figure \* ARABIC </w:instrText>
      </w:r>
      <w:r w:rsidR="009A0ED7" w:rsidRPr="00095771">
        <w:rPr>
          <w:rFonts w:ascii="Times New Roman" w:hAnsi="Times New Roman" w:cs="Times New Roman"/>
        </w:rPr>
        <w:fldChar w:fldCharType="separate"/>
      </w:r>
      <w:r w:rsidR="009F5483">
        <w:rPr>
          <w:rFonts w:ascii="Times New Roman" w:hAnsi="Times New Roman" w:cs="Times New Roman"/>
          <w:noProof/>
        </w:rPr>
        <w:t>27</w:t>
      </w:r>
      <w:r w:rsidR="009A0ED7" w:rsidRPr="00095771">
        <w:rPr>
          <w:rFonts w:ascii="Times New Roman" w:hAnsi="Times New Roman" w:cs="Times New Roman"/>
          <w:noProof/>
        </w:rPr>
        <w:fldChar w:fldCharType="end"/>
      </w:r>
      <w:bookmarkEnd w:id="142"/>
      <w:r w:rsidRPr="00095771">
        <w:rPr>
          <w:rFonts w:ascii="Times New Roman" w:hAnsi="Times New Roman" w:cs="Times New Roman"/>
        </w:rPr>
        <w:t xml:space="preserve">. </w:t>
      </w:r>
      <w:r w:rsidRPr="00095771">
        <w:rPr>
          <w:rFonts w:ascii="Times New Roman" w:eastAsia="Calibri" w:hAnsi="Times New Roman" w:cs="Times New Roman"/>
        </w:rPr>
        <w:t>Comparison of boric oxide and borates in terms of energy.</w:t>
      </w:r>
      <w:bookmarkEnd w:id="143"/>
    </w:p>
    <w:p w:rsidR="006A62D1" w:rsidRPr="00095771" w:rsidRDefault="006A62D1" w:rsidP="0099414E">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Thus suggesting boric oxide has a lower boron content, which requires more work for extraction and subsequently produces more CO</w:t>
      </w:r>
      <w:r w:rsidRPr="00095771">
        <w:rPr>
          <w:rFonts w:ascii="Times New Roman" w:eastAsia="Calibri" w:hAnsi="Times New Roman" w:cs="Times New Roman"/>
          <w:vertAlign w:val="subscript"/>
        </w:rPr>
        <w:t>2</w:t>
      </w:r>
      <w:r w:rsidRPr="00095771">
        <w:rPr>
          <w:rFonts w:ascii="Times New Roman" w:eastAsia="Calibri" w:hAnsi="Times New Roman" w:cs="Times New Roman"/>
        </w:rPr>
        <w:t xml:space="preserve"> has highlighted in</w:t>
      </w:r>
      <w:r w:rsidR="00D8091C" w:rsidRPr="00095771">
        <w:rPr>
          <w:rFonts w:ascii="Times New Roman" w:eastAsia="Calibri" w:hAnsi="Times New Roman" w:cs="Times New Roman"/>
        </w:rPr>
        <w:t xml:space="preserve"> </w:t>
      </w:r>
      <w:r w:rsidR="00A6415F" w:rsidRPr="00095771">
        <w:fldChar w:fldCharType="begin"/>
      </w:r>
      <w:r w:rsidR="00A6415F" w:rsidRPr="00095771">
        <w:instrText xml:space="preserve"> REF _Ref474333503 \h  \* MERGEFORMAT </w:instrText>
      </w:r>
      <w:r w:rsidR="00A6415F" w:rsidRPr="00095771">
        <w:fldChar w:fldCharType="separate"/>
      </w:r>
      <w:r w:rsidR="009F5483" w:rsidRPr="00095771">
        <w:rPr>
          <w:rFonts w:ascii="Times New Roman" w:hAnsi="Times New Roman" w:cs="Times New Roman"/>
        </w:rPr>
        <w:t xml:space="preserve">Figure </w:t>
      </w:r>
      <w:r w:rsidR="009F5483">
        <w:rPr>
          <w:rFonts w:ascii="Times New Roman" w:hAnsi="Times New Roman" w:cs="Times New Roman"/>
          <w:noProof/>
        </w:rPr>
        <w:t>27</w:t>
      </w:r>
      <w:r w:rsidR="00A6415F" w:rsidRPr="00095771">
        <w:fldChar w:fldCharType="end"/>
      </w:r>
      <w:r w:rsidRPr="00095771">
        <w:rPr>
          <w:rFonts w:ascii="Times New Roman" w:eastAsia="Calibri" w:hAnsi="Times New Roman" w:cs="Times New Roman"/>
        </w:rPr>
        <w:t>.</w:t>
      </w:r>
    </w:p>
    <w:p w:rsidR="006A62D1" w:rsidRPr="00095771" w:rsidRDefault="006A62D1" w:rsidP="0099414E">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The results show the difference between estimation of results, in this case GWP, to actual calculation of results. Tudor’s estimated value was based several years ago where there was little or no data in literature. Even though Tudor developed a methodology to calculate CO</w:t>
      </w:r>
      <w:r w:rsidRPr="00095771">
        <w:rPr>
          <w:rFonts w:ascii="Times New Roman" w:eastAsia="Calibri" w:hAnsi="Times New Roman" w:cs="Times New Roman"/>
          <w:vertAlign w:val="subscript"/>
        </w:rPr>
        <w:t>2</w:t>
      </w:r>
      <w:r w:rsidRPr="00095771">
        <w:rPr>
          <w:rFonts w:ascii="Times New Roman" w:eastAsia="Calibri" w:hAnsi="Times New Roman" w:cs="Times New Roman"/>
        </w:rPr>
        <w:t xml:space="preserve"> output for a number of alloying additions, a deviation of 29.16% cannot be ignored. However GWP values calculated for actual Fe-B processes are difficult to verify particularly ag</w:t>
      </w:r>
      <w:r w:rsidR="00D8091C" w:rsidRPr="00095771">
        <w:rPr>
          <w:rFonts w:ascii="Times New Roman" w:eastAsia="Calibri" w:hAnsi="Times New Roman" w:cs="Times New Roman"/>
        </w:rPr>
        <w:t>ainst literature, since there are</w:t>
      </w:r>
      <w:r w:rsidRPr="00095771">
        <w:rPr>
          <w:rFonts w:ascii="Times New Roman" w:eastAsia="Calibri" w:hAnsi="Times New Roman" w:cs="Times New Roman"/>
        </w:rPr>
        <w:t xml:space="preserve"> little or no comparable results currently present. In addition, limited documentation particularly against </w:t>
      </w:r>
      <w:r w:rsidR="004D2D91" w:rsidRPr="00095771">
        <w:rPr>
          <w:rFonts w:ascii="Times New Roman" w:eastAsia="Calibri" w:hAnsi="Times New Roman" w:cs="Times New Roman"/>
        </w:rPr>
        <w:t>GaBi</w:t>
      </w:r>
      <w:r w:rsidRPr="00095771">
        <w:rPr>
          <w:rFonts w:ascii="Times New Roman" w:eastAsia="Calibri" w:hAnsi="Times New Roman" w:cs="Times New Roman"/>
        </w:rPr>
        <w:t xml:space="preserve"> processes (boric oxide) adds to this uncertainty of the results. Thinkstep, suppliers of </w:t>
      </w:r>
      <w:r w:rsidR="004D2D91" w:rsidRPr="00095771">
        <w:rPr>
          <w:rFonts w:ascii="Times New Roman" w:eastAsia="Calibri" w:hAnsi="Times New Roman" w:cs="Times New Roman"/>
        </w:rPr>
        <w:t>GaBi</w:t>
      </w:r>
      <w:r w:rsidRPr="00095771">
        <w:rPr>
          <w:rFonts w:ascii="Times New Roman" w:eastAsia="Calibri" w:hAnsi="Times New Roman" w:cs="Times New Roman"/>
        </w:rPr>
        <w:t xml:space="preserve"> software, are in the midst of creating a process for Fe-B using their extensive industrial contacts, but this is currently incomplete so no current comparisons can be made at this moment in time.</w:t>
      </w:r>
    </w:p>
    <w:p w:rsidR="006A62D1" w:rsidRPr="00095771" w:rsidRDefault="006A62D1" w:rsidP="0099414E">
      <w:pPr>
        <w:spacing w:after="0" w:line="360" w:lineRule="auto"/>
        <w:ind w:firstLine="720"/>
        <w:jc w:val="both"/>
        <w:rPr>
          <w:rFonts w:ascii="Times New Roman" w:eastAsia="Calibri" w:hAnsi="Times New Roman" w:cs="Times New Roman"/>
        </w:rPr>
      </w:pPr>
      <w:r w:rsidRPr="00095771">
        <w:rPr>
          <w:rFonts w:ascii="Times New Roman" w:eastAsia="Calibri" w:hAnsi="Times New Roman" w:cs="Times New Roman"/>
        </w:rPr>
        <w:t>Summarisin</w:t>
      </w:r>
      <w:r w:rsidR="00F65CE2">
        <w:rPr>
          <w:rFonts w:ascii="Times New Roman" w:eastAsia="Calibri" w:hAnsi="Times New Roman" w:cs="Times New Roman"/>
        </w:rPr>
        <w:t>g, an in-depth analysis reveals</w:t>
      </w:r>
      <w:r w:rsidRPr="00095771">
        <w:rPr>
          <w:rFonts w:ascii="Times New Roman" w:eastAsia="Calibri" w:hAnsi="Times New Roman" w:cs="Times New Roman"/>
        </w:rPr>
        <w:t xml:space="preserve"> little or no useful description of the data source and method used by </w:t>
      </w:r>
      <w:r w:rsidR="004D2D91" w:rsidRPr="00095771">
        <w:rPr>
          <w:rFonts w:ascii="Times New Roman" w:eastAsia="Calibri" w:hAnsi="Times New Roman" w:cs="Times New Roman"/>
        </w:rPr>
        <w:t>GaBi</w:t>
      </w:r>
      <w:r w:rsidRPr="00095771">
        <w:rPr>
          <w:rFonts w:ascii="Times New Roman" w:eastAsia="Calibri" w:hAnsi="Times New Roman" w:cs="Times New Roman"/>
        </w:rPr>
        <w:t xml:space="preserve"> to create boric oxide, making it difficult to evaluate. Taking this into </w:t>
      </w:r>
      <w:r w:rsidRPr="00095771">
        <w:rPr>
          <w:rFonts w:ascii="Times New Roman" w:eastAsia="Calibri" w:hAnsi="Times New Roman" w:cs="Times New Roman"/>
        </w:rPr>
        <w:lastRenderedPageBreak/>
        <w:t>consideration</w:t>
      </w:r>
      <w:r w:rsidR="00992904" w:rsidRPr="00095771">
        <w:rPr>
          <w:rFonts w:ascii="Times New Roman" w:eastAsia="Calibri" w:hAnsi="Times New Roman" w:cs="Times New Roman"/>
        </w:rPr>
        <w:t>, the</w:t>
      </w:r>
      <w:r w:rsidRPr="00095771">
        <w:rPr>
          <w:rFonts w:ascii="Times New Roman" w:eastAsia="Calibri" w:hAnsi="Times New Roman" w:cs="Times New Roman"/>
        </w:rPr>
        <w:t xml:space="preserve"> </w:t>
      </w:r>
      <w:r w:rsidR="00D8091C" w:rsidRPr="00095771">
        <w:rPr>
          <w:rFonts w:ascii="Times New Roman" w:eastAsia="Calibri" w:hAnsi="Times New Roman" w:cs="Times New Roman"/>
        </w:rPr>
        <w:t>Fe-B (borates) (</w:t>
      </w:r>
      <w:r w:rsidR="00A6415F" w:rsidRPr="00095771">
        <w:fldChar w:fldCharType="begin"/>
      </w:r>
      <w:r w:rsidR="00A6415F" w:rsidRPr="00095771">
        <w:instrText xml:space="preserve"> REF _Ref468306068 \h  \* MERGEFORMAT </w:instrText>
      </w:r>
      <w:r w:rsidR="00A6415F" w:rsidRPr="00095771">
        <w:fldChar w:fldCharType="separate"/>
      </w:r>
      <w:r w:rsidR="009F5483" w:rsidRPr="009F5483">
        <w:rPr>
          <w:rFonts w:ascii="Times New Roman" w:hAnsi="Times New Roman" w:cs="Times New Roman"/>
        </w:rPr>
        <w:t xml:space="preserve">Figure </w:t>
      </w:r>
      <w:r w:rsidR="009F5483" w:rsidRPr="009F5483">
        <w:rPr>
          <w:rFonts w:ascii="Times New Roman" w:hAnsi="Times New Roman" w:cs="Times New Roman"/>
          <w:noProof/>
        </w:rPr>
        <w:t>28</w:t>
      </w:r>
      <w:r w:rsidR="00A6415F" w:rsidRPr="00095771">
        <w:fldChar w:fldCharType="end"/>
      </w:r>
      <w:r w:rsidRPr="00095771">
        <w:rPr>
          <w:rFonts w:ascii="Times New Roman" w:eastAsia="Calibri" w:hAnsi="Times New Roman" w:cs="Times New Roman"/>
        </w:rPr>
        <w:t>) was selected as the process to r</w:t>
      </w:r>
      <w:r w:rsidR="00992904" w:rsidRPr="00095771">
        <w:rPr>
          <w:rFonts w:ascii="Times New Roman" w:eastAsia="Calibri" w:hAnsi="Times New Roman" w:cs="Times New Roman"/>
        </w:rPr>
        <w:t xml:space="preserve">epresent boron in the additional work related to </w:t>
      </w:r>
      <w:r w:rsidRPr="00095771">
        <w:rPr>
          <w:rFonts w:ascii="Times New Roman" w:eastAsia="Calibri" w:hAnsi="Times New Roman" w:cs="Times New Roman"/>
        </w:rPr>
        <w:t>grades of steel.</w:t>
      </w:r>
    </w:p>
    <w:p w:rsidR="00832A79" w:rsidRPr="00095771" w:rsidRDefault="00832A79" w:rsidP="0099414E">
      <w:pPr>
        <w:spacing w:after="0" w:line="360" w:lineRule="auto"/>
        <w:ind w:firstLine="720"/>
        <w:jc w:val="both"/>
        <w:rPr>
          <w:rFonts w:ascii="Times New Roman" w:eastAsia="Calibri" w:hAnsi="Times New Roman" w:cs="Times New Roman"/>
        </w:rPr>
      </w:pPr>
    </w:p>
    <w:p w:rsidR="006A62D1" w:rsidRPr="00095771" w:rsidRDefault="006A62D1" w:rsidP="00832A79">
      <w:pPr>
        <w:spacing w:line="360" w:lineRule="auto"/>
        <w:rPr>
          <w:rFonts w:ascii="Times New Roman" w:eastAsia="Calibri" w:hAnsi="Times New Roman" w:cs="Times New Roman"/>
        </w:rPr>
      </w:pPr>
      <w:r w:rsidRPr="00095771">
        <w:rPr>
          <w:noProof/>
        </w:rPr>
        <w:drawing>
          <wp:inline distT="0" distB="0" distL="0" distR="0">
            <wp:extent cx="5731510" cy="2200275"/>
            <wp:effectExtent l="0" t="0" r="2540" b="9525"/>
            <wp:docPr id="4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srcRect l="28418" t="53180" r="30036" b="18457"/>
                    <a:stretch/>
                  </pic:blipFill>
                  <pic:spPr bwMode="auto">
                    <a:xfrm>
                      <a:off x="0" y="0"/>
                      <a:ext cx="5731510" cy="2200275"/>
                    </a:xfrm>
                    <a:prstGeom prst="rect">
                      <a:avLst/>
                    </a:prstGeom>
                    <a:ln>
                      <a:noFill/>
                    </a:ln>
                    <a:extLst>
                      <a:ext uri="{53640926-AAD7-44D8-BBD7-CCE9431645EC}">
                        <a14:shadowObscured xmlns:a14="http://schemas.microsoft.com/office/drawing/2010/main"/>
                      </a:ext>
                    </a:extLst>
                  </pic:spPr>
                </pic:pic>
              </a:graphicData>
            </a:graphic>
          </wp:inline>
        </w:drawing>
      </w:r>
    </w:p>
    <w:p w:rsidR="006A62D1" w:rsidRDefault="006A62D1" w:rsidP="006A62D1">
      <w:pPr>
        <w:rPr>
          <w:rFonts w:ascii="Times New Roman" w:eastAsia="Calibri" w:hAnsi="Times New Roman" w:cs="Times New Roman"/>
        </w:rPr>
      </w:pPr>
      <w:bookmarkStart w:id="144" w:name="_Ref468306068"/>
      <w:bookmarkStart w:id="145" w:name="_Toc495848361"/>
      <w:r w:rsidRPr="00095771">
        <w:t xml:space="preserve">Figure </w:t>
      </w:r>
      <w:r w:rsidR="009A0ED7" w:rsidRPr="00095771">
        <w:fldChar w:fldCharType="begin"/>
      </w:r>
      <w:r w:rsidR="00502983" w:rsidRPr="00095771">
        <w:instrText xml:space="preserve"> SEQ Figure \* ARABIC </w:instrText>
      </w:r>
      <w:r w:rsidR="009A0ED7" w:rsidRPr="00095771">
        <w:fldChar w:fldCharType="separate"/>
      </w:r>
      <w:r w:rsidR="009F5483">
        <w:rPr>
          <w:noProof/>
        </w:rPr>
        <w:t>28</w:t>
      </w:r>
      <w:r w:rsidR="009A0ED7" w:rsidRPr="00095771">
        <w:rPr>
          <w:noProof/>
        </w:rPr>
        <w:fldChar w:fldCharType="end"/>
      </w:r>
      <w:bookmarkEnd w:id="144"/>
      <w:r w:rsidRPr="00095771">
        <w:t xml:space="preserve">. </w:t>
      </w:r>
      <w:r w:rsidRPr="00095771">
        <w:rPr>
          <w:rFonts w:ascii="Times New Roman" w:eastAsia="Calibri" w:hAnsi="Times New Roman" w:cs="Times New Roman"/>
        </w:rPr>
        <w:t>Fe-B modelled using borates.</w:t>
      </w:r>
      <w:bookmarkEnd w:id="145"/>
    </w:p>
    <w:p w:rsidR="00095771" w:rsidRPr="00095771" w:rsidRDefault="00095771" w:rsidP="006A62D1">
      <w:pPr>
        <w:rPr>
          <w:rFonts w:ascii="Times New Roman" w:eastAsia="Calibri" w:hAnsi="Times New Roman" w:cs="Times New Roman"/>
        </w:rPr>
      </w:pPr>
    </w:p>
    <w:p w:rsidR="00095771" w:rsidRDefault="00095771" w:rsidP="006A62D1">
      <w:pPr>
        <w:spacing w:line="360" w:lineRule="auto"/>
        <w:rPr>
          <w:rFonts w:ascii="Times New Roman" w:eastAsia="Calibri" w:hAnsi="Times New Roman" w:cs="Times New Roman"/>
        </w:rPr>
        <w:sectPr w:rsidR="00095771" w:rsidSect="00C24042">
          <w:pgSz w:w="11906" w:h="16838"/>
          <w:pgMar w:top="1440" w:right="1440" w:bottom="1440" w:left="1440" w:header="708" w:footer="708" w:gutter="0"/>
          <w:cols w:space="708"/>
          <w:docGrid w:linePitch="360"/>
        </w:sectPr>
      </w:pPr>
    </w:p>
    <w:p w:rsidR="006A62D1" w:rsidRPr="005B3139" w:rsidRDefault="000F272E" w:rsidP="006A62D1">
      <w:pPr>
        <w:pStyle w:val="Heading2"/>
        <w:rPr>
          <w:rFonts w:eastAsia="Calibri Light"/>
        </w:rPr>
      </w:pPr>
      <w:r w:rsidRPr="00EB640D">
        <w:rPr>
          <w:rFonts w:eastAsia="Calibri Light"/>
        </w:rPr>
        <w:lastRenderedPageBreak/>
        <w:t>7.2. Ferro-Chromium</w:t>
      </w:r>
      <w:r>
        <w:rPr>
          <w:rFonts w:eastAsia="Calibri Light"/>
        </w:rPr>
        <w:t xml:space="preserve"> </w:t>
      </w:r>
    </w:p>
    <w:p w:rsidR="006A62D1" w:rsidRPr="005B3139" w:rsidRDefault="006A62D1" w:rsidP="006A62D1">
      <w:pPr>
        <w:spacing w:after="0" w:line="360" w:lineRule="auto"/>
        <w:jc w:val="center"/>
        <w:rPr>
          <w:rFonts w:ascii="Times New Roman" w:eastAsia="Calibri" w:hAnsi="Times New Roman" w:cs="Times New Roman"/>
        </w:rPr>
      </w:pPr>
      <w:r>
        <w:rPr>
          <w:noProof/>
        </w:rPr>
        <w:drawing>
          <wp:inline distT="0" distB="0" distL="0" distR="0">
            <wp:extent cx="5123145" cy="2404998"/>
            <wp:effectExtent l="0" t="0" r="1905" b="14605"/>
            <wp:docPr id="4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6A62D1" w:rsidRPr="004E0589" w:rsidRDefault="006A62D1" w:rsidP="00064007">
      <w:pPr>
        <w:jc w:val="both"/>
        <w:rPr>
          <w:rFonts w:ascii="Times New Roman" w:eastAsia="Calibri" w:hAnsi="Times New Roman" w:cs="Times New Roman"/>
        </w:rPr>
      </w:pPr>
      <w:bookmarkStart w:id="146" w:name="_Ref468306201"/>
      <w:bookmarkStart w:id="147" w:name="_Toc495848362"/>
      <w:r w:rsidRPr="004E0589">
        <w:rPr>
          <w:rFonts w:ascii="Times New Roman" w:hAnsi="Times New Roman" w:cs="Times New Roman"/>
        </w:rPr>
        <w:t xml:space="preserve">Figure </w:t>
      </w:r>
      <w:r w:rsidR="009A0ED7" w:rsidRPr="004E0589">
        <w:rPr>
          <w:rFonts w:ascii="Times New Roman" w:hAnsi="Times New Roman" w:cs="Times New Roman"/>
        </w:rPr>
        <w:fldChar w:fldCharType="begin"/>
      </w:r>
      <w:r w:rsidRPr="004E0589">
        <w:rPr>
          <w:rFonts w:ascii="Times New Roman" w:hAnsi="Times New Roman" w:cs="Times New Roman"/>
        </w:rPr>
        <w:instrText xml:space="preserve"> SEQ Figure \* ARABIC </w:instrText>
      </w:r>
      <w:r w:rsidR="009A0ED7" w:rsidRPr="004E0589">
        <w:rPr>
          <w:rFonts w:ascii="Times New Roman" w:hAnsi="Times New Roman" w:cs="Times New Roman"/>
        </w:rPr>
        <w:fldChar w:fldCharType="separate"/>
      </w:r>
      <w:r w:rsidR="009F5483">
        <w:rPr>
          <w:rFonts w:ascii="Times New Roman" w:hAnsi="Times New Roman" w:cs="Times New Roman"/>
          <w:noProof/>
        </w:rPr>
        <w:t>29</w:t>
      </w:r>
      <w:r w:rsidR="009A0ED7" w:rsidRPr="004E0589">
        <w:rPr>
          <w:rFonts w:ascii="Times New Roman" w:hAnsi="Times New Roman" w:cs="Times New Roman"/>
        </w:rPr>
        <w:fldChar w:fldCharType="end"/>
      </w:r>
      <w:bookmarkEnd w:id="146"/>
      <w:r w:rsidRPr="004E0589">
        <w:rPr>
          <w:rFonts w:ascii="Times New Roman" w:hAnsi="Times New Roman" w:cs="Times New Roman"/>
        </w:rPr>
        <w:t xml:space="preserve">. </w:t>
      </w:r>
      <w:r w:rsidRPr="004E0589">
        <w:rPr>
          <w:rFonts w:ascii="Times New Roman" w:eastAsia="Calibri" w:hAnsi="Times New Roman" w:cs="Times New Roman"/>
        </w:rPr>
        <w:t>Comparison of original literature source for Fe-Cr production via GWP.</w:t>
      </w:r>
      <w:bookmarkEnd w:id="147"/>
    </w:p>
    <w:p w:rsidR="006A62D1" w:rsidRPr="004E0589" w:rsidRDefault="006A62D1" w:rsidP="000209CE">
      <w:pPr>
        <w:spacing w:after="0" w:line="360" w:lineRule="auto"/>
        <w:ind w:firstLine="720"/>
        <w:jc w:val="both"/>
        <w:rPr>
          <w:rFonts w:ascii="Times New Roman" w:eastAsia="Calibri" w:hAnsi="Times New Roman" w:cs="Times New Roman"/>
        </w:rPr>
      </w:pPr>
      <w:r w:rsidRPr="004E0589">
        <w:rPr>
          <w:rFonts w:ascii="Times New Roman" w:eastAsia="Calibri" w:hAnsi="Times New Roman" w:cs="Times New Roman"/>
        </w:rPr>
        <w:t>Several Fe-Cr models were created due to an abundance in li</w:t>
      </w:r>
      <w:r w:rsidR="00340F08" w:rsidRPr="004E0589">
        <w:rPr>
          <w:rFonts w:ascii="Times New Roman" w:eastAsia="Calibri" w:hAnsi="Times New Roman" w:cs="Times New Roman"/>
        </w:rPr>
        <w:t xml:space="preserve">terature and so the results were divided into </w:t>
      </w:r>
      <w:r w:rsidR="00A6415F" w:rsidRPr="004E0589">
        <w:fldChar w:fldCharType="begin"/>
      </w:r>
      <w:r w:rsidR="00A6415F" w:rsidRPr="004E0589">
        <w:instrText xml:space="preserve"> REF _Ref468306201 \h  \* MERGEFORMAT </w:instrText>
      </w:r>
      <w:r w:rsidR="00A6415F" w:rsidRPr="004E0589">
        <w:fldChar w:fldCharType="separate"/>
      </w:r>
      <w:r w:rsidR="009F5483" w:rsidRPr="004E0589">
        <w:rPr>
          <w:rFonts w:ascii="Times New Roman" w:hAnsi="Times New Roman" w:cs="Times New Roman"/>
        </w:rPr>
        <w:t xml:space="preserve">Figure </w:t>
      </w:r>
      <w:r w:rsidR="009F5483">
        <w:rPr>
          <w:rFonts w:ascii="Times New Roman" w:hAnsi="Times New Roman" w:cs="Times New Roman"/>
          <w:noProof/>
        </w:rPr>
        <w:t>29</w:t>
      </w:r>
      <w:r w:rsidR="00A6415F" w:rsidRPr="004E0589">
        <w:fldChar w:fldCharType="end"/>
      </w:r>
      <w:r w:rsidR="00340F08" w:rsidRPr="004E0589">
        <w:rPr>
          <w:rFonts w:ascii="Times New Roman" w:eastAsia="Calibri" w:hAnsi="Times New Roman" w:cs="Times New Roman"/>
        </w:rPr>
        <w:t xml:space="preserve"> and</w:t>
      </w:r>
      <w:r w:rsidR="00992904" w:rsidRPr="004E0589">
        <w:rPr>
          <w:rFonts w:ascii="Times New Roman" w:eastAsia="Calibri" w:hAnsi="Times New Roman" w:cs="Times New Roman"/>
        </w:rPr>
        <w:t xml:space="preserve"> </w:t>
      </w:r>
      <w:r w:rsidR="00A6415F" w:rsidRPr="004E0589">
        <w:fldChar w:fldCharType="begin"/>
      </w:r>
      <w:r w:rsidR="00A6415F" w:rsidRPr="004E0589">
        <w:instrText xml:space="preserve"> REF _Ref468306272 \h  \* MERGEFORMAT </w:instrText>
      </w:r>
      <w:r w:rsidR="00A6415F" w:rsidRPr="004E0589">
        <w:fldChar w:fldCharType="separate"/>
      </w:r>
      <w:r w:rsidR="009F5483" w:rsidRPr="004E0589">
        <w:rPr>
          <w:rFonts w:ascii="Times New Roman" w:hAnsi="Times New Roman" w:cs="Times New Roman"/>
        </w:rPr>
        <w:t>Figure</w:t>
      </w:r>
      <w:r w:rsidR="009F5483" w:rsidRPr="004E0589">
        <w:rPr>
          <w:rFonts w:ascii="Times New Roman" w:hAnsi="Times New Roman" w:cs="Times New Roman"/>
          <w:noProof/>
        </w:rPr>
        <w:t xml:space="preserve"> </w:t>
      </w:r>
      <w:r w:rsidR="009F5483">
        <w:rPr>
          <w:rFonts w:ascii="Times New Roman" w:hAnsi="Times New Roman" w:cs="Times New Roman"/>
          <w:noProof/>
        </w:rPr>
        <w:t>30</w:t>
      </w:r>
      <w:r w:rsidR="00A6415F" w:rsidRPr="004E0589">
        <w:fldChar w:fldCharType="end"/>
      </w:r>
      <w:r w:rsidRPr="004E0589">
        <w:rPr>
          <w:rFonts w:ascii="Times New Roman" w:eastAsia="Calibri" w:hAnsi="Times New Roman" w:cs="Times New Roman"/>
        </w:rPr>
        <w:t>.</w:t>
      </w:r>
    </w:p>
    <w:p w:rsidR="006A62D1" w:rsidRPr="004E0589" w:rsidRDefault="006A62D1" w:rsidP="000209CE">
      <w:pPr>
        <w:spacing w:after="0" w:line="360" w:lineRule="auto"/>
        <w:ind w:firstLine="720"/>
        <w:jc w:val="both"/>
        <w:rPr>
          <w:rFonts w:ascii="Times New Roman" w:eastAsia="Calibri" w:hAnsi="Times New Roman" w:cs="Times New Roman"/>
        </w:rPr>
      </w:pPr>
      <w:r w:rsidRPr="004E0589">
        <w:rPr>
          <w:rFonts w:ascii="Times New Roman" w:eastAsia="Calibri" w:hAnsi="Times New Roman" w:cs="Times New Roman"/>
        </w:rPr>
        <w:t xml:space="preserve">The results in </w:t>
      </w:r>
      <w:r w:rsidR="00A6415F" w:rsidRPr="004E0589">
        <w:fldChar w:fldCharType="begin"/>
      </w:r>
      <w:r w:rsidR="00A6415F" w:rsidRPr="004E0589">
        <w:instrText xml:space="preserve"> REF _Ref468306201 \h  \* MERGEFORMAT </w:instrText>
      </w:r>
      <w:r w:rsidR="00A6415F" w:rsidRPr="004E0589">
        <w:fldChar w:fldCharType="separate"/>
      </w:r>
      <w:r w:rsidR="009F5483" w:rsidRPr="004E0589">
        <w:rPr>
          <w:rFonts w:ascii="Times New Roman" w:hAnsi="Times New Roman" w:cs="Times New Roman"/>
        </w:rPr>
        <w:t xml:space="preserve">Figure </w:t>
      </w:r>
      <w:r w:rsidR="009F5483">
        <w:rPr>
          <w:rFonts w:ascii="Times New Roman" w:hAnsi="Times New Roman" w:cs="Times New Roman"/>
          <w:noProof/>
        </w:rPr>
        <w:t>29</w:t>
      </w:r>
      <w:r w:rsidR="00A6415F" w:rsidRPr="004E0589">
        <w:fldChar w:fldCharType="end"/>
      </w:r>
      <w:r w:rsidR="000C116D" w:rsidRPr="004E0589">
        <w:rPr>
          <w:rFonts w:ascii="Times New Roman" w:eastAsia="Calibri" w:hAnsi="Times New Roman" w:cs="Times New Roman"/>
        </w:rPr>
        <w:t xml:space="preserve"> were</w:t>
      </w:r>
      <w:r w:rsidRPr="004E0589">
        <w:rPr>
          <w:rFonts w:ascii="Times New Roman" w:eastAsia="Calibri" w:hAnsi="Times New Roman" w:cs="Times New Roman"/>
        </w:rPr>
        <w:t xml:space="preserve"> based on the original data source (Haque) and subsequent variations from it. This is highlighted by the use of three different colours. Results in yellow are resul</w:t>
      </w:r>
      <w:r w:rsidR="00340F08" w:rsidRPr="004E0589">
        <w:rPr>
          <w:rFonts w:ascii="Times New Roman" w:eastAsia="Calibri" w:hAnsi="Times New Roman" w:cs="Times New Roman"/>
        </w:rPr>
        <w:t xml:space="preserve">ts taken directly from Haque, whilst </w:t>
      </w:r>
      <w:r w:rsidRPr="004E0589">
        <w:rPr>
          <w:rFonts w:ascii="Times New Roman" w:eastAsia="Calibri" w:hAnsi="Times New Roman" w:cs="Times New Roman"/>
        </w:rPr>
        <w:t>gold and green colours represent models created using identical data to Haque</w:t>
      </w:r>
      <w:r w:rsidR="00340F08" w:rsidRPr="004E0589">
        <w:rPr>
          <w:rFonts w:ascii="Times New Roman" w:eastAsia="Calibri" w:hAnsi="Times New Roman" w:cs="Times New Roman"/>
        </w:rPr>
        <w:t xml:space="preserve"> (Ha</w:t>
      </w:r>
      <w:r w:rsidR="00545459" w:rsidRPr="004E0589">
        <w:rPr>
          <w:rFonts w:ascii="Times New Roman" w:eastAsia="Calibri" w:hAnsi="Times New Roman" w:cs="Times New Roman"/>
        </w:rPr>
        <w:t>que V</w:t>
      </w:r>
      <w:r w:rsidR="00340F08" w:rsidRPr="004E0589">
        <w:rPr>
          <w:rFonts w:ascii="Times New Roman" w:eastAsia="Calibri" w:hAnsi="Times New Roman" w:cs="Times New Roman"/>
        </w:rPr>
        <w:t>ersion 2)</w:t>
      </w:r>
      <w:r w:rsidRPr="004E0589">
        <w:rPr>
          <w:rFonts w:ascii="Times New Roman" w:eastAsia="Calibri" w:hAnsi="Times New Roman" w:cs="Times New Roman"/>
        </w:rPr>
        <w:t xml:space="preserve"> and a representativ</w:t>
      </w:r>
      <w:r w:rsidR="000C116D" w:rsidRPr="004E0589">
        <w:rPr>
          <w:rFonts w:ascii="Times New Roman" w:eastAsia="Calibri" w:hAnsi="Times New Roman" w:cs="Times New Roman"/>
        </w:rPr>
        <w:t>e global Fe-Cr model. Overall the</w:t>
      </w:r>
      <w:r w:rsidRPr="004E0589">
        <w:rPr>
          <w:rFonts w:ascii="Times New Roman" w:eastAsia="Calibri" w:hAnsi="Times New Roman" w:cs="Times New Roman"/>
        </w:rPr>
        <w:t xml:space="preserve"> four results represent three different electricity sources with the first column, representing Tasmania</w:t>
      </w:r>
      <w:r w:rsidR="000C116D" w:rsidRPr="004E0589">
        <w:rPr>
          <w:rFonts w:ascii="Times New Roman" w:eastAsia="Calibri" w:hAnsi="Times New Roman" w:cs="Times New Roman"/>
        </w:rPr>
        <w:t>n</w:t>
      </w:r>
      <w:r w:rsidRPr="004E0589">
        <w:rPr>
          <w:rFonts w:ascii="Times New Roman" w:eastAsia="Calibri" w:hAnsi="Times New Roman" w:cs="Times New Roman"/>
        </w:rPr>
        <w:t xml:space="preserve"> electricity, the middle two columns representing Australian electricity and the remaining column representing an average electricity process based on global Fe-Cr production.</w:t>
      </w:r>
    </w:p>
    <w:p w:rsidR="006A62D1" w:rsidRPr="004E0589" w:rsidRDefault="006A62D1" w:rsidP="000209CE">
      <w:pPr>
        <w:spacing w:after="0" w:line="360" w:lineRule="auto"/>
        <w:ind w:firstLine="720"/>
        <w:jc w:val="both"/>
        <w:rPr>
          <w:rFonts w:ascii="Times New Roman" w:eastAsia="Calibri" w:hAnsi="Times New Roman" w:cs="Times New Roman"/>
        </w:rPr>
      </w:pPr>
      <w:r w:rsidRPr="004E0589">
        <w:rPr>
          <w:rFonts w:ascii="Times New Roman" w:eastAsia="Calibri" w:hAnsi="Times New Roman" w:cs="Times New Roman"/>
        </w:rPr>
        <w:t>Analysis of the</w:t>
      </w:r>
      <w:r w:rsidR="00FD372D" w:rsidRPr="004E0589">
        <w:rPr>
          <w:rFonts w:ascii="Times New Roman" w:eastAsia="Calibri" w:hAnsi="Times New Roman" w:cs="Times New Roman"/>
        </w:rPr>
        <w:t xml:space="preserve"> results in terms of GWP revealed</w:t>
      </w:r>
      <w:r w:rsidR="00545459" w:rsidRPr="004E0589">
        <w:rPr>
          <w:rFonts w:ascii="Times New Roman" w:eastAsia="Calibri" w:hAnsi="Times New Roman" w:cs="Times New Roman"/>
        </w:rPr>
        <w:t xml:space="preserve"> a number of topics</w:t>
      </w:r>
      <w:r w:rsidR="00CE3792" w:rsidRPr="004E0589">
        <w:rPr>
          <w:rFonts w:ascii="Times New Roman" w:eastAsia="Calibri" w:hAnsi="Times New Roman" w:cs="Times New Roman"/>
        </w:rPr>
        <w:t xml:space="preserve"> for discussion</w:t>
      </w:r>
      <w:r w:rsidRPr="004E0589">
        <w:rPr>
          <w:rFonts w:ascii="Times New Roman" w:eastAsia="Calibri" w:hAnsi="Times New Roman" w:cs="Times New Roman"/>
        </w:rPr>
        <w:t xml:space="preserve">. </w:t>
      </w:r>
      <w:r w:rsidR="00545459" w:rsidRPr="004E0589">
        <w:rPr>
          <w:rFonts w:ascii="Times New Roman" w:eastAsia="Calibri" w:hAnsi="Times New Roman" w:cs="Times New Roman"/>
        </w:rPr>
        <w:t>One of these topics</w:t>
      </w:r>
      <w:r w:rsidR="00340F08" w:rsidRPr="004E0589">
        <w:rPr>
          <w:rFonts w:ascii="Times New Roman" w:eastAsia="Calibri" w:hAnsi="Times New Roman" w:cs="Times New Roman"/>
        </w:rPr>
        <w:t>, s</w:t>
      </w:r>
      <w:r w:rsidRPr="004E0589">
        <w:rPr>
          <w:rFonts w:ascii="Times New Roman" w:eastAsia="Calibri" w:hAnsi="Times New Roman" w:cs="Times New Roman"/>
        </w:rPr>
        <w:t>election of Tasmania as the main electricity source</w:t>
      </w:r>
      <w:r w:rsidR="00340F08" w:rsidRPr="004E0589">
        <w:rPr>
          <w:rFonts w:ascii="Times New Roman" w:eastAsia="Calibri" w:hAnsi="Times New Roman" w:cs="Times New Roman"/>
        </w:rPr>
        <w:t>,</w:t>
      </w:r>
      <w:r w:rsidRPr="004E0589">
        <w:rPr>
          <w:rFonts w:ascii="Times New Roman" w:eastAsia="Calibri" w:hAnsi="Times New Roman" w:cs="Times New Roman"/>
        </w:rPr>
        <w:t xml:space="preserve"> resulted in</w:t>
      </w:r>
      <w:r w:rsidR="00340F08" w:rsidRPr="004E0589">
        <w:rPr>
          <w:rFonts w:ascii="Times New Roman" w:eastAsia="Calibri" w:hAnsi="Times New Roman" w:cs="Times New Roman"/>
        </w:rPr>
        <w:t xml:space="preserve"> the</w:t>
      </w:r>
      <w:r w:rsidRPr="004E0589">
        <w:rPr>
          <w:rFonts w:ascii="Times New Roman" w:eastAsia="Calibri" w:hAnsi="Times New Roman" w:cs="Times New Roman"/>
        </w:rPr>
        <w:t xml:space="preserve"> GWP</w:t>
      </w:r>
      <w:r w:rsidR="00340F08" w:rsidRPr="004E0589">
        <w:rPr>
          <w:rFonts w:ascii="Times New Roman" w:eastAsia="Calibri" w:hAnsi="Times New Roman" w:cs="Times New Roman"/>
        </w:rPr>
        <w:t xml:space="preserve"> value</w:t>
      </w:r>
      <w:r w:rsidRPr="004E0589">
        <w:rPr>
          <w:rFonts w:ascii="Times New Roman" w:eastAsia="Calibri" w:hAnsi="Times New Roman" w:cs="Times New Roman"/>
        </w:rPr>
        <w:t xml:space="preserve"> being ap</w:t>
      </w:r>
      <w:r w:rsidR="00340F08" w:rsidRPr="004E0589">
        <w:rPr>
          <w:rFonts w:ascii="Times New Roman" w:eastAsia="Calibri" w:hAnsi="Times New Roman" w:cs="Times New Roman"/>
        </w:rPr>
        <w:t>proximately 2.4 times lower in comparison to the</w:t>
      </w:r>
      <w:r w:rsidRPr="004E0589">
        <w:rPr>
          <w:rFonts w:ascii="Times New Roman" w:eastAsia="Calibri" w:hAnsi="Times New Roman" w:cs="Times New Roman"/>
        </w:rPr>
        <w:t xml:space="preserve"> selection of Australia. The significant difference bet</w:t>
      </w:r>
      <w:r w:rsidR="00340F08" w:rsidRPr="004E0589">
        <w:rPr>
          <w:rFonts w:ascii="Times New Roman" w:eastAsia="Calibri" w:hAnsi="Times New Roman" w:cs="Times New Roman"/>
        </w:rPr>
        <w:t xml:space="preserve">ween the two results was </w:t>
      </w:r>
      <w:r w:rsidRPr="004E0589">
        <w:rPr>
          <w:rFonts w:ascii="Times New Roman" w:eastAsia="Calibri" w:hAnsi="Times New Roman" w:cs="Times New Roman"/>
        </w:rPr>
        <w:t>due</w:t>
      </w:r>
      <w:r w:rsidR="00340F08" w:rsidRPr="004E0589">
        <w:rPr>
          <w:rFonts w:ascii="Times New Roman" w:eastAsia="Calibri" w:hAnsi="Times New Roman" w:cs="Times New Roman"/>
        </w:rPr>
        <w:t xml:space="preserve"> </w:t>
      </w:r>
      <w:r w:rsidRPr="004E0589">
        <w:rPr>
          <w:rFonts w:ascii="Times New Roman" w:eastAsia="Calibri" w:hAnsi="Times New Roman" w:cs="Times New Roman"/>
        </w:rPr>
        <w:t xml:space="preserve">to hydroelectricity contribution in the fuel mix for Tasmania. </w:t>
      </w:r>
      <w:r w:rsidR="00340F08" w:rsidRPr="004E0589">
        <w:rPr>
          <w:rFonts w:ascii="Times New Roman" w:eastAsia="Calibri" w:hAnsi="Times New Roman" w:cs="Times New Roman"/>
        </w:rPr>
        <w:t xml:space="preserve">Whilst, </w:t>
      </w:r>
      <w:r w:rsidRPr="004E0589">
        <w:rPr>
          <w:rFonts w:ascii="Times New Roman" w:eastAsia="Calibri" w:hAnsi="Times New Roman" w:cs="Times New Roman"/>
        </w:rPr>
        <w:t>Australia’s fuel mix was mainly composed of coal</w:t>
      </w:r>
      <w:r w:rsidR="00FD372D" w:rsidRPr="004E0589">
        <w:rPr>
          <w:rFonts w:ascii="Times New Roman" w:eastAsia="Calibri" w:hAnsi="Times New Roman" w:cs="Times New Roman"/>
        </w:rPr>
        <w:t xml:space="preserve"> and gas fuel, and thus explained why its </w:t>
      </w:r>
      <w:r w:rsidRPr="004E0589">
        <w:rPr>
          <w:rFonts w:ascii="Times New Roman" w:eastAsia="Calibri" w:hAnsi="Times New Roman" w:cs="Times New Roman"/>
        </w:rPr>
        <w:t>GWP value</w:t>
      </w:r>
      <w:r w:rsidR="00FD372D" w:rsidRPr="004E0589">
        <w:rPr>
          <w:rFonts w:ascii="Times New Roman" w:eastAsia="Calibri" w:hAnsi="Times New Roman" w:cs="Times New Roman"/>
        </w:rPr>
        <w:t xml:space="preserve"> was greater</w:t>
      </w:r>
      <w:r w:rsidRPr="004E0589">
        <w:rPr>
          <w:rFonts w:ascii="Times New Roman" w:eastAsia="Calibri" w:hAnsi="Times New Roman" w:cs="Times New Roman"/>
        </w:rPr>
        <w:t xml:space="preserve">. </w:t>
      </w:r>
    </w:p>
    <w:p w:rsidR="006D0B91" w:rsidRPr="004E0589" w:rsidRDefault="00545459" w:rsidP="006D0B91">
      <w:pPr>
        <w:spacing w:after="0" w:line="360" w:lineRule="auto"/>
        <w:ind w:firstLine="720"/>
        <w:jc w:val="both"/>
        <w:rPr>
          <w:rFonts w:ascii="Times New Roman" w:eastAsia="Calibri" w:hAnsi="Times New Roman" w:cs="Times New Roman"/>
        </w:rPr>
      </w:pPr>
      <w:r w:rsidRPr="004E0589">
        <w:rPr>
          <w:rFonts w:ascii="Times New Roman" w:eastAsia="Calibri" w:hAnsi="Times New Roman" w:cs="Times New Roman"/>
        </w:rPr>
        <w:t>Another topic, was t</w:t>
      </w:r>
      <w:r w:rsidR="006A62D1" w:rsidRPr="004E0589">
        <w:rPr>
          <w:rFonts w:ascii="Times New Roman" w:eastAsia="Calibri" w:hAnsi="Times New Roman" w:cs="Times New Roman"/>
        </w:rPr>
        <w:t xml:space="preserve">he GWP value for Fe-Cr Haque </w:t>
      </w:r>
      <w:r w:rsidRPr="004E0589">
        <w:rPr>
          <w:rFonts w:ascii="Times New Roman" w:eastAsia="Calibri" w:hAnsi="Times New Roman" w:cs="Times New Roman"/>
        </w:rPr>
        <w:t>Version 2. This model was created to test the robustness of creating ferro-alloys i.e. the methodology. Results from this model were identical to the original result with a deviance of 0.55%.</w:t>
      </w:r>
      <w:r w:rsidR="009B2F53" w:rsidRPr="004E0589">
        <w:rPr>
          <w:rFonts w:ascii="Times New Roman" w:eastAsia="Calibri" w:hAnsi="Times New Roman" w:cs="Times New Roman"/>
        </w:rPr>
        <w:t>This was</w:t>
      </w:r>
      <w:r w:rsidRPr="004E0589">
        <w:rPr>
          <w:rFonts w:ascii="Times New Roman" w:eastAsia="Calibri" w:hAnsi="Times New Roman" w:cs="Times New Roman"/>
        </w:rPr>
        <w:t xml:space="preserve"> evident because Fe-Cr Haque V</w:t>
      </w:r>
      <w:r w:rsidR="009B2F53" w:rsidRPr="004E0589">
        <w:rPr>
          <w:rFonts w:ascii="Times New Roman" w:eastAsia="Calibri" w:hAnsi="Times New Roman" w:cs="Times New Roman"/>
        </w:rPr>
        <w:t>ersion 2 was modelled using the original data and associated assumptions. Thus it may be argued that by taking Haques data and creating a model, similar results should have been expected. However this can be disputed by a number of factors. Firstly Haque utilised</w:t>
      </w:r>
      <w:r w:rsidR="00992904" w:rsidRPr="004E0589">
        <w:rPr>
          <w:rFonts w:ascii="Times New Roman" w:eastAsia="Calibri" w:hAnsi="Times New Roman" w:cs="Times New Roman"/>
        </w:rPr>
        <w:t xml:space="preserve"> SimaP</w:t>
      </w:r>
      <w:r w:rsidR="006A62D1" w:rsidRPr="004E0589">
        <w:rPr>
          <w:rFonts w:ascii="Times New Roman" w:eastAsia="Calibri" w:hAnsi="Times New Roman" w:cs="Times New Roman"/>
        </w:rPr>
        <w:t>ro software</w:t>
      </w:r>
      <w:r w:rsidR="009B2F53" w:rsidRPr="004E0589">
        <w:rPr>
          <w:rFonts w:ascii="Times New Roman" w:eastAsia="Calibri" w:hAnsi="Times New Roman" w:cs="Times New Roman"/>
        </w:rPr>
        <w:t xml:space="preserve"> to create his models whereas </w:t>
      </w:r>
      <w:r w:rsidR="004D2D91" w:rsidRPr="004E0589">
        <w:rPr>
          <w:rFonts w:ascii="Times New Roman" w:eastAsia="Calibri" w:hAnsi="Times New Roman" w:cs="Times New Roman"/>
        </w:rPr>
        <w:t>GaBi</w:t>
      </w:r>
      <w:r w:rsidR="009B2F53" w:rsidRPr="004E0589">
        <w:rPr>
          <w:rFonts w:ascii="Times New Roman" w:eastAsia="Calibri" w:hAnsi="Times New Roman" w:cs="Times New Roman"/>
        </w:rPr>
        <w:t xml:space="preserve"> software was used to create models in this report.</w:t>
      </w:r>
      <w:r w:rsidR="00945915" w:rsidRPr="004E0589">
        <w:rPr>
          <w:rFonts w:ascii="Times New Roman" w:eastAsia="Calibri" w:hAnsi="Times New Roman" w:cs="Times New Roman"/>
        </w:rPr>
        <w:t xml:space="preserve"> </w:t>
      </w:r>
      <w:r w:rsidR="006A62D1" w:rsidRPr="004E0589">
        <w:rPr>
          <w:rFonts w:ascii="Times New Roman" w:eastAsia="Calibri" w:hAnsi="Times New Roman" w:cs="Times New Roman"/>
        </w:rPr>
        <w:t>Therefore, not only is the reliability of the method being tested, but a comparison of two different softwar</w:t>
      </w:r>
      <w:r w:rsidR="00F65CE2">
        <w:rPr>
          <w:rFonts w:ascii="Times New Roman" w:eastAsia="Calibri" w:hAnsi="Times New Roman" w:cs="Times New Roman"/>
        </w:rPr>
        <w:t>e</w:t>
      </w:r>
      <w:r w:rsidR="009B2F53" w:rsidRPr="004E0589">
        <w:rPr>
          <w:rFonts w:ascii="Times New Roman" w:eastAsia="Calibri" w:hAnsi="Times New Roman" w:cs="Times New Roman"/>
        </w:rPr>
        <w:t>s for creating ferro-alloys are</w:t>
      </w:r>
      <w:r w:rsidR="00945915" w:rsidRPr="004E0589">
        <w:rPr>
          <w:rFonts w:ascii="Times New Roman" w:eastAsia="Calibri" w:hAnsi="Times New Roman" w:cs="Times New Roman"/>
        </w:rPr>
        <w:t xml:space="preserve"> also being assessed</w:t>
      </w:r>
      <w:r w:rsidR="006A62D1" w:rsidRPr="004E0589">
        <w:rPr>
          <w:rFonts w:ascii="Times New Roman" w:eastAsia="Calibri" w:hAnsi="Times New Roman" w:cs="Times New Roman"/>
        </w:rPr>
        <w:t xml:space="preserve">. </w:t>
      </w:r>
    </w:p>
    <w:p w:rsidR="006A62D1" w:rsidRPr="004E0589" w:rsidRDefault="00D17112" w:rsidP="006D0B91">
      <w:pPr>
        <w:spacing w:after="0" w:line="360" w:lineRule="auto"/>
        <w:ind w:firstLine="720"/>
        <w:jc w:val="both"/>
        <w:rPr>
          <w:rFonts w:ascii="Times New Roman" w:eastAsia="Calibri" w:hAnsi="Times New Roman" w:cs="Times New Roman"/>
        </w:rPr>
      </w:pPr>
      <w:r w:rsidRPr="004E0589">
        <w:rPr>
          <w:rFonts w:ascii="Times New Roman" w:eastAsia="Calibri" w:hAnsi="Times New Roman" w:cs="Times New Roman"/>
        </w:rPr>
        <w:lastRenderedPageBreak/>
        <w:t>Additionally within these LCA software programs, there are a wide variety of databases with specific processes. So for one input, a dozen similar processes could be utilised</w:t>
      </w:r>
      <w:r w:rsidR="006D0B91" w:rsidRPr="004E0589">
        <w:rPr>
          <w:rFonts w:ascii="Times New Roman" w:eastAsia="Calibri" w:hAnsi="Times New Roman" w:cs="Times New Roman"/>
        </w:rPr>
        <w:t>.</w:t>
      </w:r>
      <w:r w:rsidRPr="004E0589">
        <w:rPr>
          <w:rFonts w:ascii="Times New Roman" w:eastAsia="Calibri" w:hAnsi="Times New Roman" w:cs="Times New Roman"/>
        </w:rPr>
        <w:t xml:space="preserve"> Although Haque has depicted schematic diagrams</w:t>
      </w:r>
      <w:r w:rsidR="006D0B91" w:rsidRPr="004E0589">
        <w:rPr>
          <w:rFonts w:ascii="Times New Roman" w:eastAsia="Calibri" w:hAnsi="Times New Roman" w:cs="Times New Roman"/>
        </w:rPr>
        <w:t>, completed final</w:t>
      </w:r>
      <w:r w:rsidRPr="004E0589">
        <w:rPr>
          <w:rFonts w:ascii="Times New Roman" w:eastAsia="Calibri" w:hAnsi="Times New Roman" w:cs="Times New Roman"/>
        </w:rPr>
        <w:t xml:space="preserve"> LCA diagrams revealing </w:t>
      </w:r>
      <w:r w:rsidR="006D0B91" w:rsidRPr="004E0589">
        <w:rPr>
          <w:rFonts w:ascii="Times New Roman" w:eastAsia="Calibri" w:hAnsi="Times New Roman" w:cs="Times New Roman"/>
        </w:rPr>
        <w:t xml:space="preserve">the </w:t>
      </w:r>
      <w:r w:rsidRPr="004E0589">
        <w:rPr>
          <w:rFonts w:ascii="Times New Roman" w:eastAsia="Calibri" w:hAnsi="Times New Roman" w:cs="Times New Roman"/>
        </w:rPr>
        <w:t xml:space="preserve">processes </w:t>
      </w:r>
      <w:r w:rsidR="006D0B91" w:rsidRPr="004E0589">
        <w:rPr>
          <w:rFonts w:ascii="Times New Roman" w:eastAsia="Calibri" w:hAnsi="Times New Roman" w:cs="Times New Roman"/>
        </w:rPr>
        <w:t xml:space="preserve">to this kind of detail are missing. Nevertheless </w:t>
      </w:r>
      <w:r w:rsidR="006A62D1" w:rsidRPr="004E0589">
        <w:rPr>
          <w:rFonts w:ascii="Times New Roman" w:eastAsia="Calibri" w:hAnsi="Times New Roman" w:cs="Times New Roman"/>
        </w:rPr>
        <w:t xml:space="preserve">it can be said the GWP values are reliable and accurate based </w:t>
      </w:r>
      <w:r w:rsidR="006D0B91" w:rsidRPr="004E0589">
        <w:rPr>
          <w:rFonts w:ascii="Times New Roman" w:eastAsia="Calibri" w:hAnsi="Times New Roman" w:cs="Times New Roman"/>
        </w:rPr>
        <w:t>the minute deviance between the original result and the result from Haque Version 2.</w:t>
      </w:r>
    </w:p>
    <w:p w:rsidR="006A62D1" w:rsidRPr="004E0589" w:rsidRDefault="00294221" w:rsidP="00294221">
      <w:pPr>
        <w:spacing w:after="0" w:line="360" w:lineRule="auto"/>
        <w:ind w:firstLine="720"/>
        <w:jc w:val="both"/>
        <w:rPr>
          <w:rFonts w:ascii="Times New Roman" w:eastAsia="Calibri" w:hAnsi="Times New Roman" w:cs="Times New Roman"/>
        </w:rPr>
      </w:pPr>
      <w:r w:rsidRPr="004E0589">
        <w:rPr>
          <w:rFonts w:ascii="Times New Roman" w:eastAsia="Calibri" w:hAnsi="Times New Roman" w:cs="Times New Roman"/>
        </w:rPr>
        <w:t>With regards to t</w:t>
      </w:r>
      <w:r w:rsidR="006A62D1" w:rsidRPr="004E0589">
        <w:rPr>
          <w:rFonts w:ascii="Times New Roman" w:eastAsia="Calibri" w:hAnsi="Times New Roman" w:cs="Times New Roman"/>
        </w:rPr>
        <w:t xml:space="preserve">he global Fe-Cr model, highlighted in green, </w:t>
      </w:r>
      <w:r w:rsidRPr="004E0589">
        <w:rPr>
          <w:rFonts w:ascii="Times New Roman" w:eastAsia="Calibri" w:hAnsi="Times New Roman" w:cs="Times New Roman"/>
        </w:rPr>
        <w:t xml:space="preserve">this </w:t>
      </w:r>
      <w:r w:rsidR="006A62D1" w:rsidRPr="004E0589">
        <w:rPr>
          <w:rFonts w:ascii="Times New Roman" w:eastAsia="Calibri" w:hAnsi="Times New Roman" w:cs="Times New Roman"/>
        </w:rPr>
        <w:t>had a higher G</w:t>
      </w:r>
      <w:r w:rsidRPr="004E0589">
        <w:rPr>
          <w:rFonts w:ascii="Times New Roman" w:eastAsia="Calibri" w:hAnsi="Times New Roman" w:cs="Times New Roman"/>
        </w:rPr>
        <w:t>WP value compared to the Haque V</w:t>
      </w:r>
      <w:r w:rsidR="006A62D1" w:rsidRPr="004E0589">
        <w:rPr>
          <w:rFonts w:ascii="Times New Roman" w:eastAsia="Calibri" w:hAnsi="Times New Roman" w:cs="Times New Roman"/>
        </w:rPr>
        <w:t>ersion 2, which represented the original data. This can be explained based on two differences betw</w:t>
      </w:r>
      <w:r w:rsidRPr="004E0589">
        <w:rPr>
          <w:rFonts w:ascii="Times New Roman" w:eastAsia="Calibri" w:hAnsi="Times New Roman" w:cs="Times New Roman"/>
        </w:rPr>
        <w:t>een the models. Firstly, in the Haque V</w:t>
      </w:r>
      <w:r w:rsidR="006A62D1" w:rsidRPr="004E0589">
        <w:rPr>
          <w:rFonts w:ascii="Times New Roman" w:eastAsia="Calibri" w:hAnsi="Times New Roman" w:cs="Times New Roman"/>
        </w:rPr>
        <w:t>ersion 2 model, diesel mix at refinery process was modelled using data from Australia, whereas</w:t>
      </w:r>
      <w:r w:rsidRPr="004E0589">
        <w:rPr>
          <w:rFonts w:ascii="Times New Roman" w:eastAsia="Calibri" w:hAnsi="Times New Roman" w:cs="Times New Roman"/>
        </w:rPr>
        <w:t xml:space="preserve"> the global Fe-Cr model used an</w:t>
      </w:r>
      <w:r w:rsidR="006A62D1" w:rsidRPr="004E0589">
        <w:rPr>
          <w:rFonts w:ascii="Times New Roman" w:eastAsia="Calibri" w:hAnsi="Times New Roman" w:cs="Times New Roman"/>
        </w:rPr>
        <w:t xml:space="preserve"> identica</w:t>
      </w:r>
      <w:r w:rsidRPr="004E0589">
        <w:rPr>
          <w:rFonts w:ascii="Times New Roman" w:eastAsia="Calibri" w:hAnsi="Times New Roman" w:cs="Times New Roman"/>
        </w:rPr>
        <w:t>l process but from China</w:t>
      </w:r>
      <w:r w:rsidR="006A62D1" w:rsidRPr="004E0589">
        <w:rPr>
          <w:rFonts w:ascii="Times New Roman" w:eastAsia="Calibri" w:hAnsi="Times New Roman" w:cs="Times New Roman"/>
        </w:rPr>
        <w:t>. Calculation of GWP based on 1 kg of product from the respective processes revealed values of 0.414 kg-CO</w:t>
      </w:r>
      <w:r w:rsidR="006A62D1" w:rsidRPr="004E0589">
        <w:rPr>
          <w:rFonts w:ascii="Times New Roman" w:eastAsia="Calibri" w:hAnsi="Times New Roman" w:cs="Times New Roman"/>
          <w:vertAlign w:val="subscript"/>
        </w:rPr>
        <w:t>2</w:t>
      </w:r>
      <w:r w:rsidR="006A62D1" w:rsidRPr="004E0589">
        <w:rPr>
          <w:rFonts w:ascii="Times New Roman" w:eastAsia="Calibri" w:hAnsi="Times New Roman" w:cs="Times New Roman"/>
        </w:rPr>
        <w:t>-Equiv for Australia and 0.442 kg-CO</w:t>
      </w:r>
      <w:r w:rsidR="006A62D1" w:rsidRPr="004E0589">
        <w:rPr>
          <w:rFonts w:ascii="Times New Roman" w:eastAsia="Calibri" w:hAnsi="Times New Roman" w:cs="Times New Roman"/>
          <w:vertAlign w:val="subscript"/>
        </w:rPr>
        <w:t>2</w:t>
      </w:r>
      <w:r w:rsidR="006A62D1" w:rsidRPr="004E0589">
        <w:rPr>
          <w:rFonts w:ascii="Times New Roman" w:eastAsia="Calibri" w:hAnsi="Times New Roman" w:cs="Times New Roman"/>
        </w:rPr>
        <w:t>-Equiv for China. The percentage difference between these values based on the lowest value was 6.54%. However diesel mix contributed 4.1 kg or 0.13% in terms of mass</w:t>
      </w:r>
      <w:r w:rsidRPr="004E0589">
        <w:rPr>
          <w:rFonts w:ascii="Times New Roman" w:eastAsia="Calibri" w:hAnsi="Times New Roman" w:cs="Times New Roman"/>
        </w:rPr>
        <w:t>,</w:t>
      </w:r>
      <w:r w:rsidR="006A62D1" w:rsidRPr="004E0589">
        <w:rPr>
          <w:rFonts w:ascii="Times New Roman" w:eastAsia="Calibri" w:hAnsi="Times New Roman" w:cs="Times New Roman"/>
        </w:rPr>
        <w:t xml:space="preserve"> to the complete model, and so its impact would have been minimal to explain the</w:t>
      </w:r>
      <w:r w:rsidRPr="004E0589">
        <w:rPr>
          <w:rFonts w:ascii="Times New Roman" w:eastAsia="Calibri" w:hAnsi="Times New Roman" w:cs="Times New Roman"/>
        </w:rPr>
        <w:t xml:space="preserve"> total</w:t>
      </w:r>
      <w:r w:rsidR="006A62D1" w:rsidRPr="004E0589">
        <w:rPr>
          <w:rFonts w:ascii="Times New Roman" w:eastAsia="Calibri" w:hAnsi="Times New Roman" w:cs="Times New Roman"/>
        </w:rPr>
        <w:t xml:space="preserve"> difference in GWP.</w:t>
      </w:r>
    </w:p>
    <w:p w:rsidR="00294221" w:rsidRPr="004E0589" w:rsidRDefault="006A62D1" w:rsidP="0048464C">
      <w:pPr>
        <w:spacing w:after="0" w:line="360" w:lineRule="auto"/>
        <w:ind w:firstLine="720"/>
        <w:jc w:val="both"/>
        <w:rPr>
          <w:rFonts w:ascii="Times New Roman" w:eastAsia="Calibri" w:hAnsi="Times New Roman" w:cs="Times New Roman"/>
        </w:rPr>
      </w:pPr>
      <w:r w:rsidRPr="004E0589">
        <w:rPr>
          <w:rFonts w:ascii="Times New Roman" w:eastAsia="Calibri" w:hAnsi="Times New Roman" w:cs="Times New Roman"/>
        </w:rPr>
        <w:t>The second dif</w:t>
      </w:r>
      <w:r w:rsidR="00294221" w:rsidRPr="004E0589">
        <w:rPr>
          <w:rFonts w:ascii="Times New Roman" w:eastAsia="Calibri" w:hAnsi="Times New Roman" w:cs="Times New Roman"/>
        </w:rPr>
        <w:t>ference which could account for the majority of the difference between the two GWP values were the processes utilised for electricity grid mix. In the Haque V</w:t>
      </w:r>
      <w:r w:rsidRPr="004E0589">
        <w:rPr>
          <w:rFonts w:ascii="Times New Roman" w:eastAsia="Calibri" w:hAnsi="Times New Roman" w:cs="Times New Roman"/>
        </w:rPr>
        <w:t>ersion 2 model, Australian electricity grid mix was utilised, whereas in the global Fe-Cr model, an average electricity grid mix, based on global Fe-Cr production was created and used. Corresponding to 1MJ, the value from Australia was 0.279 kg/ CO</w:t>
      </w:r>
      <w:r w:rsidRPr="004E0589">
        <w:rPr>
          <w:rFonts w:ascii="Times New Roman" w:eastAsia="Calibri" w:hAnsi="Times New Roman" w:cs="Times New Roman"/>
          <w:vertAlign w:val="subscript"/>
        </w:rPr>
        <w:t>2</w:t>
      </w:r>
      <w:r w:rsidRPr="004E0589">
        <w:rPr>
          <w:rFonts w:ascii="Times New Roman" w:eastAsia="Calibri" w:hAnsi="Times New Roman" w:cs="Times New Roman"/>
        </w:rPr>
        <w:t xml:space="preserve"> and 0.293 kg/ CO</w:t>
      </w:r>
      <w:r w:rsidRPr="004E0589">
        <w:rPr>
          <w:rFonts w:ascii="Times New Roman" w:eastAsia="Calibri" w:hAnsi="Times New Roman" w:cs="Times New Roman"/>
          <w:vertAlign w:val="subscript"/>
        </w:rPr>
        <w:t>2</w:t>
      </w:r>
      <w:r w:rsidRPr="004E0589">
        <w:rPr>
          <w:rFonts w:ascii="Times New Roman" w:eastAsia="Calibri" w:hAnsi="Times New Roman" w:cs="Times New Roman"/>
        </w:rPr>
        <w:t xml:space="preserve"> for</w:t>
      </w:r>
      <w:r w:rsidR="00294221" w:rsidRPr="004E0589">
        <w:rPr>
          <w:rFonts w:ascii="Times New Roman" w:eastAsia="Calibri" w:hAnsi="Times New Roman" w:cs="Times New Roman"/>
        </w:rPr>
        <w:t xml:space="preserve"> the global</w:t>
      </w:r>
      <w:r w:rsidRPr="004E0589">
        <w:rPr>
          <w:rFonts w:ascii="Times New Roman" w:eastAsia="Calibri" w:hAnsi="Times New Roman" w:cs="Times New Roman"/>
        </w:rPr>
        <w:t xml:space="preserve"> average electricity model. The percentage difference</w:t>
      </w:r>
      <w:r w:rsidR="00294221" w:rsidRPr="004E0589">
        <w:rPr>
          <w:rFonts w:ascii="Times New Roman" w:eastAsia="Calibri" w:hAnsi="Times New Roman" w:cs="Times New Roman"/>
        </w:rPr>
        <w:t xml:space="preserve"> between these values correlated</w:t>
      </w:r>
      <w:r w:rsidRPr="004E0589">
        <w:rPr>
          <w:rFonts w:ascii="Times New Roman" w:eastAsia="Calibri" w:hAnsi="Times New Roman" w:cs="Times New Roman"/>
        </w:rPr>
        <w:t xml:space="preserve"> to 4.89%.</w:t>
      </w:r>
      <w:r w:rsidR="00294221" w:rsidRPr="004E0589">
        <w:rPr>
          <w:rFonts w:ascii="Times New Roman" w:eastAsia="Calibri" w:hAnsi="Times New Roman" w:cs="Times New Roman"/>
        </w:rPr>
        <w:t xml:space="preserve"> This percentage difference was</w:t>
      </w:r>
      <w:r w:rsidRPr="004E0589">
        <w:rPr>
          <w:rFonts w:ascii="Times New Roman" w:eastAsia="Calibri" w:hAnsi="Times New Roman" w:cs="Times New Roman"/>
        </w:rPr>
        <w:t xml:space="preserve"> also the difference between the two GWP values</w:t>
      </w:r>
      <w:r w:rsidR="00294221" w:rsidRPr="004E0589">
        <w:rPr>
          <w:rFonts w:ascii="Times New Roman" w:eastAsia="Calibri" w:hAnsi="Times New Roman" w:cs="Times New Roman"/>
        </w:rPr>
        <w:t xml:space="preserve"> approximately 4.57%</w:t>
      </w:r>
      <w:r w:rsidRPr="004E0589">
        <w:rPr>
          <w:rFonts w:ascii="Times New Roman" w:eastAsia="Calibri" w:hAnsi="Times New Roman" w:cs="Times New Roman"/>
        </w:rPr>
        <w:t>.</w:t>
      </w:r>
      <w:r w:rsidR="00294221" w:rsidRPr="004E0589">
        <w:rPr>
          <w:rFonts w:ascii="Times New Roman" w:eastAsia="Calibri" w:hAnsi="Times New Roman" w:cs="Times New Roman"/>
        </w:rPr>
        <w:t xml:space="preserve"> These percentages are</w:t>
      </w:r>
      <w:r w:rsidR="0048464C" w:rsidRPr="004E0589">
        <w:rPr>
          <w:rFonts w:ascii="Times New Roman" w:eastAsia="Calibri" w:hAnsi="Times New Roman" w:cs="Times New Roman"/>
        </w:rPr>
        <w:t xml:space="preserve"> supported by the fact there were no other noticeable differences via process or quantities between the two models</w:t>
      </w:r>
      <w:r w:rsidRPr="004E0589">
        <w:rPr>
          <w:rFonts w:ascii="Times New Roman" w:eastAsia="Calibri" w:hAnsi="Times New Roman" w:cs="Times New Roman"/>
        </w:rPr>
        <w:t xml:space="preserve"> </w:t>
      </w:r>
    </w:p>
    <w:p w:rsidR="00064007" w:rsidRPr="004E0589" w:rsidRDefault="006A62D1" w:rsidP="00064007">
      <w:pPr>
        <w:spacing w:after="0" w:line="360" w:lineRule="auto"/>
        <w:ind w:firstLine="720"/>
        <w:jc w:val="both"/>
        <w:rPr>
          <w:rFonts w:ascii="Times New Roman" w:eastAsia="Calibri" w:hAnsi="Times New Roman" w:cs="Times New Roman"/>
        </w:rPr>
      </w:pPr>
      <w:r w:rsidRPr="004E0589">
        <w:rPr>
          <w:rFonts w:ascii="Times New Roman" w:eastAsia="Calibri" w:hAnsi="Times New Roman" w:cs="Times New Roman"/>
        </w:rPr>
        <w:t xml:space="preserve">Apart from the original data source, multiple other data sources were also utilised to create Fe-Cr models as shown by </w:t>
      </w:r>
      <w:r w:rsidR="00A6415F" w:rsidRPr="004E0589">
        <w:fldChar w:fldCharType="begin"/>
      </w:r>
      <w:r w:rsidR="00A6415F" w:rsidRPr="004E0589">
        <w:instrText xml:space="preserve"> REF _Ref468306272 \h  \* MERGEFORMAT </w:instrText>
      </w:r>
      <w:r w:rsidR="00A6415F" w:rsidRPr="004E0589">
        <w:fldChar w:fldCharType="separate"/>
      </w:r>
      <w:r w:rsidR="009F5483" w:rsidRPr="004E0589">
        <w:rPr>
          <w:rFonts w:ascii="Times New Roman" w:hAnsi="Times New Roman" w:cs="Times New Roman"/>
        </w:rPr>
        <w:t>Figure</w:t>
      </w:r>
      <w:r w:rsidR="009F5483" w:rsidRPr="004E0589">
        <w:rPr>
          <w:rFonts w:ascii="Times New Roman" w:hAnsi="Times New Roman" w:cs="Times New Roman"/>
          <w:noProof/>
        </w:rPr>
        <w:t xml:space="preserve"> </w:t>
      </w:r>
      <w:r w:rsidR="009F5483">
        <w:rPr>
          <w:rFonts w:ascii="Times New Roman" w:hAnsi="Times New Roman" w:cs="Times New Roman"/>
          <w:noProof/>
        </w:rPr>
        <w:t>30</w:t>
      </w:r>
      <w:r w:rsidR="00A6415F" w:rsidRPr="004E0589">
        <w:fldChar w:fldCharType="end"/>
      </w:r>
      <w:r w:rsidRPr="004E0589">
        <w:rPr>
          <w:rFonts w:ascii="Times New Roman" w:eastAsia="Calibri" w:hAnsi="Times New Roman" w:cs="Times New Roman"/>
        </w:rPr>
        <w:t>.</w:t>
      </w:r>
    </w:p>
    <w:p w:rsidR="00064007" w:rsidRPr="004E0589" w:rsidRDefault="00064007" w:rsidP="00064007">
      <w:pPr>
        <w:spacing w:after="0" w:line="360" w:lineRule="auto"/>
        <w:rPr>
          <w:rFonts w:ascii="Times New Roman" w:hAnsi="Times New Roman" w:cs="Times New Roman"/>
        </w:rPr>
      </w:pPr>
    </w:p>
    <w:p w:rsidR="00064007" w:rsidRPr="004E0589" w:rsidRDefault="00064007" w:rsidP="00064007">
      <w:pPr>
        <w:spacing w:after="0" w:line="360" w:lineRule="auto"/>
        <w:rPr>
          <w:rFonts w:ascii="Times New Roman" w:hAnsi="Times New Roman" w:cs="Times New Roman"/>
        </w:rPr>
      </w:pPr>
    </w:p>
    <w:p w:rsidR="00064007" w:rsidRPr="004E0589" w:rsidRDefault="00064007" w:rsidP="00064007">
      <w:pPr>
        <w:spacing w:after="0" w:line="360" w:lineRule="auto"/>
        <w:rPr>
          <w:rFonts w:ascii="Times New Roman" w:hAnsi="Times New Roman" w:cs="Times New Roman"/>
        </w:rPr>
      </w:pPr>
    </w:p>
    <w:p w:rsidR="00064007" w:rsidRPr="004E0589" w:rsidRDefault="00064007" w:rsidP="00064007">
      <w:pPr>
        <w:spacing w:after="0" w:line="360" w:lineRule="auto"/>
        <w:rPr>
          <w:rFonts w:ascii="Times New Roman" w:hAnsi="Times New Roman" w:cs="Times New Roman"/>
        </w:rPr>
      </w:pPr>
    </w:p>
    <w:p w:rsidR="00064007" w:rsidRDefault="00064007" w:rsidP="00064007">
      <w:pPr>
        <w:spacing w:after="0" w:line="360" w:lineRule="auto"/>
        <w:rPr>
          <w:rFonts w:ascii="Times New Roman" w:hAnsi="Times New Roman" w:cs="Times New Roman"/>
        </w:rPr>
      </w:pPr>
    </w:p>
    <w:p w:rsidR="00064007" w:rsidRPr="004E0589" w:rsidRDefault="00FF3CA4" w:rsidP="00774856">
      <w:pPr>
        <w:spacing w:after="0" w:line="360" w:lineRule="auto"/>
        <w:jc w:val="center"/>
        <w:rPr>
          <w:rFonts w:ascii="Times New Roman" w:eastAsia="Calibri" w:hAnsi="Times New Roman" w:cs="Times New Roman"/>
        </w:rPr>
      </w:pPr>
      <w:bookmarkStart w:id="148" w:name="_Ref468306272"/>
      <w:bookmarkStart w:id="149" w:name="_Toc495848363"/>
      <w:r>
        <w:rPr>
          <w:noProof/>
        </w:rPr>
        <w:lastRenderedPageBreak/>
        <w:drawing>
          <wp:inline distT="0" distB="0" distL="0" distR="0" wp14:anchorId="13AF1B23" wp14:editId="345DF21D">
            <wp:extent cx="5731510" cy="2821940"/>
            <wp:effectExtent l="0" t="0" r="2540" b="1651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r w:rsidR="006A62D1" w:rsidRPr="004E0589">
        <w:rPr>
          <w:rFonts w:ascii="Times New Roman" w:hAnsi="Times New Roman" w:cs="Times New Roman"/>
        </w:rPr>
        <w:t xml:space="preserve">Figure </w:t>
      </w:r>
      <w:r w:rsidR="009A0ED7" w:rsidRPr="004E0589">
        <w:rPr>
          <w:rFonts w:ascii="Times New Roman" w:hAnsi="Times New Roman" w:cs="Times New Roman"/>
        </w:rPr>
        <w:fldChar w:fldCharType="begin"/>
      </w:r>
      <w:r w:rsidR="006A62D1" w:rsidRPr="004E0589">
        <w:rPr>
          <w:rFonts w:ascii="Times New Roman" w:hAnsi="Times New Roman" w:cs="Times New Roman"/>
        </w:rPr>
        <w:instrText xml:space="preserve"> SEQ Figure \* ARABIC </w:instrText>
      </w:r>
      <w:r w:rsidR="009A0ED7" w:rsidRPr="004E0589">
        <w:rPr>
          <w:rFonts w:ascii="Times New Roman" w:hAnsi="Times New Roman" w:cs="Times New Roman"/>
        </w:rPr>
        <w:fldChar w:fldCharType="separate"/>
      </w:r>
      <w:r w:rsidR="009F5483">
        <w:rPr>
          <w:rFonts w:ascii="Times New Roman" w:hAnsi="Times New Roman" w:cs="Times New Roman"/>
          <w:noProof/>
        </w:rPr>
        <w:t>30</w:t>
      </w:r>
      <w:r w:rsidR="009A0ED7" w:rsidRPr="004E0589">
        <w:rPr>
          <w:rFonts w:ascii="Times New Roman" w:hAnsi="Times New Roman" w:cs="Times New Roman"/>
        </w:rPr>
        <w:fldChar w:fldCharType="end"/>
      </w:r>
      <w:bookmarkEnd w:id="148"/>
      <w:r w:rsidR="006A62D1" w:rsidRPr="004E0589">
        <w:rPr>
          <w:rFonts w:ascii="Times New Roman" w:hAnsi="Times New Roman" w:cs="Times New Roman"/>
        </w:rPr>
        <w:t xml:space="preserve">. </w:t>
      </w:r>
      <w:r w:rsidR="006A62D1" w:rsidRPr="004E0589">
        <w:rPr>
          <w:rFonts w:ascii="Times New Roman" w:eastAsia="Calibri" w:hAnsi="Times New Roman" w:cs="Times New Roman"/>
        </w:rPr>
        <w:t xml:space="preserve">Comparison of Eurometaux and </w:t>
      </w:r>
      <w:r w:rsidR="004D2D91" w:rsidRPr="004E0589">
        <w:rPr>
          <w:rFonts w:ascii="Times New Roman" w:eastAsia="Calibri" w:hAnsi="Times New Roman" w:cs="Times New Roman"/>
        </w:rPr>
        <w:t>GaBi</w:t>
      </w:r>
      <w:r w:rsidR="006A62D1" w:rsidRPr="004E0589">
        <w:rPr>
          <w:rFonts w:ascii="Times New Roman" w:eastAsia="Calibri" w:hAnsi="Times New Roman" w:cs="Times New Roman"/>
        </w:rPr>
        <w:t xml:space="preserve"> literature sources for Fe-Cr production via GWP.</w:t>
      </w:r>
      <w:bookmarkEnd w:id="149"/>
    </w:p>
    <w:p w:rsidR="006A62D1" w:rsidRPr="004E0589" w:rsidRDefault="00A6415F" w:rsidP="00A81569">
      <w:pPr>
        <w:spacing w:after="0" w:line="360" w:lineRule="auto"/>
        <w:ind w:firstLine="720"/>
        <w:jc w:val="both"/>
        <w:rPr>
          <w:rFonts w:ascii="Times New Roman" w:eastAsia="Calibri" w:hAnsi="Times New Roman" w:cs="Times New Roman"/>
        </w:rPr>
      </w:pPr>
      <w:r w:rsidRPr="004E0589">
        <w:fldChar w:fldCharType="begin"/>
      </w:r>
      <w:r w:rsidRPr="004E0589">
        <w:instrText xml:space="preserve"> REF _Ref468306272 \h  \* MERGEFORMAT </w:instrText>
      </w:r>
      <w:r w:rsidRPr="004E0589">
        <w:fldChar w:fldCharType="separate"/>
      </w:r>
      <w:r w:rsidR="009F5483" w:rsidRPr="004E0589">
        <w:rPr>
          <w:rFonts w:ascii="Times New Roman" w:hAnsi="Times New Roman" w:cs="Times New Roman"/>
        </w:rPr>
        <w:t>Figure</w:t>
      </w:r>
      <w:r w:rsidR="009F5483" w:rsidRPr="004E0589">
        <w:rPr>
          <w:rFonts w:ascii="Times New Roman" w:hAnsi="Times New Roman" w:cs="Times New Roman"/>
          <w:noProof/>
        </w:rPr>
        <w:t xml:space="preserve"> </w:t>
      </w:r>
      <w:r w:rsidR="009F5483">
        <w:rPr>
          <w:rFonts w:ascii="Times New Roman" w:hAnsi="Times New Roman" w:cs="Times New Roman"/>
          <w:noProof/>
        </w:rPr>
        <w:t>30</w:t>
      </w:r>
      <w:r w:rsidRPr="004E0589">
        <w:fldChar w:fldCharType="end"/>
      </w:r>
      <w:r w:rsidR="006A62D1" w:rsidRPr="004E0589">
        <w:rPr>
          <w:rFonts w:ascii="Times New Roman" w:eastAsia="Calibri" w:hAnsi="Times New Roman" w:cs="Times New Roman"/>
        </w:rPr>
        <w:t xml:space="preserve">, </w:t>
      </w:r>
      <w:r w:rsidR="00A81569" w:rsidRPr="004E0589">
        <w:rPr>
          <w:rFonts w:ascii="Times New Roman" w:eastAsia="Calibri" w:hAnsi="Times New Roman" w:cs="Times New Roman"/>
        </w:rPr>
        <w:t xml:space="preserve">compared alternative Fe-Cr models created using data from </w:t>
      </w:r>
      <w:r w:rsidR="00A81569" w:rsidRPr="004E0589">
        <w:rPr>
          <w:rFonts w:ascii="Times New Roman" w:eastAsia="Calibri" w:hAnsi="Times New Roman" w:cs="Times New Roman"/>
          <w:noProof/>
        </w:rPr>
        <w:t>(Eurometaux 2014)</w:t>
      </w:r>
      <w:r w:rsidR="00A81569" w:rsidRPr="004E0589">
        <w:rPr>
          <w:rFonts w:ascii="Times New Roman" w:eastAsia="Calibri" w:hAnsi="Times New Roman" w:cs="Times New Roman"/>
        </w:rPr>
        <w:t xml:space="preserve">. In the case of </w:t>
      </w:r>
      <w:r w:rsidR="004D2D91" w:rsidRPr="004E0589">
        <w:rPr>
          <w:rFonts w:ascii="Times New Roman" w:eastAsia="Calibri" w:hAnsi="Times New Roman" w:cs="Times New Roman"/>
        </w:rPr>
        <w:t>GaBi</w:t>
      </w:r>
      <w:r w:rsidR="00A81569" w:rsidRPr="004E0589">
        <w:rPr>
          <w:rFonts w:ascii="Times New Roman" w:eastAsia="Calibri" w:hAnsi="Times New Roman" w:cs="Times New Roman"/>
        </w:rPr>
        <w:t xml:space="preserve">, Fe-Cr models were not created, but instead existing models were obtained and contrasted against. In terms of analysis, </w:t>
      </w:r>
      <w:r w:rsidRPr="004E0589">
        <w:fldChar w:fldCharType="begin"/>
      </w:r>
      <w:r w:rsidRPr="004E0589">
        <w:instrText xml:space="preserve"> REF _Ref468306272 \h  \* MERGEFORMAT </w:instrText>
      </w:r>
      <w:r w:rsidRPr="004E0589">
        <w:fldChar w:fldCharType="separate"/>
      </w:r>
      <w:r w:rsidR="009F5483" w:rsidRPr="004E0589">
        <w:rPr>
          <w:rFonts w:ascii="Times New Roman" w:hAnsi="Times New Roman" w:cs="Times New Roman"/>
        </w:rPr>
        <w:t>Figure</w:t>
      </w:r>
      <w:r w:rsidR="009F5483" w:rsidRPr="004E0589">
        <w:rPr>
          <w:rFonts w:ascii="Times New Roman" w:hAnsi="Times New Roman" w:cs="Times New Roman"/>
          <w:noProof/>
        </w:rPr>
        <w:t xml:space="preserve"> </w:t>
      </w:r>
      <w:r w:rsidR="009F5483">
        <w:rPr>
          <w:rFonts w:ascii="Times New Roman" w:hAnsi="Times New Roman" w:cs="Times New Roman"/>
          <w:noProof/>
        </w:rPr>
        <w:t>30</w:t>
      </w:r>
      <w:r w:rsidRPr="004E0589">
        <w:fldChar w:fldCharType="end"/>
      </w:r>
      <w:r w:rsidR="00A81569" w:rsidRPr="004E0589">
        <w:rPr>
          <w:rFonts w:ascii="Times New Roman" w:eastAsia="Calibri" w:hAnsi="Times New Roman" w:cs="Times New Roman"/>
        </w:rPr>
        <w:t xml:space="preserve"> highlights a number of trends. Firstly </w:t>
      </w:r>
      <w:r w:rsidR="006A62D1" w:rsidRPr="004E0589">
        <w:rPr>
          <w:rFonts w:ascii="Times New Roman" w:eastAsia="Calibri" w:hAnsi="Times New Roman" w:cs="Times New Roman"/>
        </w:rPr>
        <w:t xml:space="preserve">HC Fe-Cr GWP values for both Eurometaux and </w:t>
      </w:r>
      <w:r w:rsidR="004D2D91" w:rsidRPr="004E0589">
        <w:rPr>
          <w:rFonts w:ascii="Times New Roman" w:eastAsia="Calibri" w:hAnsi="Times New Roman" w:cs="Times New Roman"/>
        </w:rPr>
        <w:t>GaBi</w:t>
      </w:r>
      <w:r w:rsidR="006A62D1" w:rsidRPr="004E0589">
        <w:rPr>
          <w:rFonts w:ascii="Times New Roman" w:eastAsia="Calibri" w:hAnsi="Times New Roman" w:cs="Times New Roman"/>
        </w:rPr>
        <w:t xml:space="preserve"> are lower than LC Fe-Cr models. </w:t>
      </w:r>
      <w:r w:rsidR="00A81569" w:rsidRPr="004E0589">
        <w:rPr>
          <w:rFonts w:ascii="Times New Roman" w:eastAsia="Calibri" w:hAnsi="Times New Roman" w:cs="Times New Roman"/>
        </w:rPr>
        <w:t>Secondly, f</w:t>
      </w:r>
      <w:r w:rsidR="006A62D1" w:rsidRPr="004E0589">
        <w:rPr>
          <w:rFonts w:ascii="Times New Roman" w:eastAsia="Calibri" w:hAnsi="Times New Roman" w:cs="Times New Roman"/>
        </w:rPr>
        <w:t xml:space="preserve">or Eurometaux, variation in percentage of silicon, shows increasing the silicon percentage increases the GWP value. </w:t>
      </w:r>
      <w:r w:rsidR="00A81569" w:rsidRPr="004E0589">
        <w:rPr>
          <w:rFonts w:ascii="Times New Roman" w:eastAsia="Calibri" w:hAnsi="Times New Roman" w:cs="Times New Roman"/>
        </w:rPr>
        <w:t>Thirdly, t</w:t>
      </w:r>
      <w:r w:rsidR="006A62D1" w:rsidRPr="004E0589">
        <w:rPr>
          <w:rFonts w:ascii="Times New Roman" w:eastAsia="Calibri" w:hAnsi="Times New Roman" w:cs="Times New Roman"/>
        </w:rPr>
        <w:t xml:space="preserve">he results for Eurometaux for both HC and LC Fe-Cr models are approximately 35% lower compared to HC and LC Fe-Cr models from </w:t>
      </w:r>
      <w:r w:rsidR="004D2D91" w:rsidRPr="004E0589">
        <w:rPr>
          <w:rFonts w:ascii="Times New Roman" w:eastAsia="Calibri" w:hAnsi="Times New Roman" w:cs="Times New Roman"/>
        </w:rPr>
        <w:t>GaBi</w:t>
      </w:r>
      <w:r w:rsidR="006A62D1" w:rsidRPr="004E0589">
        <w:rPr>
          <w:rFonts w:ascii="Times New Roman" w:eastAsia="Calibri" w:hAnsi="Times New Roman" w:cs="Times New Roman"/>
        </w:rPr>
        <w:t>.</w:t>
      </w:r>
    </w:p>
    <w:p w:rsidR="00C87B86" w:rsidRPr="004E0589" w:rsidRDefault="00A81569" w:rsidP="00C87B86">
      <w:pPr>
        <w:spacing w:after="0" w:line="360" w:lineRule="auto"/>
        <w:ind w:firstLine="720"/>
        <w:jc w:val="both"/>
        <w:rPr>
          <w:rFonts w:ascii="Times New Roman" w:eastAsia="Calibri" w:hAnsi="Times New Roman" w:cs="Times New Roman"/>
        </w:rPr>
      </w:pPr>
      <w:r w:rsidRPr="004E0589">
        <w:rPr>
          <w:rFonts w:ascii="Times New Roman" w:eastAsia="Calibri" w:hAnsi="Times New Roman" w:cs="Times New Roman"/>
        </w:rPr>
        <w:t xml:space="preserve">Comparison of results from </w:t>
      </w:r>
      <w:r w:rsidR="00A6415F" w:rsidRPr="004E0589">
        <w:fldChar w:fldCharType="begin"/>
      </w:r>
      <w:r w:rsidR="00A6415F" w:rsidRPr="004E0589">
        <w:instrText xml:space="preserve"> REF _Ref468306272 \h  \* MERGEFORMAT </w:instrText>
      </w:r>
      <w:r w:rsidR="00A6415F" w:rsidRPr="004E0589">
        <w:fldChar w:fldCharType="separate"/>
      </w:r>
      <w:r w:rsidR="009F5483" w:rsidRPr="004E0589">
        <w:rPr>
          <w:rFonts w:ascii="Times New Roman" w:hAnsi="Times New Roman" w:cs="Times New Roman"/>
        </w:rPr>
        <w:t>Figure</w:t>
      </w:r>
      <w:r w:rsidR="009F5483" w:rsidRPr="004E0589">
        <w:rPr>
          <w:rFonts w:ascii="Times New Roman" w:hAnsi="Times New Roman" w:cs="Times New Roman"/>
          <w:noProof/>
        </w:rPr>
        <w:t xml:space="preserve"> </w:t>
      </w:r>
      <w:r w:rsidR="009F5483">
        <w:rPr>
          <w:rFonts w:ascii="Times New Roman" w:hAnsi="Times New Roman" w:cs="Times New Roman"/>
          <w:noProof/>
        </w:rPr>
        <w:t>30</w:t>
      </w:r>
      <w:r w:rsidR="00A6415F" w:rsidRPr="004E0589">
        <w:fldChar w:fldCharType="end"/>
      </w:r>
      <w:r w:rsidRPr="004E0589">
        <w:rPr>
          <w:rFonts w:ascii="Times New Roman" w:eastAsia="Calibri" w:hAnsi="Times New Roman" w:cs="Times New Roman"/>
        </w:rPr>
        <w:t xml:space="preserve"> against results from the original model</w:t>
      </w:r>
      <w:r w:rsidR="00F65CE2">
        <w:rPr>
          <w:rFonts w:ascii="Times New Roman" w:eastAsia="Calibri" w:hAnsi="Times New Roman" w:cs="Times New Roman"/>
        </w:rPr>
        <w:t xml:space="preserve"> reveal</w:t>
      </w:r>
      <w:r w:rsidR="00020DA7" w:rsidRPr="004E0589">
        <w:rPr>
          <w:rFonts w:ascii="Times New Roman" w:eastAsia="Calibri" w:hAnsi="Times New Roman" w:cs="Times New Roman"/>
        </w:rPr>
        <w:t xml:space="preserve"> the GWP values from Eurometaux were approximately 30% lower taking the lowest GWP values from all models. Whilst values for </w:t>
      </w:r>
      <w:r w:rsidR="004D2D91" w:rsidRPr="004E0589">
        <w:rPr>
          <w:rFonts w:ascii="Times New Roman" w:eastAsia="Calibri" w:hAnsi="Times New Roman" w:cs="Times New Roman"/>
        </w:rPr>
        <w:t>GaBi</w:t>
      </w:r>
      <w:r w:rsidR="00020DA7" w:rsidRPr="004E0589">
        <w:rPr>
          <w:rFonts w:ascii="Times New Roman" w:eastAsia="Calibri" w:hAnsi="Times New Roman" w:cs="Times New Roman"/>
        </w:rPr>
        <w:t xml:space="preserve"> were approximately 10 % higher, taking the highest GWP value from both models.</w:t>
      </w:r>
    </w:p>
    <w:p w:rsidR="00C87B86" w:rsidRPr="004E0589" w:rsidRDefault="006A62D1" w:rsidP="00C87B86">
      <w:pPr>
        <w:spacing w:after="0" w:line="360" w:lineRule="auto"/>
        <w:ind w:firstLine="720"/>
        <w:jc w:val="both"/>
        <w:rPr>
          <w:rFonts w:ascii="Times New Roman" w:eastAsia="Calibri" w:hAnsi="Times New Roman" w:cs="Times New Roman"/>
        </w:rPr>
      </w:pPr>
      <w:r w:rsidRPr="004E0589">
        <w:rPr>
          <w:rFonts w:ascii="Times New Roman" w:eastAsia="Calibri" w:hAnsi="Times New Roman" w:cs="Times New Roman"/>
        </w:rPr>
        <w:t xml:space="preserve">An in-depth analysis of </w:t>
      </w:r>
      <w:r w:rsidR="00C87B86" w:rsidRPr="004E0589">
        <w:rPr>
          <w:rFonts w:ascii="Times New Roman" w:eastAsia="Calibri" w:hAnsi="Times New Roman" w:cs="Times New Roman"/>
        </w:rPr>
        <w:t>models from Eurometaux, displayed</w:t>
      </w:r>
      <w:r w:rsidRPr="004E0589">
        <w:rPr>
          <w:rFonts w:ascii="Times New Roman" w:eastAsia="Calibri" w:hAnsi="Times New Roman" w:cs="Times New Roman"/>
        </w:rPr>
        <w:t xml:space="preserve"> identical GWP results for both high and low carbon (13% Si) models. Even-though, the production routes for HC Fe-Cr (carbo-thermic reduction) and </w:t>
      </w:r>
      <w:r w:rsidR="00C87B86" w:rsidRPr="004E0589">
        <w:rPr>
          <w:rFonts w:ascii="Times New Roman" w:eastAsia="Calibri" w:hAnsi="Times New Roman" w:cs="Times New Roman"/>
        </w:rPr>
        <w:t>LC Fe-Cr (silicon reduction) were different, it was</w:t>
      </w:r>
      <w:r w:rsidRPr="004E0589">
        <w:rPr>
          <w:rFonts w:ascii="Times New Roman" w:eastAsia="Calibri" w:hAnsi="Times New Roman" w:cs="Times New Roman"/>
        </w:rPr>
        <w:t xml:space="preserve"> their i</w:t>
      </w:r>
      <w:r w:rsidR="00C87B86" w:rsidRPr="004E0589">
        <w:rPr>
          <w:rFonts w:ascii="Times New Roman" w:eastAsia="Calibri" w:hAnsi="Times New Roman" w:cs="Times New Roman"/>
        </w:rPr>
        <w:t>nputs which impacted upon the</w:t>
      </w:r>
      <w:r w:rsidRPr="004E0589">
        <w:rPr>
          <w:rFonts w:ascii="Times New Roman" w:eastAsia="Calibri" w:hAnsi="Times New Roman" w:cs="Times New Roman"/>
        </w:rPr>
        <w:t xml:space="preserve"> GWP value</w:t>
      </w:r>
      <w:r w:rsidR="00C87B86" w:rsidRPr="004E0589">
        <w:rPr>
          <w:rFonts w:ascii="Times New Roman" w:eastAsia="Calibri" w:hAnsi="Times New Roman" w:cs="Times New Roman"/>
        </w:rPr>
        <w:t>s</w:t>
      </w:r>
      <w:r w:rsidRPr="004E0589">
        <w:rPr>
          <w:rFonts w:ascii="Times New Roman" w:eastAsia="Calibri" w:hAnsi="Times New Roman" w:cs="Times New Roman"/>
        </w:rPr>
        <w:t xml:space="preserve">. In this case both processes had identical electrical energy inputs of 3100 kWh/t (HC Fe-Cr) and 3400 kWh/t (LC Fe-Cr) respectively. In terms of inputs, </w:t>
      </w:r>
      <w:r w:rsidR="00C87B86" w:rsidRPr="004E0589">
        <w:rPr>
          <w:rFonts w:ascii="Times New Roman" w:eastAsia="Calibri" w:hAnsi="Times New Roman" w:cs="Times New Roman"/>
        </w:rPr>
        <w:t xml:space="preserve">HC Fe-Cr </w:t>
      </w:r>
      <w:r w:rsidRPr="004E0589">
        <w:rPr>
          <w:rFonts w:ascii="Times New Roman" w:eastAsia="Calibri" w:hAnsi="Times New Roman" w:cs="Times New Roman"/>
        </w:rPr>
        <w:t>utilised 700kg more chromite and 500 kg of carbon</w:t>
      </w:r>
      <w:r w:rsidR="00C87B86" w:rsidRPr="004E0589">
        <w:rPr>
          <w:rFonts w:ascii="Times New Roman" w:eastAsia="Calibri" w:hAnsi="Times New Roman" w:cs="Times New Roman"/>
        </w:rPr>
        <w:t xml:space="preserve"> in comparison to LC Fe-Cr</w:t>
      </w:r>
      <w:r w:rsidRPr="004E0589">
        <w:rPr>
          <w:rFonts w:ascii="Times New Roman" w:eastAsia="Calibri" w:hAnsi="Times New Roman" w:cs="Times New Roman"/>
        </w:rPr>
        <w:t>. Whereas LC Fe-Cr us</w:t>
      </w:r>
      <w:r w:rsidR="00C87B86" w:rsidRPr="004E0589">
        <w:rPr>
          <w:rFonts w:ascii="Times New Roman" w:eastAsia="Calibri" w:hAnsi="Times New Roman" w:cs="Times New Roman"/>
        </w:rPr>
        <w:t>ed 900 kg more silicon and 675kg</w:t>
      </w:r>
      <w:r w:rsidRPr="004E0589">
        <w:rPr>
          <w:rFonts w:ascii="Times New Roman" w:eastAsia="Calibri" w:hAnsi="Times New Roman" w:cs="Times New Roman"/>
        </w:rPr>
        <w:t xml:space="preserve"> of Fe-Si-Cr</w:t>
      </w:r>
      <w:r w:rsidR="00C87B86" w:rsidRPr="004E0589">
        <w:rPr>
          <w:rFonts w:ascii="Times New Roman" w:eastAsia="Calibri" w:hAnsi="Times New Roman" w:cs="Times New Roman"/>
        </w:rPr>
        <w:t xml:space="preserve"> than HC Fe-Cr</w:t>
      </w:r>
      <w:r w:rsidRPr="004E0589">
        <w:rPr>
          <w:rFonts w:ascii="Times New Roman" w:eastAsia="Calibri" w:hAnsi="Times New Roman" w:cs="Times New Roman"/>
        </w:rPr>
        <w:t>. Therefore</w:t>
      </w:r>
      <w:r w:rsidR="00C87B86" w:rsidRPr="004E0589">
        <w:rPr>
          <w:rFonts w:ascii="Times New Roman" w:eastAsia="Calibri" w:hAnsi="Times New Roman" w:cs="Times New Roman"/>
        </w:rPr>
        <w:t>,</w:t>
      </w:r>
      <w:r w:rsidRPr="004E0589">
        <w:rPr>
          <w:rFonts w:ascii="Times New Roman" w:eastAsia="Calibri" w:hAnsi="Times New Roman" w:cs="Times New Roman"/>
        </w:rPr>
        <w:t xml:space="preserve"> although different production routes and inputs were utilised, identical GWP values were ob</w:t>
      </w:r>
      <w:r w:rsidR="00C87B86" w:rsidRPr="004E0589">
        <w:rPr>
          <w:rFonts w:ascii="Times New Roman" w:eastAsia="Calibri" w:hAnsi="Times New Roman" w:cs="Times New Roman"/>
        </w:rPr>
        <w:t xml:space="preserve">tained. </w:t>
      </w:r>
    </w:p>
    <w:p w:rsidR="008B70A6" w:rsidRPr="004E0589" w:rsidRDefault="006A62D1" w:rsidP="008B70A6">
      <w:pPr>
        <w:spacing w:after="0" w:line="360" w:lineRule="auto"/>
        <w:ind w:firstLine="720"/>
        <w:jc w:val="both"/>
        <w:rPr>
          <w:rFonts w:ascii="Times New Roman" w:eastAsia="Calibri" w:hAnsi="Times New Roman" w:cs="Times New Roman"/>
        </w:rPr>
      </w:pPr>
      <w:r w:rsidRPr="004E0589">
        <w:rPr>
          <w:rFonts w:ascii="Times New Roman" w:eastAsia="Calibri" w:hAnsi="Times New Roman" w:cs="Times New Roman"/>
        </w:rPr>
        <w:t>In regards to the LC Fe-Cr models with variation in percentages of silicon. These were modelled as Fe-Si-Cr (13% and 53%) respectively and</w:t>
      </w:r>
      <w:r w:rsidR="00C87B86" w:rsidRPr="004E0589">
        <w:rPr>
          <w:rFonts w:ascii="Times New Roman" w:eastAsia="Calibri" w:hAnsi="Times New Roman" w:cs="Times New Roman"/>
        </w:rPr>
        <w:t xml:space="preserve"> full details of inputs (</w:t>
      </w:r>
      <w:r w:rsidR="00A6415F" w:rsidRPr="004E0589">
        <w:fldChar w:fldCharType="begin"/>
      </w:r>
      <w:r w:rsidR="00A6415F" w:rsidRPr="004E0589">
        <w:instrText xml:space="preserve"> REF _Ref474351003 \h  \* MERGEFORMAT </w:instrText>
      </w:r>
      <w:r w:rsidR="00A6415F" w:rsidRPr="004E0589">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4</w:t>
      </w:r>
      <w:r w:rsidR="009F5483">
        <w:rPr>
          <w:rFonts w:ascii="Times New Roman" w:hAnsi="Times New Roman" w:cs="Times New Roman"/>
          <w:noProof/>
        </w:rPr>
        <w:t>2</w:t>
      </w:r>
      <w:r w:rsidR="00A6415F" w:rsidRPr="004E0589">
        <w:fldChar w:fldCharType="end"/>
      </w:r>
      <w:r w:rsidR="00C87B86" w:rsidRPr="004E0589">
        <w:rPr>
          <w:rFonts w:ascii="Times New Roman" w:eastAsia="Calibri" w:hAnsi="Times New Roman" w:cs="Times New Roman"/>
        </w:rPr>
        <w:t xml:space="preserve"> and </w:t>
      </w:r>
      <w:r w:rsidR="00A6415F" w:rsidRPr="004E0589">
        <w:fldChar w:fldCharType="begin"/>
      </w:r>
      <w:r w:rsidR="00A6415F" w:rsidRPr="004E0589">
        <w:instrText xml:space="preserve"> REF _Ref474351006 \h  \* MERGEFORMAT </w:instrText>
      </w:r>
      <w:r w:rsidR="00A6415F" w:rsidRPr="004E0589">
        <w:fldChar w:fldCharType="separate"/>
      </w:r>
      <w:r w:rsidR="009F5483" w:rsidRPr="0054285D">
        <w:rPr>
          <w:rFonts w:ascii="Times New Roman" w:hAnsi="Times New Roman" w:cs="Times New Roman"/>
          <w:noProof/>
        </w:rPr>
        <w:t>Table</w:t>
      </w:r>
      <w:r w:rsidR="009F5483" w:rsidRPr="0054285D">
        <w:rPr>
          <w:rFonts w:ascii="Times New Roman" w:hAnsi="Times New Roman" w:cs="Times New Roman"/>
        </w:rPr>
        <w:t xml:space="preserve"> </w:t>
      </w:r>
      <w:r w:rsidR="009F5483">
        <w:rPr>
          <w:rFonts w:ascii="Times New Roman" w:hAnsi="Times New Roman" w:cs="Times New Roman"/>
          <w:noProof/>
        </w:rPr>
        <w:t>43</w:t>
      </w:r>
      <w:r w:rsidR="00A6415F" w:rsidRPr="004E0589">
        <w:fldChar w:fldCharType="end"/>
      </w:r>
      <w:r w:rsidR="00C87B86" w:rsidRPr="004E0589">
        <w:rPr>
          <w:rFonts w:ascii="Times New Roman" w:eastAsia="Calibri" w:hAnsi="Times New Roman" w:cs="Times New Roman"/>
        </w:rPr>
        <w:t>) and complete models (</w:t>
      </w:r>
      <w:r w:rsidR="00A6415F" w:rsidRPr="004E0589">
        <w:fldChar w:fldCharType="begin"/>
      </w:r>
      <w:r w:rsidR="00A6415F" w:rsidRPr="004E0589">
        <w:instrText xml:space="preserve"> REF _Ref474351044 \h  \* MERGEFORMAT </w:instrText>
      </w:r>
      <w:r w:rsidR="00A6415F" w:rsidRPr="004E0589">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63</w:t>
      </w:r>
      <w:r w:rsidR="00A6415F" w:rsidRPr="004E0589">
        <w:fldChar w:fldCharType="end"/>
      </w:r>
      <w:r w:rsidR="004E0589">
        <w:t xml:space="preserve"> and </w:t>
      </w:r>
      <w:r w:rsidR="00A6415F" w:rsidRPr="004E0589">
        <w:fldChar w:fldCharType="begin"/>
      </w:r>
      <w:r w:rsidR="00A6415F" w:rsidRPr="004E0589">
        <w:instrText xml:space="preserve"> REF _Ref474351046 \h  \* MERGEFORMAT </w:instrText>
      </w:r>
      <w:r w:rsidR="00A6415F" w:rsidRPr="004E0589">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64</w:t>
      </w:r>
      <w:r w:rsidR="00A6415F" w:rsidRPr="004E0589">
        <w:fldChar w:fldCharType="end"/>
      </w:r>
      <w:r w:rsidR="00C87B86" w:rsidRPr="004E0589">
        <w:rPr>
          <w:rFonts w:ascii="Times New Roman" w:eastAsia="Calibri" w:hAnsi="Times New Roman" w:cs="Times New Roman"/>
        </w:rPr>
        <w:t>)</w:t>
      </w:r>
      <w:r w:rsidRPr="004E0589">
        <w:rPr>
          <w:rFonts w:ascii="Times New Roman" w:eastAsia="Calibri" w:hAnsi="Times New Roman" w:cs="Times New Roman"/>
        </w:rPr>
        <w:t xml:space="preserve"> can be seen in the appendix</w:t>
      </w:r>
      <w:r w:rsidR="00C87B86" w:rsidRPr="004E0589">
        <w:rPr>
          <w:rFonts w:ascii="Times New Roman" w:eastAsia="Calibri" w:hAnsi="Times New Roman" w:cs="Times New Roman"/>
        </w:rPr>
        <w:t xml:space="preserve"> under heading D2</w:t>
      </w:r>
      <w:r w:rsidRPr="004E0589">
        <w:rPr>
          <w:rFonts w:ascii="Times New Roman" w:eastAsia="Calibri" w:hAnsi="Times New Roman" w:cs="Times New Roman"/>
        </w:rPr>
        <w:t>. Individual GWP values were calculated for 13% Si (2.24 kg/CO</w:t>
      </w:r>
      <w:r w:rsidRPr="004E0589">
        <w:rPr>
          <w:rFonts w:ascii="Times New Roman" w:eastAsia="Calibri" w:hAnsi="Times New Roman" w:cs="Times New Roman"/>
          <w:vertAlign w:val="subscript"/>
        </w:rPr>
        <w:t>2</w:t>
      </w:r>
      <w:r w:rsidRPr="004E0589">
        <w:rPr>
          <w:rFonts w:ascii="Times New Roman" w:eastAsia="Calibri" w:hAnsi="Times New Roman" w:cs="Times New Roman"/>
        </w:rPr>
        <w:t>) and 53% Si (3.11 kg/CO</w:t>
      </w:r>
      <w:r w:rsidRPr="004E0589">
        <w:rPr>
          <w:rFonts w:ascii="Times New Roman" w:eastAsia="Calibri" w:hAnsi="Times New Roman" w:cs="Times New Roman"/>
          <w:vertAlign w:val="subscript"/>
        </w:rPr>
        <w:t>2</w:t>
      </w:r>
      <w:r w:rsidRPr="004E0589">
        <w:rPr>
          <w:rFonts w:ascii="Times New Roman" w:eastAsia="Calibri" w:hAnsi="Times New Roman" w:cs="Times New Roman"/>
        </w:rPr>
        <w:t xml:space="preserve">) and showed quite a </w:t>
      </w:r>
      <w:r w:rsidRPr="004E0589">
        <w:rPr>
          <w:rFonts w:ascii="Times New Roman" w:eastAsia="Calibri" w:hAnsi="Times New Roman" w:cs="Times New Roman"/>
        </w:rPr>
        <w:lastRenderedPageBreak/>
        <w:t>disparity. The high value for 53% Si was due to the makeup of the inputs to this process. Coke and iron steel chips made up 828kg of the total inputs, compared to only 57</w:t>
      </w:r>
      <w:r w:rsidR="00C87B86" w:rsidRPr="004E0589">
        <w:rPr>
          <w:rFonts w:ascii="Times New Roman" w:eastAsia="Calibri" w:hAnsi="Times New Roman" w:cs="Times New Roman"/>
        </w:rPr>
        <w:t>3 kg of total inputs for 13% Si.</w:t>
      </w:r>
      <w:r w:rsidR="008B70A6" w:rsidRPr="004E0589">
        <w:rPr>
          <w:rFonts w:ascii="Times New Roman" w:eastAsia="Calibri" w:hAnsi="Times New Roman" w:cs="Times New Roman"/>
        </w:rPr>
        <w:t xml:space="preserve"> </w:t>
      </w:r>
      <w:r w:rsidRPr="004E0589">
        <w:rPr>
          <w:rFonts w:ascii="Times New Roman" w:eastAsia="Calibri" w:hAnsi="Times New Roman" w:cs="Times New Roman"/>
        </w:rPr>
        <w:t>This represented a di</w:t>
      </w:r>
      <w:r w:rsidR="008B70A6" w:rsidRPr="004E0589">
        <w:rPr>
          <w:rFonts w:ascii="Times New Roman" w:eastAsia="Calibri" w:hAnsi="Times New Roman" w:cs="Times New Roman"/>
        </w:rPr>
        <w:t>fference of roughly 30% which was</w:t>
      </w:r>
      <w:r w:rsidRPr="004E0589">
        <w:rPr>
          <w:rFonts w:ascii="Times New Roman" w:eastAsia="Calibri" w:hAnsi="Times New Roman" w:cs="Times New Roman"/>
        </w:rPr>
        <w:t xml:space="preserve"> similar to the difference between the two Fe-Si-Cr models. However the difference decreased to 11.3% in the completed LC Fe-Cr models. This would be expected due to the influence of the individual proc</w:t>
      </w:r>
      <w:r w:rsidR="008B70A6" w:rsidRPr="004E0589">
        <w:rPr>
          <w:rFonts w:ascii="Times New Roman" w:eastAsia="Calibri" w:hAnsi="Times New Roman" w:cs="Times New Roman"/>
        </w:rPr>
        <w:t>ess decreasing as it was</w:t>
      </w:r>
      <w:r w:rsidRPr="004E0589">
        <w:rPr>
          <w:rFonts w:ascii="Times New Roman" w:eastAsia="Calibri" w:hAnsi="Times New Roman" w:cs="Times New Roman"/>
        </w:rPr>
        <w:t xml:space="preserve"> introduced into a number of other models and other fac</w:t>
      </w:r>
      <w:r w:rsidR="008B70A6" w:rsidRPr="004E0589">
        <w:rPr>
          <w:rFonts w:ascii="Times New Roman" w:eastAsia="Calibri" w:hAnsi="Times New Roman" w:cs="Times New Roman"/>
        </w:rPr>
        <w:t>tors such as electricity having</w:t>
      </w:r>
      <w:r w:rsidRPr="004E0589">
        <w:rPr>
          <w:rFonts w:ascii="Times New Roman" w:eastAsia="Calibri" w:hAnsi="Times New Roman" w:cs="Times New Roman"/>
        </w:rPr>
        <w:t xml:space="preserve"> more of a</w:t>
      </w:r>
      <w:r w:rsidR="008B70A6" w:rsidRPr="004E0589">
        <w:rPr>
          <w:rFonts w:ascii="Times New Roman" w:eastAsia="Calibri" w:hAnsi="Times New Roman" w:cs="Times New Roman"/>
        </w:rPr>
        <w:t>n impact.</w:t>
      </w:r>
    </w:p>
    <w:p w:rsidR="006A62D1" w:rsidRPr="004E0589" w:rsidRDefault="008B70A6" w:rsidP="008B70A6">
      <w:pPr>
        <w:spacing w:after="0" w:line="360" w:lineRule="auto"/>
        <w:ind w:firstLine="720"/>
        <w:jc w:val="both"/>
        <w:rPr>
          <w:rFonts w:ascii="Times New Roman" w:eastAsia="Calibri" w:hAnsi="Times New Roman" w:cs="Times New Roman"/>
        </w:rPr>
      </w:pPr>
      <w:r w:rsidRPr="004E0589">
        <w:rPr>
          <w:rFonts w:ascii="Times New Roman" w:eastAsia="Calibri" w:hAnsi="Times New Roman" w:cs="Times New Roman"/>
        </w:rPr>
        <w:t xml:space="preserve">With respect to LCA software </w:t>
      </w:r>
      <w:r w:rsidR="004D2D91" w:rsidRPr="004E0589">
        <w:rPr>
          <w:rFonts w:ascii="Times New Roman" w:eastAsia="Calibri" w:hAnsi="Times New Roman" w:cs="Times New Roman"/>
        </w:rPr>
        <w:t>GaBi</w:t>
      </w:r>
      <w:r w:rsidRPr="004E0589">
        <w:rPr>
          <w:rFonts w:ascii="Times New Roman" w:eastAsia="Calibri" w:hAnsi="Times New Roman" w:cs="Times New Roman"/>
        </w:rPr>
        <w:t xml:space="preserve">, both Fe-Cr processes had high GWP values in particular LC Fe-Cr. </w:t>
      </w:r>
      <w:r w:rsidR="006A62D1" w:rsidRPr="004E0589">
        <w:rPr>
          <w:rFonts w:ascii="Times New Roman" w:eastAsia="Calibri" w:hAnsi="Times New Roman" w:cs="Times New Roman"/>
        </w:rPr>
        <w:t xml:space="preserve">The documentation surrounding the creation of these processes alongside the current modelling procedure can explain the results. Both Fe-Cr processes created by </w:t>
      </w:r>
      <w:r w:rsidR="004D2D91" w:rsidRPr="004E0589">
        <w:rPr>
          <w:rFonts w:ascii="Times New Roman" w:eastAsia="Calibri" w:hAnsi="Times New Roman" w:cs="Times New Roman"/>
        </w:rPr>
        <w:t>GaBi</w:t>
      </w:r>
      <w:r w:rsidR="006A62D1" w:rsidRPr="004E0589">
        <w:rPr>
          <w:rFonts w:ascii="Times New Roman" w:eastAsia="Calibri" w:hAnsi="Times New Roman" w:cs="Times New Roman"/>
        </w:rPr>
        <w:t xml:space="preserve"> were created using datasets and system boundaries based on </w:t>
      </w:r>
      <w:r w:rsidRPr="004E0589">
        <w:rPr>
          <w:rFonts w:ascii="Times New Roman" w:eastAsia="Calibri" w:hAnsi="Times New Roman" w:cs="Times New Roman"/>
        </w:rPr>
        <w:t>the country South Africa. This was</w:t>
      </w:r>
      <w:r w:rsidR="006A62D1" w:rsidRPr="004E0589">
        <w:rPr>
          <w:rFonts w:ascii="Times New Roman" w:eastAsia="Calibri" w:hAnsi="Times New Roman" w:cs="Times New Roman"/>
        </w:rPr>
        <w:t xml:space="preserve"> significant, particularly in terms of energy since the rest of the Fe-Cr processes, except global Fe-Cr model, were created using Australia as th</w:t>
      </w:r>
      <w:r w:rsidRPr="004E0589">
        <w:rPr>
          <w:rFonts w:ascii="Times New Roman" w:eastAsia="Calibri" w:hAnsi="Times New Roman" w:cs="Times New Roman"/>
        </w:rPr>
        <w:t>e source of electricity. Coal was</w:t>
      </w:r>
      <w:r w:rsidR="006A62D1" w:rsidRPr="004E0589">
        <w:rPr>
          <w:rFonts w:ascii="Times New Roman" w:eastAsia="Calibri" w:hAnsi="Times New Roman" w:cs="Times New Roman"/>
        </w:rPr>
        <w:t xml:space="preserve"> the dominant fuel source in South Africa and accounted for over 90% o</w:t>
      </w:r>
      <w:r w:rsidRPr="004E0589">
        <w:rPr>
          <w:rFonts w:ascii="Times New Roman" w:eastAsia="Calibri" w:hAnsi="Times New Roman" w:cs="Times New Roman"/>
        </w:rPr>
        <w:t>f electricity production in 2013</w:t>
      </w:r>
      <w:r w:rsidR="006A62D1" w:rsidRPr="004E0589">
        <w:rPr>
          <w:rFonts w:ascii="Times New Roman" w:eastAsia="Calibri" w:hAnsi="Times New Roman" w:cs="Times New Roman"/>
        </w:rPr>
        <w:t xml:space="preserve"> according to IEA. On the other hand Australia was also coal dominan</w:t>
      </w:r>
      <w:r w:rsidRPr="004E0589">
        <w:rPr>
          <w:rFonts w:ascii="Times New Roman" w:eastAsia="Calibri" w:hAnsi="Times New Roman" w:cs="Times New Roman"/>
        </w:rPr>
        <w:t>t but had a lower percentage (</w:t>
      </w:r>
      <w:r w:rsidR="006A62D1" w:rsidRPr="004E0589">
        <w:rPr>
          <w:rFonts w:ascii="Times New Roman" w:eastAsia="Calibri" w:hAnsi="Times New Roman" w:cs="Times New Roman"/>
        </w:rPr>
        <w:t>approximately 70%</w:t>
      </w:r>
      <w:r w:rsidRPr="004E0589">
        <w:rPr>
          <w:rFonts w:ascii="Times New Roman" w:eastAsia="Calibri" w:hAnsi="Times New Roman" w:cs="Times New Roman"/>
        </w:rPr>
        <w:t>)</w:t>
      </w:r>
      <w:r w:rsidR="006A62D1" w:rsidRPr="004E0589">
        <w:rPr>
          <w:rFonts w:ascii="Times New Roman" w:eastAsia="Calibri" w:hAnsi="Times New Roman" w:cs="Times New Roman"/>
        </w:rPr>
        <w:t xml:space="preserve"> of electricity production by coal</w:t>
      </w:r>
      <w:r w:rsidRPr="004E0589">
        <w:rPr>
          <w:rFonts w:ascii="Times New Roman" w:eastAsia="Calibri" w:hAnsi="Times New Roman" w:cs="Times New Roman"/>
        </w:rPr>
        <w:t>. W</w:t>
      </w:r>
      <w:r w:rsidR="006A62D1" w:rsidRPr="004E0589">
        <w:rPr>
          <w:rFonts w:ascii="Times New Roman" w:eastAsia="Calibri" w:hAnsi="Times New Roman" w:cs="Times New Roman"/>
        </w:rPr>
        <w:t>ith roughly 20% also coming</w:t>
      </w:r>
      <w:r w:rsidRPr="004E0589">
        <w:rPr>
          <w:rFonts w:ascii="Times New Roman" w:eastAsia="Calibri" w:hAnsi="Times New Roman" w:cs="Times New Roman"/>
        </w:rPr>
        <w:t xml:space="preserve"> from natural gas. Since coal was</w:t>
      </w:r>
      <w:r w:rsidR="006A62D1" w:rsidRPr="004E0589">
        <w:rPr>
          <w:rFonts w:ascii="Times New Roman" w:eastAsia="Calibri" w:hAnsi="Times New Roman" w:cs="Times New Roman"/>
        </w:rPr>
        <w:t xml:space="preserve"> the main source of carbon emissions, the 20% difference in utilisation of coal as a fuel source, between South Africa and Australia, can explain the higher GWP values from the </w:t>
      </w:r>
      <w:r w:rsidR="004D2D91" w:rsidRPr="004E0589">
        <w:rPr>
          <w:rFonts w:ascii="Times New Roman" w:eastAsia="Calibri" w:hAnsi="Times New Roman" w:cs="Times New Roman"/>
        </w:rPr>
        <w:t>GaBi</w:t>
      </w:r>
      <w:r w:rsidR="006A62D1" w:rsidRPr="004E0589">
        <w:rPr>
          <w:rFonts w:ascii="Times New Roman" w:eastAsia="Calibri" w:hAnsi="Times New Roman" w:cs="Times New Roman"/>
        </w:rPr>
        <w:t xml:space="preserve"> processes.</w:t>
      </w:r>
    </w:p>
    <w:p w:rsidR="006A62D1" w:rsidRPr="004E0589" w:rsidRDefault="00266321" w:rsidP="006A62D1">
      <w:pPr>
        <w:spacing w:after="0" w:line="360" w:lineRule="auto"/>
        <w:ind w:firstLine="720"/>
        <w:jc w:val="both"/>
        <w:rPr>
          <w:rFonts w:ascii="Times New Roman" w:eastAsia="Calibri" w:hAnsi="Times New Roman" w:cs="Times New Roman"/>
        </w:rPr>
      </w:pPr>
      <w:r>
        <w:rPr>
          <w:rFonts w:ascii="Times New Roman" w:eastAsia="Calibri" w:hAnsi="Times New Roman" w:cs="Times New Roman"/>
        </w:rPr>
        <w:t xml:space="preserve">Apart from the variable </w:t>
      </w:r>
      <w:r w:rsidR="006A62D1" w:rsidRPr="004E0589">
        <w:rPr>
          <w:rFonts w:ascii="Times New Roman" w:eastAsia="Calibri" w:hAnsi="Times New Roman" w:cs="Times New Roman"/>
        </w:rPr>
        <w:t xml:space="preserve">source of electricity, the percentage content of materials particularly in the outputs can also explain some of the variation in the results. The global Fe-Cr model assumed an end product of 53% Cr, 6.4% C, compared to </w:t>
      </w:r>
      <w:r w:rsidR="004D2D91" w:rsidRPr="004E0589">
        <w:rPr>
          <w:rFonts w:ascii="Times New Roman" w:eastAsia="Calibri" w:hAnsi="Times New Roman" w:cs="Times New Roman"/>
        </w:rPr>
        <w:t>GaBi</w:t>
      </w:r>
      <w:r w:rsidR="006A62D1" w:rsidRPr="004E0589">
        <w:rPr>
          <w:rFonts w:ascii="Times New Roman" w:eastAsia="Calibri" w:hAnsi="Times New Roman" w:cs="Times New Roman"/>
        </w:rPr>
        <w:t xml:space="preserve"> (60% C</w:t>
      </w:r>
      <w:r w:rsidR="008B70A6" w:rsidRPr="004E0589">
        <w:rPr>
          <w:rFonts w:ascii="Times New Roman" w:eastAsia="Calibri" w:hAnsi="Times New Roman" w:cs="Times New Roman"/>
        </w:rPr>
        <w:t xml:space="preserve">r with 6% C) and Eurometaux (15 to </w:t>
      </w:r>
      <w:r w:rsidR="006A62D1" w:rsidRPr="004E0589">
        <w:rPr>
          <w:rFonts w:ascii="Times New Roman" w:eastAsia="Calibri" w:hAnsi="Times New Roman" w:cs="Times New Roman"/>
        </w:rPr>
        <w:t>25% Cr).  Looking at the high carbon GWP values, the results identify a positive trend, in</w:t>
      </w:r>
      <w:r>
        <w:rPr>
          <w:rFonts w:ascii="Times New Roman" w:eastAsia="Calibri" w:hAnsi="Times New Roman" w:cs="Times New Roman"/>
        </w:rPr>
        <w:t xml:space="preserve"> that</w:t>
      </w:r>
      <w:r w:rsidR="006A62D1" w:rsidRPr="004E0589">
        <w:rPr>
          <w:rFonts w:ascii="Times New Roman" w:eastAsia="Calibri" w:hAnsi="Times New Roman" w:cs="Times New Roman"/>
        </w:rPr>
        <w:t xml:space="preserve"> the higher the percentage of carbon the higher the resultant GWP value.</w:t>
      </w:r>
    </w:p>
    <w:p w:rsidR="008B70A6" w:rsidRDefault="006A62D1" w:rsidP="00064007">
      <w:pPr>
        <w:spacing w:after="0" w:line="360" w:lineRule="auto"/>
        <w:ind w:firstLine="720"/>
        <w:jc w:val="both"/>
        <w:rPr>
          <w:rFonts w:ascii="Times New Roman" w:eastAsia="Calibri" w:hAnsi="Times New Roman" w:cs="Times New Roman"/>
        </w:rPr>
      </w:pPr>
      <w:r w:rsidRPr="004E0589">
        <w:rPr>
          <w:rFonts w:ascii="Times New Roman" w:eastAsia="Calibri" w:hAnsi="Times New Roman" w:cs="Times New Roman"/>
        </w:rPr>
        <w:t xml:space="preserve">Another variable which could have affected the results was time representativeness of the data. Data from </w:t>
      </w:r>
      <w:r w:rsidR="004D2D91" w:rsidRPr="004E0589">
        <w:rPr>
          <w:rFonts w:ascii="Times New Roman" w:eastAsia="Calibri" w:hAnsi="Times New Roman" w:cs="Times New Roman"/>
        </w:rPr>
        <w:t>GaBi</w:t>
      </w:r>
      <w:r w:rsidRPr="004E0589">
        <w:rPr>
          <w:rFonts w:ascii="Times New Roman" w:eastAsia="Calibri" w:hAnsi="Times New Roman" w:cs="Times New Roman"/>
        </w:rPr>
        <w:t xml:space="preserve"> was the most up to data from the year 2013, whilst models</w:t>
      </w:r>
      <w:r w:rsidR="008B70A6" w:rsidRPr="004E0589">
        <w:rPr>
          <w:rFonts w:ascii="Times New Roman" w:eastAsia="Calibri" w:hAnsi="Times New Roman" w:cs="Times New Roman"/>
        </w:rPr>
        <w:t xml:space="preserve"> created</w:t>
      </w:r>
      <w:r w:rsidRPr="004E0589">
        <w:rPr>
          <w:rFonts w:ascii="Times New Roman" w:eastAsia="Calibri" w:hAnsi="Times New Roman" w:cs="Times New Roman"/>
        </w:rPr>
        <w:t xml:space="preserve"> using data from Haque were collected by Haque from various sources between 2003 and 2010. No time representativeness was given for Eurometaux data. However the selected production route for Fe-Cr has not significantly changed over the years, so the effect of time represen</w:t>
      </w:r>
      <w:r w:rsidR="008B70A6" w:rsidRPr="004E0589">
        <w:rPr>
          <w:rFonts w:ascii="Times New Roman" w:eastAsia="Calibri" w:hAnsi="Times New Roman" w:cs="Times New Roman"/>
        </w:rPr>
        <w:t>tativeness</w:t>
      </w:r>
      <w:r w:rsidRPr="004E0589">
        <w:rPr>
          <w:rFonts w:ascii="Times New Roman" w:eastAsia="Calibri" w:hAnsi="Times New Roman" w:cs="Times New Roman"/>
        </w:rPr>
        <w:t xml:space="preserve"> data mig</w:t>
      </w:r>
      <w:r w:rsidR="008B70A6" w:rsidRPr="004E0589">
        <w:rPr>
          <w:rFonts w:ascii="Times New Roman" w:eastAsia="Calibri" w:hAnsi="Times New Roman" w:cs="Times New Roman"/>
        </w:rPr>
        <w:t>ht be minimal in the processes, but cannot be excluded.</w:t>
      </w:r>
      <w:r w:rsidR="00064007" w:rsidRPr="004E0589">
        <w:rPr>
          <w:rFonts w:ascii="Times New Roman" w:eastAsia="Calibri" w:hAnsi="Times New Roman" w:cs="Times New Roman"/>
        </w:rPr>
        <w:t xml:space="preserve"> </w:t>
      </w:r>
      <w:r w:rsidR="008B70A6" w:rsidRPr="004E0589">
        <w:rPr>
          <w:rFonts w:ascii="Times New Roman" w:eastAsia="Calibri" w:hAnsi="Times New Roman" w:cs="Times New Roman"/>
        </w:rPr>
        <w:t xml:space="preserve">Lastly all Fe-Cr models were compared against one another in terms of energy as shown by </w:t>
      </w:r>
      <w:r w:rsidR="00A6415F" w:rsidRPr="004E0589">
        <w:fldChar w:fldCharType="begin"/>
      </w:r>
      <w:r w:rsidR="00A6415F" w:rsidRPr="004E0589">
        <w:instrText xml:space="preserve"> REF _Ref468306539 \h  \* MERGEFORMAT </w:instrText>
      </w:r>
      <w:r w:rsidR="00A6415F" w:rsidRPr="004E0589">
        <w:fldChar w:fldCharType="separate"/>
      </w:r>
      <w:r w:rsidR="009F5483" w:rsidRPr="004E0589">
        <w:rPr>
          <w:rFonts w:ascii="Times New Roman" w:hAnsi="Times New Roman" w:cs="Times New Roman"/>
        </w:rPr>
        <w:t xml:space="preserve">Table </w:t>
      </w:r>
      <w:r w:rsidR="009F5483">
        <w:rPr>
          <w:rFonts w:ascii="Times New Roman" w:hAnsi="Times New Roman" w:cs="Times New Roman"/>
          <w:noProof/>
        </w:rPr>
        <w:t>25</w:t>
      </w:r>
      <w:r w:rsidR="00A6415F" w:rsidRPr="004E0589">
        <w:fldChar w:fldCharType="end"/>
      </w:r>
      <w:r w:rsidR="008B70A6" w:rsidRPr="004E0589">
        <w:rPr>
          <w:rFonts w:ascii="Times New Roman" w:eastAsia="Calibri" w:hAnsi="Times New Roman" w:cs="Times New Roman"/>
        </w:rPr>
        <w:t>.</w:t>
      </w:r>
    </w:p>
    <w:p w:rsidR="00CF066D" w:rsidRDefault="00CF066D" w:rsidP="00064007">
      <w:pPr>
        <w:spacing w:after="0" w:line="360" w:lineRule="auto"/>
        <w:ind w:firstLine="720"/>
        <w:jc w:val="both"/>
        <w:rPr>
          <w:rFonts w:ascii="Times New Roman" w:eastAsia="Calibri" w:hAnsi="Times New Roman" w:cs="Times New Roman"/>
        </w:rPr>
      </w:pPr>
    </w:p>
    <w:p w:rsidR="00CF066D" w:rsidRDefault="00CF066D" w:rsidP="00064007">
      <w:pPr>
        <w:spacing w:after="0" w:line="360" w:lineRule="auto"/>
        <w:ind w:firstLine="720"/>
        <w:jc w:val="both"/>
        <w:rPr>
          <w:rFonts w:ascii="Times New Roman" w:eastAsia="Calibri" w:hAnsi="Times New Roman" w:cs="Times New Roman"/>
        </w:rPr>
      </w:pPr>
    </w:p>
    <w:p w:rsidR="00CF066D" w:rsidRDefault="00CF066D" w:rsidP="00064007">
      <w:pPr>
        <w:spacing w:after="0" w:line="360" w:lineRule="auto"/>
        <w:ind w:firstLine="720"/>
        <w:jc w:val="both"/>
        <w:rPr>
          <w:rFonts w:ascii="Times New Roman" w:eastAsia="Calibri" w:hAnsi="Times New Roman" w:cs="Times New Roman"/>
        </w:rPr>
      </w:pPr>
    </w:p>
    <w:p w:rsidR="00CF066D" w:rsidRDefault="00CF066D" w:rsidP="00064007">
      <w:pPr>
        <w:spacing w:after="0" w:line="360" w:lineRule="auto"/>
        <w:ind w:firstLine="720"/>
        <w:jc w:val="both"/>
        <w:rPr>
          <w:rFonts w:ascii="Times New Roman" w:eastAsia="Calibri" w:hAnsi="Times New Roman" w:cs="Times New Roman"/>
        </w:rPr>
      </w:pPr>
    </w:p>
    <w:p w:rsidR="00CF066D" w:rsidRDefault="00CF066D" w:rsidP="00064007">
      <w:pPr>
        <w:spacing w:after="0" w:line="360" w:lineRule="auto"/>
        <w:ind w:firstLine="720"/>
        <w:jc w:val="both"/>
        <w:rPr>
          <w:rFonts w:ascii="Times New Roman" w:eastAsia="Calibri" w:hAnsi="Times New Roman" w:cs="Times New Roman"/>
        </w:rPr>
      </w:pPr>
    </w:p>
    <w:p w:rsidR="00CF066D" w:rsidRDefault="00CF066D" w:rsidP="00064007">
      <w:pPr>
        <w:spacing w:after="0" w:line="360" w:lineRule="auto"/>
        <w:ind w:firstLine="720"/>
        <w:jc w:val="both"/>
        <w:rPr>
          <w:rFonts w:ascii="Times New Roman" w:eastAsia="Calibri" w:hAnsi="Times New Roman" w:cs="Times New Roman"/>
        </w:rPr>
      </w:pPr>
    </w:p>
    <w:p w:rsidR="00CF066D" w:rsidRDefault="00CF066D" w:rsidP="00064007">
      <w:pPr>
        <w:spacing w:after="0" w:line="360" w:lineRule="auto"/>
        <w:ind w:firstLine="720"/>
        <w:jc w:val="both"/>
        <w:rPr>
          <w:rFonts w:ascii="Times New Roman" w:eastAsia="Calibri" w:hAnsi="Times New Roman" w:cs="Times New Roman"/>
        </w:rPr>
      </w:pPr>
    </w:p>
    <w:p w:rsidR="00CF066D" w:rsidRPr="004E0589" w:rsidRDefault="00CF066D" w:rsidP="00064007">
      <w:pPr>
        <w:spacing w:after="0" w:line="360" w:lineRule="auto"/>
        <w:ind w:firstLine="720"/>
        <w:jc w:val="both"/>
        <w:rPr>
          <w:rFonts w:ascii="Times New Roman" w:eastAsia="Calibri" w:hAnsi="Times New Roman" w:cs="Times New Roman"/>
        </w:rPr>
      </w:pPr>
    </w:p>
    <w:p w:rsidR="006A62D1" w:rsidRPr="004E0589" w:rsidRDefault="006A62D1" w:rsidP="006A62D1">
      <w:pPr>
        <w:rPr>
          <w:rFonts w:ascii="Times New Roman" w:eastAsia="Calibri" w:hAnsi="Times New Roman" w:cs="Times New Roman"/>
        </w:rPr>
      </w:pPr>
      <w:bookmarkStart w:id="150" w:name="_Ref468306539"/>
      <w:bookmarkStart w:id="151" w:name="_Toc474486533"/>
      <w:bookmarkStart w:id="152" w:name="_Toc495852703"/>
      <w:r w:rsidRPr="004E0589">
        <w:rPr>
          <w:rFonts w:ascii="Times New Roman" w:hAnsi="Times New Roman" w:cs="Times New Roman"/>
        </w:rPr>
        <w:lastRenderedPageBreak/>
        <w:t xml:space="preserve">Table </w:t>
      </w:r>
      <w:r w:rsidR="009A0ED7" w:rsidRPr="004E0589">
        <w:rPr>
          <w:rFonts w:ascii="Times New Roman" w:hAnsi="Times New Roman" w:cs="Times New Roman"/>
        </w:rPr>
        <w:fldChar w:fldCharType="begin"/>
      </w:r>
      <w:r w:rsidRPr="004E0589">
        <w:rPr>
          <w:rFonts w:ascii="Times New Roman" w:hAnsi="Times New Roman" w:cs="Times New Roman"/>
        </w:rPr>
        <w:instrText xml:space="preserve"> SEQ Table \* ARABIC </w:instrText>
      </w:r>
      <w:r w:rsidR="009A0ED7" w:rsidRPr="004E0589">
        <w:rPr>
          <w:rFonts w:ascii="Times New Roman" w:hAnsi="Times New Roman" w:cs="Times New Roman"/>
        </w:rPr>
        <w:fldChar w:fldCharType="separate"/>
      </w:r>
      <w:r w:rsidR="009F5483">
        <w:rPr>
          <w:rFonts w:ascii="Times New Roman" w:hAnsi="Times New Roman" w:cs="Times New Roman"/>
          <w:noProof/>
        </w:rPr>
        <w:t>25</w:t>
      </w:r>
      <w:r w:rsidR="009A0ED7" w:rsidRPr="004E0589">
        <w:rPr>
          <w:rFonts w:ascii="Times New Roman" w:hAnsi="Times New Roman" w:cs="Times New Roman"/>
        </w:rPr>
        <w:fldChar w:fldCharType="end"/>
      </w:r>
      <w:bookmarkEnd w:id="150"/>
      <w:r w:rsidRPr="004E0589">
        <w:rPr>
          <w:rFonts w:ascii="Times New Roman" w:hAnsi="Times New Roman" w:cs="Times New Roman"/>
        </w:rPr>
        <w:t xml:space="preserve">. </w:t>
      </w:r>
      <w:r w:rsidRPr="004E0589">
        <w:rPr>
          <w:rFonts w:ascii="Times New Roman" w:eastAsia="Calibri" w:hAnsi="Times New Roman" w:cs="Times New Roman"/>
        </w:rPr>
        <w:t>Comparison of all literature sources for Fe-Cr production via energy.</w:t>
      </w:r>
      <w:bookmarkEnd w:id="151"/>
      <w:bookmarkEnd w:id="15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460"/>
        <w:gridCol w:w="3220"/>
      </w:tblGrid>
      <w:tr w:rsidR="000F39EA" w:rsidRPr="00EB640D" w:rsidTr="00D8091C">
        <w:trPr>
          <w:jc w:val="center"/>
        </w:trPr>
        <w:tc>
          <w:tcPr>
            <w:tcW w:w="3460" w:type="dxa"/>
            <w:shd w:val="clear" w:color="auto" w:fill="auto"/>
            <w:tcMar>
              <w:left w:w="108" w:type="dxa"/>
              <w:right w:w="108" w:type="dxa"/>
            </w:tcMar>
            <w:vAlign w:val="bottom"/>
          </w:tcPr>
          <w:p w:rsidR="006A62D1" w:rsidRPr="00EB640D" w:rsidRDefault="006A62D1" w:rsidP="00C24042">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 </w:t>
            </w:r>
            <w:r w:rsidR="00AA1FC1" w:rsidRPr="00EB640D">
              <w:rPr>
                <w:rFonts w:ascii="Times New Roman" w:eastAsia="Calibri" w:hAnsi="Times New Roman" w:cs="Times New Roman"/>
                <w:color w:val="000000"/>
              </w:rPr>
              <w:t>Type of Model</w:t>
            </w:r>
          </w:p>
        </w:tc>
        <w:tc>
          <w:tcPr>
            <w:tcW w:w="3220" w:type="dxa"/>
            <w:shd w:val="clear" w:color="auto" w:fill="auto"/>
            <w:tcMar>
              <w:left w:w="108" w:type="dxa"/>
              <w:right w:w="108" w:type="dxa"/>
            </w:tcMar>
            <w:vAlign w:val="bottom"/>
          </w:tcPr>
          <w:p w:rsidR="006A62D1" w:rsidRPr="00EB640D" w:rsidRDefault="006A62D1" w:rsidP="00C24042">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Energy (net calorific value) [MJ]</w:t>
            </w:r>
          </w:p>
        </w:tc>
      </w:tr>
      <w:tr w:rsidR="000F39EA" w:rsidRPr="00EB640D" w:rsidTr="00D8091C">
        <w:trPr>
          <w:jc w:val="center"/>
        </w:trPr>
        <w:tc>
          <w:tcPr>
            <w:tcW w:w="3460" w:type="dxa"/>
            <w:shd w:val="clear" w:color="auto" w:fill="auto"/>
            <w:tcMar>
              <w:left w:w="108" w:type="dxa"/>
              <w:right w:w="108" w:type="dxa"/>
            </w:tcMar>
            <w:vAlign w:val="bottom"/>
          </w:tcPr>
          <w:p w:rsidR="006A62D1" w:rsidRPr="00EB640D" w:rsidRDefault="006A62D1" w:rsidP="00C24042">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Fe-Cr (Haque) Version 2</w:t>
            </w:r>
          </w:p>
        </w:tc>
        <w:tc>
          <w:tcPr>
            <w:tcW w:w="3220" w:type="dxa"/>
            <w:shd w:val="clear" w:color="auto" w:fill="auto"/>
            <w:tcMar>
              <w:left w:w="108" w:type="dxa"/>
              <w:right w:w="108" w:type="dxa"/>
            </w:tcMar>
            <w:vAlign w:val="bottom"/>
          </w:tcPr>
          <w:p w:rsidR="006A62D1" w:rsidRPr="00EB640D" w:rsidRDefault="006A62D1" w:rsidP="00C24042">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113.61</w:t>
            </w:r>
          </w:p>
        </w:tc>
      </w:tr>
      <w:tr w:rsidR="000F39EA" w:rsidRPr="00EB640D" w:rsidTr="00D8091C">
        <w:trPr>
          <w:jc w:val="center"/>
        </w:trPr>
        <w:tc>
          <w:tcPr>
            <w:tcW w:w="3460" w:type="dxa"/>
            <w:shd w:val="clear" w:color="auto" w:fill="auto"/>
            <w:tcMar>
              <w:left w:w="108" w:type="dxa"/>
              <w:right w:w="108" w:type="dxa"/>
            </w:tcMar>
            <w:vAlign w:val="bottom"/>
          </w:tcPr>
          <w:p w:rsidR="006A62D1" w:rsidRPr="00EB640D" w:rsidRDefault="006A62D1" w:rsidP="00C24042">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Global Fe-Cr Model</w:t>
            </w:r>
          </w:p>
        </w:tc>
        <w:tc>
          <w:tcPr>
            <w:tcW w:w="3220" w:type="dxa"/>
            <w:shd w:val="clear" w:color="auto" w:fill="auto"/>
            <w:tcMar>
              <w:left w:w="108" w:type="dxa"/>
              <w:right w:w="108" w:type="dxa"/>
            </w:tcMar>
            <w:vAlign w:val="bottom"/>
          </w:tcPr>
          <w:p w:rsidR="006A62D1" w:rsidRPr="00EB640D" w:rsidRDefault="006A62D1" w:rsidP="00C24042">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105.34</w:t>
            </w:r>
          </w:p>
        </w:tc>
      </w:tr>
      <w:tr w:rsidR="000F39EA" w:rsidRPr="00EB640D" w:rsidTr="00D8091C">
        <w:trPr>
          <w:jc w:val="center"/>
        </w:trPr>
        <w:tc>
          <w:tcPr>
            <w:tcW w:w="3460" w:type="dxa"/>
            <w:shd w:val="clear" w:color="auto" w:fill="auto"/>
            <w:tcMar>
              <w:left w:w="108" w:type="dxa"/>
              <w:right w:w="108" w:type="dxa"/>
            </w:tcMar>
            <w:vAlign w:val="bottom"/>
          </w:tcPr>
          <w:p w:rsidR="006A62D1" w:rsidRPr="00EB640D" w:rsidRDefault="006A62D1" w:rsidP="00C24042">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HC Fe-Cr (Eurometeaux)</w:t>
            </w:r>
          </w:p>
        </w:tc>
        <w:tc>
          <w:tcPr>
            <w:tcW w:w="3220" w:type="dxa"/>
            <w:shd w:val="clear" w:color="auto" w:fill="auto"/>
            <w:tcMar>
              <w:left w:w="108" w:type="dxa"/>
              <w:right w:w="108" w:type="dxa"/>
            </w:tcMar>
            <w:vAlign w:val="bottom"/>
          </w:tcPr>
          <w:p w:rsidR="006A62D1" w:rsidRPr="00EB640D" w:rsidRDefault="006A62D1" w:rsidP="00C24042">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78.35</w:t>
            </w:r>
          </w:p>
        </w:tc>
      </w:tr>
      <w:tr w:rsidR="000F39EA" w:rsidRPr="00EB640D" w:rsidTr="00D8091C">
        <w:trPr>
          <w:jc w:val="center"/>
        </w:trPr>
        <w:tc>
          <w:tcPr>
            <w:tcW w:w="3460" w:type="dxa"/>
            <w:shd w:val="clear" w:color="auto" w:fill="auto"/>
            <w:tcMar>
              <w:left w:w="108" w:type="dxa"/>
              <w:right w:w="108" w:type="dxa"/>
            </w:tcMar>
            <w:vAlign w:val="bottom"/>
          </w:tcPr>
          <w:p w:rsidR="006A62D1" w:rsidRPr="00EB640D" w:rsidRDefault="006A62D1" w:rsidP="00C24042">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LC Fe-Cr (Eurometeaux) (13% Si)</w:t>
            </w:r>
          </w:p>
        </w:tc>
        <w:tc>
          <w:tcPr>
            <w:tcW w:w="3220" w:type="dxa"/>
            <w:shd w:val="clear" w:color="auto" w:fill="auto"/>
            <w:tcMar>
              <w:left w:w="108" w:type="dxa"/>
              <w:right w:w="108" w:type="dxa"/>
            </w:tcMar>
            <w:vAlign w:val="bottom"/>
          </w:tcPr>
          <w:p w:rsidR="006A62D1" w:rsidRPr="00EB640D" w:rsidRDefault="006A62D1" w:rsidP="00C24042">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87.08</w:t>
            </w:r>
          </w:p>
        </w:tc>
      </w:tr>
      <w:tr w:rsidR="000F39EA" w:rsidRPr="00EB640D" w:rsidTr="00D8091C">
        <w:trPr>
          <w:jc w:val="center"/>
        </w:trPr>
        <w:tc>
          <w:tcPr>
            <w:tcW w:w="3460" w:type="dxa"/>
            <w:shd w:val="clear" w:color="auto" w:fill="auto"/>
            <w:tcMar>
              <w:left w:w="108" w:type="dxa"/>
              <w:right w:w="108" w:type="dxa"/>
            </w:tcMar>
            <w:vAlign w:val="bottom"/>
          </w:tcPr>
          <w:p w:rsidR="006A62D1" w:rsidRPr="00EB640D" w:rsidRDefault="006A62D1" w:rsidP="00C24042">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LC Fe-Cr (Eurometeaux) (53% Si)</w:t>
            </w:r>
          </w:p>
        </w:tc>
        <w:tc>
          <w:tcPr>
            <w:tcW w:w="3220" w:type="dxa"/>
            <w:shd w:val="clear" w:color="auto" w:fill="auto"/>
            <w:tcMar>
              <w:left w:w="108" w:type="dxa"/>
              <w:right w:w="108" w:type="dxa"/>
            </w:tcMar>
            <w:vAlign w:val="bottom"/>
          </w:tcPr>
          <w:p w:rsidR="006A62D1" w:rsidRPr="00EB640D" w:rsidRDefault="006A62D1" w:rsidP="00C24042">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94.89</w:t>
            </w:r>
          </w:p>
        </w:tc>
      </w:tr>
      <w:tr w:rsidR="000F39EA" w:rsidRPr="00EB640D" w:rsidTr="00D8091C">
        <w:trPr>
          <w:jc w:val="center"/>
        </w:trPr>
        <w:tc>
          <w:tcPr>
            <w:tcW w:w="3460" w:type="dxa"/>
            <w:shd w:val="clear" w:color="auto" w:fill="auto"/>
            <w:tcMar>
              <w:left w:w="108" w:type="dxa"/>
              <w:right w:w="108" w:type="dxa"/>
            </w:tcMar>
            <w:vAlign w:val="bottom"/>
          </w:tcPr>
          <w:p w:rsidR="006A62D1" w:rsidRPr="00EB640D" w:rsidRDefault="006A1215" w:rsidP="00C24042">
            <w:pPr>
              <w:spacing w:after="0" w:line="360" w:lineRule="auto"/>
              <w:jc w:val="center"/>
              <w:rPr>
                <w:rFonts w:ascii="Times New Roman" w:eastAsia="Calibri" w:hAnsi="Times New Roman" w:cs="Times New Roman"/>
              </w:rPr>
            </w:pPr>
            <w:r>
              <w:rPr>
                <w:rFonts w:ascii="Times New Roman" w:eastAsia="Calibri" w:hAnsi="Times New Roman" w:cs="Times New Roman"/>
                <w:color w:val="000000"/>
              </w:rPr>
              <w:t>*</w:t>
            </w:r>
            <w:r w:rsidR="004D2D91" w:rsidRPr="00EB640D">
              <w:rPr>
                <w:rFonts w:ascii="Times New Roman" w:eastAsia="Calibri" w:hAnsi="Times New Roman" w:cs="Times New Roman"/>
                <w:color w:val="000000"/>
              </w:rPr>
              <w:t>GaBi</w:t>
            </w:r>
            <w:r w:rsidR="006A62D1" w:rsidRPr="00EB640D">
              <w:rPr>
                <w:rFonts w:ascii="Times New Roman" w:eastAsia="Calibri" w:hAnsi="Times New Roman" w:cs="Times New Roman"/>
                <w:color w:val="000000"/>
              </w:rPr>
              <w:t xml:space="preserve"> HC Fe-Cr</w:t>
            </w:r>
          </w:p>
        </w:tc>
        <w:tc>
          <w:tcPr>
            <w:tcW w:w="3220" w:type="dxa"/>
            <w:shd w:val="clear" w:color="auto" w:fill="auto"/>
            <w:tcMar>
              <w:left w:w="108" w:type="dxa"/>
              <w:right w:w="108" w:type="dxa"/>
            </w:tcMar>
            <w:vAlign w:val="bottom"/>
          </w:tcPr>
          <w:p w:rsidR="006A62D1" w:rsidRPr="00EB640D" w:rsidRDefault="006A62D1" w:rsidP="00C24042">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112.05</w:t>
            </w:r>
          </w:p>
        </w:tc>
      </w:tr>
      <w:tr w:rsidR="000F39EA" w:rsidRPr="00EB640D" w:rsidTr="00D8091C">
        <w:trPr>
          <w:jc w:val="center"/>
        </w:trPr>
        <w:tc>
          <w:tcPr>
            <w:tcW w:w="3460" w:type="dxa"/>
            <w:shd w:val="clear" w:color="auto" w:fill="auto"/>
            <w:tcMar>
              <w:left w:w="108" w:type="dxa"/>
              <w:right w:w="108" w:type="dxa"/>
            </w:tcMar>
            <w:vAlign w:val="bottom"/>
          </w:tcPr>
          <w:p w:rsidR="006A62D1" w:rsidRPr="00EB640D" w:rsidRDefault="004D2D91" w:rsidP="00C24042">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GaBi</w:t>
            </w:r>
            <w:r w:rsidR="006A62D1" w:rsidRPr="00EB640D">
              <w:rPr>
                <w:rFonts w:ascii="Times New Roman" w:eastAsia="Calibri" w:hAnsi="Times New Roman" w:cs="Times New Roman"/>
                <w:color w:val="000000"/>
              </w:rPr>
              <w:t xml:space="preserve"> LC Fe-Cr</w:t>
            </w:r>
          </w:p>
        </w:tc>
        <w:tc>
          <w:tcPr>
            <w:tcW w:w="3220" w:type="dxa"/>
            <w:shd w:val="clear" w:color="auto" w:fill="auto"/>
            <w:tcMar>
              <w:left w:w="108" w:type="dxa"/>
              <w:right w:w="108" w:type="dxa"/>
            </w:tcMar>
            <w:vAlign w:val="bottom"/>
          </w:tcPr>
          <w:p w:rsidR="006A62D1" w:rsidRPr="00EB640D" w:rsidRDefault="006A62D1" w:rsidP="00C24042">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118.21</w:t>
            </w:r>
          </w:p>
        </w:tc>
      </w:tr>
    </w:tbl>
    <w:p w:rsidR="00CF066D" w:rsidRDefault="00CF066D" w:rsidP="006A62D1">
      <w:pPr>
        <w:spacing w:after="0" w:line="360" w:lineRule="auto"/>
        <w:ind w:firstLine="720"/>
        <w:jc w:val="both"/>
        <w:rPr>
          <w:rFonts w:ascii="Times New Roman" w:eastAsia="Calibri" w:hAnsi="Times New Roman" w:cs="Times New Roman"/>
        </w:rPr>
      </w:pPr>
    </w:p>
    <w:p w:rsidR="006A62D1" w:rsidRPr="004E0589" w:rsidRDefault="006A62D1" w:rsidP="006A62D1">
      <w:pPr>
        <w:spacing w:after="0" w:line="360" w:lineRule="auto"/>
        <w:ind w:firstLine="720"/>
        <w:jc w:val="both"/>
        <w:rPr>
          <w:rFonts w:ascii="Times New Roman" w:eastAsia="Calibri" w:hAnsi="Times New Roman" w:cs="Times New Roman"/>
        </w:rPr>
      </w:pPr>
      <w:r w:rsidRPr="004E0589">
        <w:rPr>
          <w:rFonts w:ascii="Times New Roman" w:eastAsia="Calibri" w:hAnsi="Times New Roman" w:cs="Times New Roman"/>
        </w:rPr>
        <w:t xml:space="preserve">The results from </w:t>
      </w:r>
      <w:r w:rsidR="00A6415F" w:rsidRPr="004E0589">
        <w:fldChar w:fldCharType="begin"/>
      </w:r>
      <w:r w:rsidR="00A6415F" w:rsidRPr="004E0589">
        <w:instrText xml:space="preserve"> REF _Ref468306539 \h  \* MERGEFORMAT </w:instrText>
      </w:r>
      <w:r w:rsidR="00A6415F" w:rsidRPr="004E0589">
        <w:fldChar w:fldCharType="separate"/>
      </w:r>
      <w:r w:rsidR="009F5483" w:rsidRPr="004E0589">
        <w:rPr>
          <w:rFonts w:ascii="Times New Roman" w:hAnsi="Times New Roman" w:cs="Times New Roman"/>
        </w:rPr>
        <w:t xml:space="preserve">Table </w:t>
      </w:r>
      <w:r w:rsidR="009F5483">
        <w:rPr>
          <w:rFonts w:ascii="Times New Roman" w:hAnsi="Times New Roman" w:cs="Times New Roman"/>
          <w:noProof/>
        </w:rPr>
        <w:t>25</w:t>
      </w:r>
      <w:r w:rsidR="00A6415F" w:rsidRPr="004E0589">
        <w:fldChar w:fldCharType="end"/>
      </w:r>
      <w:r w:rsidRPr="004E0589">
        <w:rPr>
          <w:rFonts w:ascii="Times New Roman" w:eastAsia="Calibri" w:hAnsi="Times New Roman" w:cs="Times New Roman"/>
        </w:rPr>
        <w:t xml:space="preserve"> support and follow the trend from GWP values. In terms of Euro</w:t>
      </w:r>
      <w:r w:rsidR="008B70A6" w:rsidRPr="004E0589">
        <w:rPr>
          <w:rFonts w:ascii="Times New Roman" w:eastAsia="Calibri" w:hAnsi="Times New Roman" w:cs="Times New Roman"/>
        </w:rPr>
        <w:t>metaux, the energy values were</w:t>
      </w:r>
      <w:r w:rsidRPr="004E0589">
        <w:rPr>
          <w:rFonts w:ascii="Times New Roman" w:eastAsia="Calibri" w:hAnsi="Times New Roman" w:cs="Times New Roman"/>
        </w:rPr>
        <w:t xml:space="preserve"> the lowest from all data sources. Although no description was provided about the energy source from the original data, from the results they appear to be most likely European based. The majority of European nations are still coal dependent as the main source of electricity but have begun diversification into renewable technology. Germany for example leads the way in wind technology. Whilst some countries such as Norway are completely dependent on non-renewables</w:t>
      </w:r>
      <w:r w:rsidR="008B70A6" w:rsidRPr="004E0589">
        <w:rPr>
          <w:rFonts w:ascii="Times New Roman" w:eastAsia="Calibri" w:hAnsi="Times New Roman" w:cs="Times New Roman"/>
        </w:rPr>
        <w:t xml:space="preserve"> (hydro-electricity)</w:t>
      </w:r>
      <w:r w:rsidRPr="004E0589">
        <w:rPr>
          <w:rFonts w:ascii="Times New Roman" w:eastAsia="Calibri" w:hAnsi="Times New Roman" w:cs="Times New Roman"/>
        </w:rPr>
        <w:t xml:space="preserve"> as their main so</w:t>
      </w:r>
      <w:r w:rsidR="008B70A6" w:rsidRPr="004E0589">
        <w:rPr>
          <w:rFonts w:ascii="Times New Roman" w:eastAsia="Calibri" w:hAnsi="Times New Roman" w:cs="Times New Roman"/>
        </w:rPr>
        <w:t>urce of energy roughly 96%</w:t>
      </w:r>
      <w:r w:rsidRPr="004E0589">
        <w:rPr>
          <w:rFonts w:ascii="Times New Roman" w:eastAsia="Calibri" w:hAnsi="Times New Roman" w:cs="Times New Roman"/>
        </w:rPr>
        <w:t>.</w:t>
      </w:r>
    </w:p>
    <w:p w:rsidR="006A62D1" w:rsidRPr="004E0589" w:rsidRDefault="006A62D1" w:rsidP="006A62D1">
      <w:pPr>
        <w:spacing w:after="0" w:line="360" w:lineRule="auto"/>
        <w:ind w:firstLine="720"/>
        <w:jc w:val="both"/>
        <w:rPr>
          <w:rFonts w:ascii="Times New Roman" w:eastAsia="Calibri" w:hAnsi="Times New Roman" w:cs="Times New Roman"/>
        </w:rPr>
      </w:pPr>
      <w:r w:rsidRPr="004E0589">
        <w:rPr>
          <w:rFonts w:ascii="Times New Roman" w:eastAsia="Calibri" w:hAnsi="Times New Roman" w:cs="Times New Roman"/>
        </w:rPr>
        <w:t xml:space="preserve">The energy values from </w:t>
      </w:r>
      <w:r w:rsidR="004D2D91" w:rsidRPr="004E0589">
        <w:rPr>
          <w:rFonts w:ascii="Times New Roman" w:eastAsia="Calibri" w:hAnsi="Times New Roman" w:cs="Times New Roman"/>
        </w:rPr>
        <w:t>GaBi</w:t>
      </w:r>
      <w:r w:rsidRPr="004E0589">
        <w:rPr>
          <w:rFonts w:ascii="Times New Roman" w:eastAsia="Calibri" w:hAnsi="Times New Roman" w:cs="Times New Roman"/>
        </w:rPr>
        <w:t xml:space="preserve"> do not appear to be significantly higher, in comparison to Haque. This is surprising since South Africa’s energy infrastructure is not the most efficient or productive compared to Australia. However this deficiency in energy might be offset by the composition of chromite ore. South Africa’s composition would be higher based on the type and amount of deposits than Australia, which has comparatively little production of chromite and thus would have to import. The only other factor that can explain the results would be the amount of ore, since this mining step would be energy intensive. In Haques model approximately 2400kg of chromite is used whereas this is an unknown quantity in the </w:t>
      </w:r>
      <w:r w:rsidR="004D2D91" w:rsidRPr="004E0589">
        <w:rPr>
          <w:rFonts w:ascii="Times New Roman" w:eastAsia="Calibri" w:hAnsi="Times New Roman" w:cs="Times New Roman"/>
        </w:rPr>
        <w:t>GaBi</w:t>
      </w:r>
      <w:r w:rsidRPr="004E0589">
        <w:rPr>
          <w:rFonts w:ascii="Times New Roman" w:eastAsia="Calibri" w:hAnsi="Times New Roman" w:cs="Times New Roman"/>
        </w:rPr>
        <w:t xml:space="preserve"> models. The results suggest a similar quantity from the </w:t>
      </w:r>
      <w:r w:rsidR="004D2D91" w:rsidRPr="004E0589">
        <w:rPr>
          <w:rFonts w:ascii="Times New Roman" w:eastAsia="Calibri" w:hAnsi="Times New Roman" w:cs="Times New Roman"/>
        </w:rPr>
        <w:t>GaBi</w:t>
      </w:r>
      <w:r w:rsidRPr="004E0589">
        <w:rPr>
          <w:rFonts w:ascii="Times New Roman" w:eastAsia="Calibri" w:hAnsi="Times New Roman" w:cs="Times New Roman"/>
        </w:rPr>
        <w:t xml:space="preserve"> models but cannot be verified.</w:t>
      </w:r>
    </w:p>
    <w:p w:rsidR="006A62D1" w:rsidRPr="004E0589" w:rsidRDefault="006A62D1" w:rsidP="00E952C4">
      <w:pPr>
        <w:spacing w:line="360" w:lineRule="auto"/>
        <w:ind w:firstLine="720"/>
        <w:jc w:val="both"/>
        <w:rPr>
          <w:rFonts w:ascii="Times New Roman" w:eastAsia="Calibri" w:hAnsi="Times New Roman" w:cs="Times New Roman"/>
        </w:rPr>
      </w:pPr>
      <w:r w:rsidRPr="004E0589">
        <w:rPr>
          <w:rFonts w:ascii="Times New Roman" w:eastAsia="Calibri" w:hAnsi="Times New Roman" w:cs="Times New Roman"/>
        </w:rPr>
        <w:t xml:space="preserve">From evaluating all the models and results, </w:t>
      </w:r>
      <w:r w:rsidR="00A6415F" w:rsidRPr="004E0589">
        <w:fldChar w:fldCharType="begin"/>
      </w:r>
      <w:r w:rsidR="00A6415F" w:rsidRPr="004E0589">
        <w:instrText xml:space="preserve"> REF _Ref474351711 \h  \* MERGEFORMAT </w:instrText>
      </w:r>
      <w:r w:rsidR="00A6415F" w:rsidRPr="004E0589">
        <w:fldChar w:fldCharType="separate"/>
      </w:r>
      <w:r w:rsidR="009F5483" w:rsidRPr="00EB640D">
        <w:rPr>
          <w:rFonts w:ascii="Times New Roman" w:hAnsi="Times New Roman" w:cs="Times New Roman"/>
        </w:rPr>
        <w:t xml:space="preserve">Figure </w:t>
      </w:r>
      <w:r w:rsidR="009F5483">
        <w:rPr>
          <w:rFonts w:ascii="Times New Roman" w:hAnsi="Times New Roman" w:cs="Times New Roman"/>
          <w:noProof/>
        </w:rPr>
        <w:t>31</w:t>
      </w:r>
      <w:r w:rsidR="00A6415F" w:rsidRPr="004E0589">
        <w:fldChar w:fldCharType="end"/>
      </w:r>
      <w:r w:rsidR="008B70A6" w:rsidRPr="004E0589">
        <w:rPr>
          <w:rFonts w:ascii="Times New Roman" w:eastAsia="Calibri" w:hAnsi="Times New Roman" w:cs="Times New Roman"/>
        </w:rPr>
        <w:t xml:space="preserve"> and </w:t>
      </w:r>
      <w:r w:rsidR="00A6415F" w:rsidRPr="004E0589">
        <w:fldChar w:fldCharType="begin"/>
      </w:r>
      <w:r w:rsidR="00A6415F" w:rsidRPr="004E0589">
        <w:instrText xml:space="preserve"> REF _Ref474351713 \h  \* MERGEFORMAT </w:instrText>
      </w:r>
      <w:r w:rsidR="00A6415F" w:rsidRPr="004E0589">
        <w:fldChar w:fldCharType="separate"/>
      </w:r>
      <w:r w:rsidR="009F5483" w:rsidRPr="00EB640D">
        <w:rPr>
          <w:rFonts w:ascii="Times New Roman" w:hAnsi="Times New Roman" w:cs="Times New Roman"/>
          <w:noProof/>
        </w:rPr>
        <w:t>Figure</w:t>
      </w:r>
      <w:r w:rsidR="009F5483" w:rsidRPr="00EB640D">
        <w:rPr>
          <w:rFonts w:ascii="Times New Roman" w:hAnsi="Times New Roman" w:cs="Times New Roman"/>
        </w:rPr>
        <w:t xml:space="preserve"> </w:t>
      </w:r>
      <w:r w:rsidR="009F5483">
        <w:rPr>
          <w:rFonts w:ascii="Times New Roman" w:hAnsi="Times New Roman" w:cs="Times New Roman"/>
          <w:noProof/>
        </w:rPr>
        <w:t>32</w:t>
      </w:r>
      <w:r w:rsidR="00A6415F" w:rsidRPr="004E0589">
        <w:fldChar w:fldCharType="end"/>
      </w:r>
      <w:r w:rsidRPr="004E0589">
        <w:rPr>
          <w:rFonts w:ascii="Times New Roman" w:eastAsia="Calibri" w:hAnsi="Times New Roman" w:cs="Times New Roman"/>
        </w:rPr>
        <w:t xml:space="preserve">, </w:t>
      </w:r>
      <w:r w:rsidR="008B70A6" w:rsidRPr="004E0589">
        <w:rPr>
          <w:rFonts w:ascii="Times New Roman" w:eastAsia="Calibri" w:hAnsi="Times New Roman" w:cs="Times New Roman"/>
        </w:rPr>
        <w:t>were</w:t>
      </w:r>
      <w:r w:rsidRPr="004E0589">
        <w:rPr>
          <w:rFonts w:ascii="Times New Roman" w:eastAsia="Calibri" w:hAnsi="Times New Roman" w:cs="Times New Roman"/>
        </w:rPr>
        <w:t xml:space="preserve"> selected as the process</w:t>
      </w:r>
      <w:r w:rsidR="008B70A6" w:rsidRPr="004E0589">
        <w:rPr>
          <w:rFonts w:ascii="Times New Roman" w:eastAsia="Calibri" w:hAnsi="Times New Roman" w:cs="Times New Roman"/>
        </w:rPr>
        <w:t>es to represent</w:t>
      </w:r>
      <w:r w:rsidR="00E952C4" w:rsidRPr="004E0589">
        <w:rPr>
          <w:rFonts w:ascii="Times New Roman" w:eastAsia="Calibri" w:hAnsi="Times New Roman" w:cs="Times New Roman"/>
        </w:rPr>
        <w:t xml:space="preserve"> HC Fe-Cr and</w:t>
      </w:r>
      <w:r w:rsidRPr="004E0589">
        <w:rPr>
          <w:rFonts w:ascii="Times New Roman" w:eastAsia="Calibri" w:hAnsi="Times New Roman" w:cs="Times New Roman"/>
        </w:rPr>
        <w:t xml:space="preserve"> LC Fe-Cr</w:t>
      </w:r>
      <w:r w:rsidR="00E952C4" w:rsidRPr="004E0589">
        <w:rPr>
          <w:rFonts w:ascii="Times New Roman" w:eastAsia="Calibri" w:hAnsi="Times New Roman" w:cs="Times New Roman"/>
        </w:rPr>
        <w:t>.</w:t>
      </w:r>
      <w:r w:rsidRPr="004E0589">
        <w:rPr>
          <w:rFonts w:ascii="Times New Roman" w:eastAsia="Calibri" w:hAnsi="Times New Roman" w:cs="Times New Roman"/>
        </w:rPr>
        <w:t xml:space="preserve"> Both of</w:t>
      </w:r>
      <w:r w:rsidR="00E952C4" w:rsidRPr="004E0589">
        <w:rPr>
          <w:rFonts w:ascii="Times New Roman" w:eastAsia="Calibri" w:hAnsi="Times New Roman" w:cs="Times New Roman"/>
        </w:rPr>
        <w:t xml:space="preserve"> these models were </w:t>
      </w:r>
      <w:r w:rsidRPr="004E0589">
        <w:rPr>
          <w:rFonts w:ascii="Times New Roman" w:eastAsia="Calibri" w:hAnsi="Times New Roman" w:cs="Times New Roman"/>
        </w:rPr>
        <w:t>utilised in work associated with grades of steel.</w:t>
      </w:r>
    </w:p>
    <w:p w:rsidR="006A62D1" w:rsidRPr="00EB640D" w:rsidRDefault="006A62D1" w:rsidP="00CF066D">
      <w:pPr>
        <w:spacing w:after="0" w:line="360" w:lineRule="auto"/>
        <w:ind w:firstLine="720"/>
        <w:jc w:val="center"/>
        <w:rPr>
          <w:rFonts w:ascii="Times New Roman" w:eastAsia="Calibri" w:hAnsi="Times New Roman" w:cs="Times New Roman"/>
        </w:rPr>
      </w:pPr>
      <w:r w:rsidRPr="00EB640D">
        <w:rPr>
          <w:noProof/>
        </w:rPr>
        <w:lastRenderedPageBreak/>
        <w:drawing>
          <wp:inline distT="0" distB="0" distL="0" distR="0">
            <wp:extent cx="4815840" cy="2779253"/>
            <wp:effectExtent l="0" t="0" r="3810" b="2540"/>
            <wp:docPr id="55"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srcRect l="31634" t="40944" r="21479" b="10951"/>
                    <a:stretch/>
                  </pic:blipFill>
                  <pic:spPr bwMode="auto">
                    <a:xfrm>
                      <a:off x="0" y="0"/>
                      <a:ext cx="4847413" cy="2797474"/>
                    </a:xfrm>
                    <a:prstGeom prst="rect">
                      <a:avLst/>
                    </a:prstGeom>
                    <a:ln>
                      <a:noFill/>
                    </a:ln>
                    <a:extLst>
                      <a:ext uri="{53640926-AAD7-44D8-BBD7-CCE9431645EC}">
                        <a14:shadowObscured xmlns:a14="http://schemas.microsoft.com/office/drawing/2010/main"/>
                      </a:ext>
                    </a:extLst>
                  </pic:spPr>
                </pic:pic>
              </a:graphicData>
            </a:graphic>
          </wp:inline>
        </w:drawing>
      </w:r>
    </w:p>
    <w:p w:rsidR="006A62D1" w:rsidRPr="00EB640D" w:rsidRDefault="006A62D1" w:rsidP="006A62D1">
      <w:pPr>
        <w:rPr>
          <w:rFonts w:ascii="Times New Roman" w:eastAsia="Calibri" w:hAnsi="Times New Roman" w:cs="Times New Roman"/>
        </w:rPr>
      </w:pPr>
      <w:bookmarkStart w:id="153" w:name="_Ref474351711"/>
      <w:bookmarkStart w:id="154" w:name="_Toc495848364"/>
      <w:r w:rsidRPr="00EB640D">
        <w:rPr>
          <w:rFonts w:ascii="Times New Roman" w:hAnsi="Times New Roman" w:cs="Times New Roman"/>
        </w:rPr>
        <w:t xml:space="preserve">Figure </w:t>
      </w:r>
      <w:r w:rsidR="009A0ED7" w:rsidRPr="00EB640D">
        <w:rPr>
          <w:rFonts w:ascii="Times New Roman" w:hAnsi="Times New Roman" w:cs="Times New Roman"/>
        </w:rPr>
        <w:fldChar w:fldCharType="begin"/>
      </w:r>
      <w:r w:rsidRPr="00EB640D">
        <w:rPr>
          <w:rFonts w:ascii="Times New Roman" w:hAnsi="Times New Roman" w:cs="Times New Roman"/>
        </w:rPr>
        <w:instrText xml:space="preserve"> SEQ Figure \* ARABIC </w:instrText>
      </w:r>
      <w:r w:rsidR="009A0ED7" w:rsidRPr="00EB640D">
        <w:rPr>
          <w:rFonts w:ascii="Times New Roman" w:hAnsi="Times New Roman" w:cs="Times New Roman"/>
        </w:rPr>
        <w:fldChar w:fldCharType="separate"/>
      </w:r>
      <w:r w:rsidR="009F5483">
        <w:rPr>
          <w:rFonts w:ascii="Times New Roman" w:hAnsi="Times New Roman" w:cs="Times New Roman"/>
          <w:noProof/>
        </w:rPr>
        <w:t>31</w:t>
      </w:r>
      <w:r w:rsidR="009A0ED7" w:rsidRPr="00EB640D">
        <w:rPr>
          <w:rFonts w:ascii="Times New Roman" w:hAnsi="Times New Roman" w:cs="Times New Roman"/>
        </w:rPr>
        <w:fldChar w:fldCharType="end"/>
      </w:r>
      <w:bookmarkEnd w:id="153"/>
      <w:r w:rsidRPr="00EB640D">
        <w:rPr>
          <w:rFonts w:ascii="Times New Roman" w:hAnsi="Times New Roman" w:cs="Times New Roman"/>
        </w:rPr>
        <w:t xml:space="preserve">. </w:t>
      </w:r>
      <w:r w:rsidRPr="00EB640D">
        <w:rPr>
          <w:rFonts w:ascii="Times New Roman" w:eastAsia="Calibri" w:hAnsi="Times New Roman" w:cs="Times New Roman"/>
        </w:rPr>
        <w:t>Global Fe-Cr model utilising data from Haque.</w:t>
      </w:r>
      <w:bookmarkEnd w:id="154"/>
    </w:p>
    <w:p w:rsidR="006A62D1" w:rsidRPr="00EB640D" w:rsidRDefault="006A62D1" w:rsidP="00CF066D">
      <w:pPr>
        <w:spacing w:line="360" w:lineRule="auto"/>
        <w:jc w:val="center"/>
        <w:rPr>
          <w:rFonts w:ascii="Times New Roman" w:eastAsia="Calibri" w:hAnsi="Times New Roman" w:cs="Times New Roman"/>
        </w:rPr>
      </w:pPr>
      <w:r w:rsidRPr="00EB640D">
        <w:rPr>
          <w:noProof/>
        </w:rPr>
        <w:drawing>
          <wp:inline distT="0" distB="0" distL="0" distR="0">
            <wp:extent cx="3511296" cy="2573924"/>
            <wp:effectExtent l="0" t="0" r="0" b="0"/>
            <wp:docPr id="5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srcRect l="17619" t="38983" r="55329" b="25761"/>
                    <a:stretch/>
                  </pic:blipFill>
                  <pic:spPr bwMode="auto">
                    <a:xfrm>
                      <a:off x="0" y="0"/>
                      <a:ext cx="3534770" cy="2591131"/>
                    </a:xfrm>
                    <a:prstGeom prst="rect">
                      <a:avLst/>
                    </a:prstGeom>
                    <a:ln>
                      <a:noFill/>
                    </a:ln>
                    <a:extLst>
                      <a:ext uri="{53640926-AAD7-44D8-BBD7-CCE9431645EC}">
                        <a14:shadowObscured xmlns:a14="http://schemas.microsoft.com/office/drawing/2010/main"/>
                      </a:ext>
                    </a:extLst>
                  </pic:spPr>
                </pic:pic>
              </a:graphicData>
            </a:graphic>
          </wp:inline>
        </w:drawing>
      </w:r>
    </w:p>
    <w:p w:rsidR="006A62D1" w:rsidRDefault="006A62D1" w:rsidP="006A62D1">
      <w:pPr>
        <w:rPr>
          <w:rFonts w:ascii="Times New Roman" w:eastAsia="Calibri" w:hAnsi="Times New Roman" w:cs="Times New Roman"/>
        </w:rPr>
      </w:pPr>
      <w:bookmarkStart w:id="155" w:name="_Ref474351713"/>
      <w:bookmarkStart w:id="156" w:name="_Toc495848365"/>
      <w:r w:rsidRPr="00EB640D">
        <w:rPr>
          <w:rFonts w:ascii="Times New Roman" w:hAnsi="Times New Roman" w:cs="Times New Roman"/>
        </w:rPr>
        <w:t xml:space="preserve">Figure </w:t>
      </w:r>
      <w:r w:rsidR="009A0ED7" w:rsidRPr="00EB640D">
        <w:rPr>
          <w:rFonts w:ascii="Times New Roman" w:hAnsi="Times New Roman" w:cs="Times New Roman"/>
        </w:rPr>
        <w:fldChar w:fldCharType="begin"/>
      </w:r>
      <w:r w:rsidRPr="00EB640D">
        <w:rPr>
          <w:rFonts w:ascii="Times New Roman" w:hAnsi="Times New Roman" w:cs="Times New Roman"/>
        </w:rPr>
        <w:instrText xml:space="preserve"> SEQ Figure \* ARABIC </w:instrText>
      </w:r>
      <w:r w:rsidR="009A0ED7" w:rsidRPr="00EB640D">
        <w:rPr>
          <w:rFonts w:ascii="Times New Roman" w:hAnsi="Times New Roman" w:cs="Times New Roman"/>
        </w:rPr>
        <w:fldChar w:fldCharType="separate"/>
      </w:r>
      <w:r w:rsidR="009F5483">
        <w:rPr>
          <w:rFonts w:ascii="Times New Roman" w:hAnsi="Times New Roman" w:cs="Times New Roman"/>
          <w:noProof/>
        </w:rPr>
        <w:t>32</w:t>
      </w:r>
      <w:r w:rsidR="009A0ED7" w:rsidRPr="00EB640D">
        <w:rPr>
          <w:rFonts w:ascii="Times New Roman" w:hAnsi="Times New Roman" w:cs="Times New Roman"/>
        </w:rPr>
        <w:fldChar w:fldCharType="end"/>
      </w:r>
      <w:bookmarkEnd w:id="155"/>
      <w:r w:rsidRPr="00EB640D">
        <w:rPr>
          <w:rFonts w:ascii="Times New Roman" w:hAnsi="Times New Roman" w:cs="Times New Roman"/>
        </w:rPr>
        <w:t xml:space="preserve">. </w:t>
      </w:r>
      <w:r w:rsidR="004D2D91" w:rsidRPr="00EB640D">
        <w:rPr>
          <w:rFonts w:ascii="Times New Roman" w:eastAsia="Calibri" w:hAnsi="Times New Roman" w:cs="Times New Roman"/>
        </w:rPr>
        <w:t>GaBi</w:t>
      </w:r>
      <w:r w:rsidRPr="00EB640D">
        <w:rPr>
          <w:rFonts w:ascii="Times New Roman" w:eastAsia="Calibri" w:hAnsi="Times New Roman" w:cs="Times New Roman"/>
        </w:rPr>
        <w:t xml:space="preserve"> model of LC Fe-Cr (60% Cr, 1%).</w:t>
      </w:r>
      <w:bookmarkEnd w:id="156"/>
    </w:p>
    <w:p w:rsidR="004E0589" w:rsidRPr="00EB640D" w:rsidRDefault="004E0589" w:rsidP="006A62D1">
      <w:pPr>
        <w:rPr>
          <w:rFonts w:ascii="Times New Roman" w:eastAsia="Calibri" w:hAnsi="Times New Roman" w:cs="Times New Roman"/>
        </w:rPr>
      </w:pPr>
    </w:p>
    <w:p w:rsidR="004E0589" w:rsidRDefault="004E0589" w:rsidP="006A62D1">
      <w:pPr>
        <w:rPr>
          <w:rFonts w:ascii="Times New Roman" w:eastAsia="Calibri" w:hAnsi="Times New Roman" w:cs="Times New Roman"/>
        </w:rPr>
        <w:sectPr w:rsidR="004E0589" w:rsidSect="00C24042">
          <w:pgSz w:w="11906" w:h="16838"/>
          <w:pgMar w:top="1440" w:right="1440" w:bottom="1440" w:left="1440" w:header="708" w:footer="708" w:gutter="0"/>
          <w:cols w:space="708"/>
          <w:docGrid w:linePitch="360"/>
        </w:sectPr>
      </w:pPr>
    </w:p>
    <w:p w:rsidR="00B9327B" w:rsidRPr="00EB640D" w:rsidRDefault="000F272E" w:rsidP="00B9327B">
      <w:pPr>
        <w:pStyle w:val="Heading2"/>
        <w:rPr>
          <w:rFonts w:eastAsia="Calibri Light"/>
        </w:rPr>
      </w:pPr>
      <w:r w:rsidRPr="00EB640D">
        <w:rPr>
          <w:rFonts w:eastAsia="Calibri Light"/>
        </w:rPr>
        <w:lastRenderedPageBreak/>
        <w:t>7.3. Ferro-Manganese</w:t>
      </w:r>
      <w:r w:rsidR="00785EBA">
        <w:rPr>
          <w:rFonts w:eastAsia="Calibri Light"/>
        </w:rPr>
        <w:t xml:space="preserve"> </w:t>
      </w:r>
    </w:p>
    <w:p w:rsidR="00B9327B" w:rsidRPr="00EB640D" w:rsidRDefault="00B9327B" w:rsidP="00CF066D">
      <w:pPr>
        <w:spacing w:line="360" w:lineRule="auto"/>
        <w:jc w:val="center"/>
        <w:rPr>
          <w:rFonts w:ascii="Times New Roman" w:eastAsia="Calibri" w:hAnsi="Times New Roman" w:cs="Times New Roman"/>
        </w:rPr>
      </w:pPr>
      <w:r w:rsidRPr="00EB640D">
        <w:rPr>
          <w:noProof/>
        </w:rPr>
        <w:drawing>
          <wp:inline distT="0" distB="0" distL="0" distR="0">
            <wp:extent cx="5731510" cy="3409950"/>
            <wp:effectExtent l="0" t="0" r="2540" b="0"/>
            <wp:docPr id="1"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B9327B" w:rsidRPr="00785EBA" w:rsidRDefault="00B9327B" w:rsidP="00B9327B">
      <w:pPr>
        <w:rPr>
          <w:rFonts w:ascii="Times New Roman" w:eastAsia="Calibri" w:hAnsi="Times New Roman" w:cs="Times New Roman"/>
        </w:rPr>
      </w:pPr>
      <w:bookmarkStart w:id="157" w:name="_Ref468306729"/>
      <w:bookmarkStart w:id="158" w:name="_Toc495848366"/>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33</w:t>
      </w:r>
      <w:r w:rsidR="009A0ED7" w:rsidRPr="00785EBA">
        <w:rPr>
          <w:rFonts w:ascii="Times New Roman" w:hAnsi="Times New Roman" w:cs="Times New Roman"/>
        </w:rPr>
        <w:fldChar w:fldCharType="end"/>
      </w:r>
      <w:bookmarkEnd w:id="157"/>
      <w:r w:rsidRPr="00785EBA">
        <w:rPr>
          <w:rFonts w:ascii="Times New Roman" w:hAnsi="Times New Roman" w:cs="Times New Roman"/>
        </w:rPr>
        <w:t xml:space="preserve">. </w:t>
      </w:r>
      <w:r w:rsidRPr="00785EBA">
        <w:rPr>
          <w:rFonts w:ascii="Times New Roman" w:eastAsia="Calibri" w:hAnsi="Times New Roman" w:cs="Times New Roman"/>
        </w:rPr>
        <w:t>Comparison of original literature sources for Fe-Mn production via GWP.</w:t>
      </w:r>
      <w:bookmarkEnd w:id="158"/>
    </w:p>
    <w:p w:rsidR="00B9327B" w:rsidRPr="00785EBA" w:rsidRDefault="00464942" w:rsidP="00464942">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Comparable</w:t>
      </w:r>
      <w:r w:rsidR="00B9327B" w:rsidRPr="00785EBA">
        <w:rPr>
          <w:rFonts w:ascii="Times New Roman" w:eastAsia="Calibri" w:hAnsi="Times New Roman" w:cs="Times New Roman"/>
        </w:rPr>
        <w:t xml:space="preserve"> to Fe-Cr, the abundance in literature available for Fe-Mn, allowed severa</w:t>
      </w:r>
      <w:r w:rsidRPr="00785EBA">
        <w:rPr>
          <w:rFonts w:ascii="Times New Roman" w:eastAsia="Calibri" w:hAnsi="Times New Roman" w:cs="Times New Roman"/>
        </w:rPr>
        <w:t xml:space="preserve">l models to be constructed from a variety of </w:t>
      </w:r>
      <w:r w:rsidR="00B9327B" w:rsidRPr="00785EBA">
        <w:rPr>
          <w:rFonts w:ascii="Times New Roman" w:eastAsia="Calibri" w:hAnsi="Times New Roman" w:cs="Times New Roman"/>
        </w:rPr>
        <w:t xml:space="preserve">different literature sources. </w:t>
      </w:r>
      <w:r w:rsidRPr="00785EBA">
        <w:rPr>
          <w:rFonts w:ascii="Times New Roman" w:eastAsia="Calibri" w:hAnsi="Times New Roman" w:cs="Times New Roman"/>
        </w:rPr>
        <w:t>Equivalent to Fe-Cr</w:t>
      </w:r>
      <w:r w:rsidR="00B9327B" w:rsidRPr="00785EBA">
        <w:rPr>
          <w:rFonts w:ascii="Times New Roman" w:eastAsia="Calibri" w:hAnsi="Times New Roman" w:cs="Times New Roman"/>
        </w:rPr>
        <w:t xml:space="preserve"> </w:t>
      </w:r>
      <w:r w:rsidR="00A6415F" w:rsidRPr="00785EBA">
        <w:fldChar w:fldCharType="begin"/>
      </w:r>
      <w:r w:rsidR="00A6415F" w:rsidRPr="00785EBA">
        <w:instrText xml:space="preserve"> REF _Ref468306729 \h  \* MERGEFORMAT </w:instrText>
      </w:r>
      <w:r w:rsidR="00A6415F" w:rsidRPr="00785EBA">
        <w:fldChar w:fldCharType="separate"/>
      </w:r>
      <w:r w:rsidR="009F5483" w:rsidRPr="00785EBA">
        <w:rPr>
          <w:rFonts w:ascii="Times New Roman" w:hAnsi="Times New Roman" w:cs="Times New Roman"/>
        </w:rPr>
        <w:t xml:space="preserve">Figure </w:t>
      </w:r>
      <w:r w:rsidR="009F5483">
        <w:rPr>
          <w:rFonts w:ascii="Times New Roman" w:hAnsi="Times New Roman" w:cs="Times New Roman"/>
          <w:noProof/>
        </w:rPr>
        <w:t>33</w:t>
      </w:r>
      <w:r w:rsidR="00A6415F" w:rsidRPr="00785EBA">
        <w:fldChar w:fldCharType="end"/>
      </w:r>
      <w:r w:rsidR="00B9327B" w:rsidRPr="00785EBA">
        <w:rPr>
          <w:rFonts w:ascii="Times New Roman" w:eastAsia="Calibri" w:hAnsi="Times New Roman" w:cs="Times New Roman"/>
        </w:rPr>
        <w:t xml:space="preserve"> illustrates</w:t>
      </w:r>
      <w:r w:rsidRPr="00785EBA">
        <w:rPr>
          <w:rFonts w:ascii="Times New Roman" w:eastAsia="Calibri" w:hAnsi="Times New Roman" w:cs="Times New Roman"/>
        </w:rPr>
        <w:t xml:space="preserve"> in yellow, the original results from Haque; in gold, a model created duplicating Haque; and in green a global Fe-Mn model. </w:t>
      </w:r>
      <w:r w:rsidR="00B9327B" w:rsidRPr="00785EBA">
        <w:rPr>
          <w:rFonts w:ascii="Times New Roman" w:eastAsia="Calibri" w:hAnsi="Times New Roman" w:cs="Times New Roman"/>
        </w:rPr>
        <w:t>Equally the four results represent three different electricity sources</w:t>
      </w:r>
      <w:r w:rsidRPr="00785EBA">
        <w:rPr>
          <w:rFonts w:ascii="Times New Roman" w:eastAsia="Calibri" w:hAnsi="Times New Roman" w:cs="Times New Roman"/>
        </w:rPr>
        <w:t>. With the first column, represented by</w:t>
      </w:r>
      <w:r w:rsidR="00B9327B" w:rsidRPr="00785EBA">
        <w:rPr>
          <w:rFonts w:ascii="Times New Roman" w:eastAsia="Calibri" w:hAnsi="Times New Roman" w:cs="Times New Roman"/>
        </w:rPr>
        <w:t xml:space="preserve"> Tasmania</w:t>
      </w:r>
      <w:r w:rsidRPr="00785EBA">
        <w:rPr>
          <w:rFonts w:ascii="Times New Roman" w:eastAsia="Calibri" w:hAnsi="Times New Roman" w:cs="Times New Roman"/>
        </w:rPr>
        <w:t>n</w:t>
      </w:r>
      <w:r w:rsidR="00B9327B" w:rsidRPr="00785EBA">
        <w:rPr>
          <w:rFonts w:ascii="Times New Roman" w:eastAsia="Calibri" w:hAnsi="Times New Roman" w:cs="Times New Roman"/>
        </w:rPr>
        <w:t xml:space="preserve"> electricity, th</w:t>
      </w:r>
      <w:r w:rsidRPr="00785EBA">
        <w:rPr>
          <w:rFonts w:ascii="Times New Roman" w:eastAsia="Calibri" w:hAnsi="Times New Roman" w:cs="Times New Roman"/>
        </w:rPr>
        <w:t>e middle two columns represented by</w:t>
      </w:r>
      <w:r w:rsidR="00B9327B" w:rsidRPr="00785EBA">
        <w:rPr>
          <w:rFonts w:ascii="Times New Roman" w:eastAsia="Calibri" w:hAnsi="Times New Roman" w:cs="Times New Roman"/>
        </w:rPr>
        <w:t xml:space="preserve"> Australian electricity and the remaining column representing an average electricity process based on global Fe-Mn production.</w:t>
      </w:r>
    </w:p>
    <w:p w:rsidR="00B9327B" w:rsidRPr="00785EBA" w:rsidRDefault="00145BBD" w:rsidP="00145BBD">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With respect to comparing and contrasting models, the </w:t>
      </w:r>
      <w:r w:rsidR="00B9327B" w:rsidRPr="00785EBA">
        <w:rPr>
          <w:rFonts w:ascii="Times New Roman" w:eastAsia="Calibri" w:hAnsi="Times New Roman" w:cs="Times New Roman"/>
        </w:rPr>
        <w:t>difference between Haque’s models utilising Tasmania</w:t>
      </w:r>
      <w:r w:rsidRPr="00785EBA">
        <w:rPr>
          <w:rFonts w:ascii="Times New Roman" w:eastAsia="Calibri" w:hAnsi="Times New Roman" w:cs="Times New Roman"/>
        </w:rPr>
        <w:t>n</w:t>
      </w:r>
      <w:r w:rsidR="00B9327B" w:rsidRPr="00785EBA">
        <w:rPr>
          <w:rFonts w:ascii="Times New Roman" w:eastAsia="Calibri" w:hAnsi="Times New Roman" w:cs="Times New Roman"/>
        </w:rPr>
        <w:t xml:space="preserve"> and Au</w:t>
      </w:r>
      <w:r w:rsidRPr="00785EBA">
        <w:rPr>
          <w:rFonts w:ascii="Times New Roman" w:eastAsia="Calibri" w:hAnsi="Times New Roman" w:cs="Times New Roman"/>
        </w:rPr>
        <w:t>stralian electricity grid mixes was</w:t>
      </w:r>
      <w:r w:rsidR="00B9327B" w:rsidRPr="00785EBA">
        <w:rPr>
          <w:rFonts w:ascii="Times New Roman" w:eastAsia="Calibri" w:hAnsi="Times New Roman" w:cs="Times New Roman"/>
        </w:rPr>
        <w:t xml:space="preserve"> primarily due </w:t>
      </w:r>
      <w:r w:rsidRPr="00785EBA">
        <w:rPr>
          <w:rFonts w:ascii="Times New Roman" w:eastAsia="Calibri" w:hAnsi="Times New Roman" w:cs="Times New Roman"/>
        </w:rPr>
        <w:t>to fuel mix. Hydroelectricity was</w:t>
      </w:r>
      <w:r w:rsidR="00B9327B" w:rsidRPr="00785EBA">
        <w:rPr>
          <w:rFonts w:ascii="Times New Roman" w:eastAsia="Calibri" w:hAnsi="Times New Roman" w:cs="Times New Roman"/>
        </w:rPr>
        <w:t xml:space="preserve"> the major contributor to the fuel mix for Tasmania whilst Australia’s fuel mix</w:t>
      </w:r>
      <w:r w:rsidRPr="00785EBA">
        <w:rPr>
          <w:rFonts w:ascii="Times New Roman" w:eastAsia="Calibri" w:hAnsi="Times New Roman" w:cs="Times New Roman"/>
        </w:rPr>
        <w:t xml:space="preserve"> primarily consisted</w:t>
      </w:r>
      <w:r w:rsidR="00297699" w:rsidRPr="00785EBA">
        <w:rPr>
          <w:rFonts w:ascii="Times New Roman" w:eastAsia="Calibri" w:hAnsi="Times New Roman" w:cs="Times New Roman"/>
        </w:rPr>
        <w:t xml:space="preserve"> of coal and natural gas. </w:t>
      </w:r>
      <w:r w:rsidR="00B9327B" w:rsidRPr="00785EBA">
        <w:rPr>
          <w:rFonts w:ascii="Times New Roman" w:eastAsia="Calibri" w:hAnsi="Times New Roman" w:cs="Times New Roman"/>
        </w:rPr>
        <w:t>Thus explaining why</w:t>
      </w:r>
      <w:r w:rsidR="00BC1D73" w:rsidRPr="00785EBA">
        <w:rPr>
          <w:rFonts w:ascii="Times New Roman" w:eastAsia="Calibri" w:hAnsi="Times New Roman" w:cs="Times New Roman"/>
        </w:rPr>
        <w:t xml:space="preserve"> the GWP value for Australia was twice as large as </w:t>
      </w:r>
      <w:r w:rsidR="00B9327B" w:rsidRPr="00785EBA">
        <w:rPr>
          <w:rFonts w:ascii="Times New Roman" w:eastAsia="Calibri" w:hAnsi="Times New Roman" w:cs="Times New Roman"/>
        </w:rPr>
        <w:t>compared to</w:t>
      </w:r>
      <w:r w:rsidR="00BC1D73" w:rsidRPr="00785EBA">
        <w:rPr>
          <w:rFonts w:ascii="Times New Roman" w:eastAsia="Calibri" w:hAnsi="Times New Roman" w:cs="Times New Roman"/>
        </w:rPr>
        <w:t xml:space="preserve"> the value produced from</w:t>
      </w:r>
      <w:r w:rsidR="00B9327B" w:rsidRPr="00785EBA">
        <w:rPr>
          <w:rFonts w:ascii="Times New Roman" w:eastAsia="Calibri" w:hAnsi="Times New Roman" w:cs="Times New Roman"/>
        </w:rPr>
        <w:t xml:space="preserve"> Tasmania</w:t>
      </w:r>
      <w:r w:rsidR="00BC1D73" w:rsidRPr="00785EBA">
        <w:rPr>
          <w:rFonts w:ascii="Times New Roman" w:eastAsia="Calibri" w:hAnsi="Times New Roman" w:cs="Times New Roman"/>
        </w:rPr>
        <w:t>n</w:t>
      </w:r>
      <w:r w:rsidR="00B9327B" w:rsidRPr="00785EBA">
        <w:rPr>
          <w:rFonts w:ascii="Times New Roman" w:eastAsia="Calibri" w:hAnsi="Times New Roman" w:cs="Times New Roman"/>
        </w:rPr>
        <w:t xml:space="preserve"> energy.</w:t>
      </w:r>
    </w:p>
    <w:p w:rsidR="00A02147" w:rsidRPr="00785EBA" w:rsidRDefault="00B9327B" w:rsidP="00A02147">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In terms of the global Fe-Mn model, the percentage difference in GWP</w:t>
      </w:r>
      <w:r w:rsidR="00297699" w:rsidRPr="00785EBA">
        <w:rPr>
          <w:rFonts w:ascii="Times New Roman" w:eastAsia="Calibri" w:hAnsi="Times New Roman" w:cs="Times New Roman"/>
        </w:rPr>
        <w:t xml:space="preserve"> values in comparison to Haque V</w:t>
      </w:r>
      <w:r w:rsidRPr="00785EBA">
        <w:rPr>
          <w:rFonts w:ascii="Times New Roman" w:eastAsia="Calibri" w:hAnsi="Times New Roman" w:cs="Times New Roman"/>
        </w:rPr>
        <w:t>ersion 2, which characterised the original data source, was 20.30%.</w:t>
      </w:r>
    </w:p>
    <w:p w:rsidR="00297699" w:rsidRPr="00785EBA" w:rsidRDefault="00B9327B" w:rsidP="00A02147">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The primary difference between</w:t>
      </w:r>
      <w:r w:rsidR="00297699" w:rsidRPr="00785EBA">
        <w:rPr>
          <w:rFonts w:ascii="Times New Roman" w:eastAsia="Calibri" w:hAnsi="Times New Roman" w:cs="Times New Roman"/>
        </w:rPr>
        <w:t xml:space="preserve"> models Haque Version 2 and global Fe-Mn were three processes namely: diesel mix at refinery, hard coal mix and electricity grid mix. In Haque V</w:t>
      </w:r>
      <w:r w:rsidRPr="00785EBA">
        <w:rPr>
          <w:rFonts w:ascii="Times New Roman" w:eastAsia="Calibri" w:hAnsi="Times New Roman" w:cs="Times New Roman"/>
        </w:rPr>
        <w:t>ersion 2, the three processes were selected</w:t>
      </w:r>
      <w:r w:rsidR="00297699" w:rsidRPr="00785EBA">
        <w:t xml:space="preserve"> </w:t>
      </w:r>
      <w:r w:rsidR="000209CE" w:rsidRPr="00785EBA">
        <w:rPr>
          <w:rFonts w:ascii="Times New Roman" w:eastAsia="Calibri" w:hAnsi="Times New Roman" w:cs="Times New Roman"/>
        </w:rPr>
        <w:t>f</w:t>
      </w:r>
      <w:r w:rsidR="0030069F" w:rsidRPr="00785EBA">
        <w:rPr>
          <w:rFonts w:ascii="Times New Roman" w:eastAsia="Calibri" w:hAnsi="Times New Roman" w:cs="Times New Roman"/>
        </w:rPr>
        <w:t xml:space="preserve">rom the country Australia, in order to replicate the original data source. Whereas in global Fe-Mn, diesel mix at refinery and hard coal processes were selected from China, since it was the dominant producer, and the aim of the </w:t>
      </w:r>
      <w:r w:rsidR="00297699" w:rsidRPr="00785EBA">
        <w:rPr>
          <w:rFonts w:ascii="Times New Roman" w:eastAsia="Calibri" w:hAnsi="Times New Roman" w:cs="Times New Roman"/>
        </w:rPr>
        <w:t xml:space="preserve">global model was to be </w:t>
      </w:r>
      <w:r w:rsidR="0030069F" w:rsidRPr="00785EBA">
        <w:rPr>
          <w:rFonts w:ascii="Times New Roman" w:eastAsia="Calibri" w:hAnsi="Times New Roman" w:cs="Times New Roman"/>
        </w:rPr>
        <w:t>reflective</w:t>
      </w:r>
      <w:r w:rsidR="00297699" w:rsidRPr="00785EBA">
        <w:rPr>
          <w:rFonts w:ascii="Times New Roman" w:eastAsia="Calibri" w:hAnsi="Times New Roman" w:cs="Times New Roman"/>
        </w:rPr>
        <w:t xml:space="preserve"> of the present global market</w:t>
      </w:r>
      <w:r w:rsidR="0030069F" w:rsidRPr="00785EBA">
        <w:rPr>
          <w:rFonts w:ascii="Times New Roman" w:eastAsia="Calibri" w:hAnsi="Times New Roman" w:cs="Times New Roman"/>
        </w:rPr>
        <w:t>. The electricity grid mix was created based on global Fe-Mn production.</w:t>
      </w:r>
    </w:p>
    <w:p w:rsidR="004F5195" w:rsidRPr="00785EBA" w:rsidRDefault="004F5195" w:rsidP="004F5195">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lastRenderedPageBreak/>
        <w:t>In terms of explaining the percentage difference of GWP (20.30%), has previously mentioned, the three different processes between the models were analysed. B</w:t>
      </w:r>
      <w:r w:rsidR="0030069F" w:rsidRPr="00785EBA">
        <w:rPr>
          <w:rFonts w:ascii="Times New Roman" w:eastAsia="Calibri" w:hAnsi="Times New Roman" w:cs="Times New Roman"/>
        </w:rPr>
        <w:t xml:space="preserve">ased on 1kg of product the percentage difference between </w:t>
      </w:r>
      <w:r w:rsidRPr="00785EBA">
        <w:rPr>
          <w:rFonts w:ascii="Times New Roman" w:eastAsia="Calibri" w:hAnsi="Times New Roman" w:cs="Times New Roman"/>
        </w:rPr>
        <w:t xml:space="preserve">firstly </w:t>
      </w:r>
      <w:r w:rsidR="0030069F" w:rsidRPr="00785EBA">
        <w:rPr>
          <w:rFonts w:ascii="Times New Roman" w:eastAsia="Calibri" w:hAnsi="Times New Roman" w:cs="Times New Roman"/>
        </w:rPr>
        <w:t>diesel mix at refinery (4.14 kg-CO</w:t>
      </w:r>
      <w:r w:rsidR="0030069F" w:rsidRPr="00785EBA">
        <w:rPr>
          <w:rFonts w:ascii="Times New Roman" w:eastAsia="Calibri" w:hAnsi="Times New Roman" w:cs="Times New Roman"/>
          <w:vertAlign w:val="subscript"/>
        </w:rPr>
        <w:t>2</w:t>
      </w:r>
      <w:r w:rsidR="0030069F" w:rsidRPr="00785EBA">
        <w:rPr>
          <w:rFonts w:ascii="Times New Roman" w:eastAsia="Calibri" w:hAnsi="Times New Roman" w:cs="Times New Roman"/>
        </w:rPr>
        <w:t>-Equiv) for Australia and (0.442 kg-CO</w:t>
      </w:r>
      <w:r w:rsidR="0030069F" w:rsidRPr="00785EBA">
        <w:rPr>
          <w:rFonts w:ascii="Times New Roman" w:eastAsia="Calibri" w:hAnsi="Times New Roman" w:cs="Times New Roman"/>
          <w:vertAlign w:val="subscript"/>
        </w:rPr>
        <w:t>2</w:t>
      </w:r>
      <w:r w:rsidR="0030069F" w:rsidRPr="00785EBA">
        <w:rPr>
          <w:rFonts w:ascii="Times New Roman" w:eastAsia="Calibri" w:hAnsi="Times New Roman" w:cs="Times New Roman"/>
        </w:rPr>
        <w:t xml:space="preserve">-Equiv) for China was 6.54%. </w:t>
      </w:r>
      <w:r w:rsidRPr="00785EBA">
        <w:rPr>
          <w:rFonts w:ascii="Times New Roman" w:eastAsia="Calibri" w:hAnsi="Times New Roman" w:cs="Times New Roman"/>
        </w:rPr>
        <w:t>Secondly</w:t>
      </w:r>
      <w:r w:rsidR="0030069F" w:rsidRPr="00785EBA">
        <w:rPr>
          <w:rFonts w:ascii="Times New Roman" w:eastAsia="Calibri" w:hAnsi="Times New Roman" w:cs="Times New Roman"/>
        </w:rPr>
        <w:t>, the percentage difference between hard coal mix (0.171 kg-CO</w:t>
      </w:r>
      <w:r w:rsidR="0030069F" w:rsidRPr="00785EBA">
        <w:rPr>
          <w:rFonts w:ascii="Times New Roman" w:eastAsia="Calibri" w:hAnsi="Times New Roman" w:cs="Times New Roman"/>
          <w:vertAlign w:val="subscript"/>
        </w:rPr>
        <w:t>2</w:t>
      </w:r>
      <w:r w:rsidR="0030069F" w:rsidRPr="00785EBA">
        <w:rPr>
          <w:rFonts w:ascii="Times New Roman" w:eastAsia="Calibri" w:hAnsi="Times New Roman" w:cs="Times New Roman"/>
        </w:rPr>
        <w:t>-Equiv) for Australia and (0.285 kg-CO</w:t>
      </w:r>
      <w:r w:rsidR="0030069F" w:rsidRPr="00785EBA">
        <w:rPr>
          <w:rFonts w:ascii="Times New Roman" w:eastAsia="Calibri" w:hAnsi="Times New Roman" w:cs="Times New Roman"/>
          <w:vertAlign w:val="subscript"/>
        </w:rPr>
        <w:t>2</w:t>
      </w:r>
      <w:r w:rsidRPr="00785EBA">
        <w:rPr>
          <w:rFonts w:ascii="Times New Roman" w:eastAsia="Calibri" w:hAnsi="Times New Roman" w:cs="Times New Roman"/>
        </w:rPr>
        <w:t>-Equiv) for China, was 50.00%</w:t>
      </w:r>
      <w:r w:rsidR="0030069F" w:rsidRPr="00785EBA">
        <w:rPr>
          <w:rFonts w:ascii="Times New Roman" w:eastAsia="Calibri" w:hAnsi="Times New Roman" w:cs="Times New Roman"/>
        </w:rPr>
        <w:t xml:space="preserve">. </w:t>
      </w:r>
      <w:r w:rsidRPr="00785EBA">
        <w:rPr>
          <w:rFonts w:ascii="Times New Roman" w:eastAsia="Calibri" w:hAnsi="Times New Roman" w:cs="Times New Roman"/>
        </w:rPr>
        <w:t xml:space="preserve"> Thirdly, i</w:t>
      </w:r>
      <w:r w:rsidR="0030069F" w:rsidRPr="00785EBA">
        <w:rPr>
          <w:rFonts w:ascii="Times New Roman" w:eastAsia="Calibri" w:hAnsi="Times New Roman" w:cs="Times New Roman"/>
        </w:rPr>
        <w:t>n terms of electricity, corresponding to 1MJ, the value from Australia was 0.279 kg/ CO</w:t>
      </w:r>
      <w:r w:rsidR="0030069F" w:rsidRPr="00785EBA">
        <w:rPr>
          <w:rFonts w:ascii="Times New Roman" w:eastAsia="Calibri" w:hAnsi="Times New Roman" w:cs="Times New Roman"/>
          <w:vertAlign w:val="subscript"/>
        </w:rPr>
        <w:t>2</w:t>
      </w:r>
      <w:r w:rsidR="0030069F" w:rsidRPr="00785EBA">
        <w:rPr>
          <w:rFonts w:ascii="Times New Roman" w:eastAsia="Calibri" w:hAnsi="Times New Roman" w:cs="Times New Roman"/>
        </w:rPr>
        <w:t xml:space="preserve"> and 0.238 kg/ CO</w:t>
      </w:r>
      <w:r w:rsidR="0030069F" w:rsidRPr="00785EBA">
        <w:rPr>
          <w:rFonts w:ascii="Times New Roman" w:eastAsia="Calibri" w:hAnsi="Times New Roman" w:cs="Times New Roman"/>
          <w:vertAlign w:val="subscript"/>
        </w:rPr>
        <w:t>2</w:t>
      </w:r>
      <w:r w:rsidR="0030069F" w:rsidRPr="00785EBA">
        <w:rPr>
          <w:rFonts w:ascii="Times New Roman" w:eastAsia="Calibri" w:hAnsi="Times New Roman" w:cs="Times New Roman"/>
        </w:rPr>
        <w:t xml:space="preserve"> for </w:t>
      </w:r>
      <w:r w:rsidRPr="00785EBA">
        <w:rPr>
          <w:rFonts w:ascii="Times New Roman" w:eastAsia="Calibri" w:hAnsi="Times New Roman" w:cs="Times New Roman"/>
        </w:rPr>
        <w:t>the average electricity model. Thus presenting a percentage difference of</w:t>
      </w:r>
      <w:r w:rsidR="0030069F" w:rsidRPr="00785EBA">
        <w:rPr>
          <w:rFonts w:ascii="Times New Roman" w:eastAsia="Calibri" w:hAnsi="Times New Roman" w:cs="Times New Roman"/>
        </w:rPr>
        <w:t xml:space="preserve"> 15.86%.</w:t>
      </w:r>
      <w:r w:rsidRPr="00785EBA">
        <w:rPr>
          <w:rFonts w:ascii="Times New Roman" w:eastAsia="Calibri" w:hAnsi="Times New Roman" w:cs="Times New Roman"/>
        </w:rPr>
        <w:t xml:space="preserve"> </w:t>
      </w:r>
    </w:p>
    <w:p w:rsidR="00947CA1" w:rsidRPr="00785EBA" w:rsidRDefault="0030069F" w:rsidP="00947CA1">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Analysis of the differences</w:t>
      </w:r>
      <w:r w:rsidR="00D254B7" w:rsidRPr="00785EBA">
        <w:rPr>
          <w:rFonts w:ascii="Times New Roman" w:eastAsia="Calibri" w:hAnsi="Times New Roman" w:cs="Times New Roman"/>
        </w:rPr>
        <w:t xml:space="preserve"> in the three processes, revealed</w:t>
      </w:r>
      <w:r w:rsidRPr="00785EBA">
        <w:rPr>
          <w:rFonts w:ascii="Times New Roman" w:eastAsia="Calibri" w:hAnsi="Times New Roman" w:cs="Times New Roman"/>
        </w:rPr>
        <w:t xml:space="preserve"> diesel mix at refinery and hard coal mix to be greater in the global model, and elec</w:t>
      </w:r>
      <w:r w:rsidR="00D254B7" w:rsidRPr="00785EBA">
        <w:rPr>
          <w:rFonts w:ascii="Times New Roman" w:eastAsia="Calibri" w:hAnsi="Times New Roman" w:cs="Times New Roman"/>
        </w:rPr>
        <w:t>tricity to be greater in Haque V</w:t>
      </w:r>
      <w:r w:rsidRPr="00785EBA">
        <w:rPr>
          <w:rFonts w:ascii="Times New Roman" w:eastAsia="Calibri" w:hAnsi="Times New Roman" w:cs="Times New Roman"/>
        </w:rPr>
        <w:t>ersion 2. Thus it would be expected the global model to have a higher GWP, particularly based on the large difference in hard coal between the models (50.00%). However breakdown of GWP contribution by process</w:t>
      </w:r>
      <w:r w:rsidR="00D254B7" w:rsidRPr="00785EBA">
        <w:rPr>
          <w:rFonts w:ascii="Times New Roman" w:eastAsia="Calibri" w:hAnsi="Times New Roman" w:cs="Times New Roman"/>
        </w:rPr>
        <w:t>,</w:t>
      </w:r>
      <w:r w:rsidRPr="00785EBA">
        <w:rPr>
          <w:rFonts w:ascii="Times New Roman" w:eastAsia="Calibri" w:hAnsi="Times New Roman" w:cs="Times New Roman"/>
        </w:rPr>
        <w:t xml:space="preserve"> fo</w:t>
      </w:r>
      <w:r w:rsidR="00D254B7" w:rsidRPr="00785EBA">
        <w:rPr>
          <w:rFonts w:ascii="Times New Roman" w:eastAsia="Calibri" w:hAnsi="Times New Roman" w:cs="Times New Roman"/>
        </w:rPr>
        <w:t>r either model, revealed</w:t>
      </w:r>
      <w:r w:rsidRPr="00785EBA">
        <w:rPr>
          <w:rFonts w:ascii="Times New Roman" w:eastAsia="Calibri" w:hAnsi="Times New Roman" w:cs="Times New Roman"/>
        </w:rPr>
        <w:t xml:space="preserve"> electricity grid mix contributed 63.56%, followed by hard coal mix 0.46% and diesel mix at refinery with 0.005%. Therefore, electricity would have contributed a significant amount of the</w:t>
      </w:r>
      <w:r w:rsidR="00D254B7" w:rsidRPr="00785EBA">
        <w:rPr>
          <w:rFonts w:ascii="Times New Roman" w:eastAsia="Calibri" w:hAnsi="Times New Roman" w:cs="Times New Roman"/>
        </w:rPr>
        <w:t xml:space="preserve"> GWP and can explain why Haque V</w:t>
      </w:r>
      <w:r w:rsidRPr="00785EBA">
        <w:rPr>
          <w:rFonts w:ascii="Times New Roman" w:eastAsia="Calibri" w:hAnsi="Times New Roman" w:cs="Times New Roman"/>
        </w:rPr>
        <w:t>ersion 2 is and should be higher.</w:t>
      </w:r>
      <w:r w:rsidR="00947CA1" w:rsidRPr="00785EBA">
        <w:rPr>
          <w:rFonts w:ascii="Times New Roman" w:eastAsia="Calibri" w:hAnsi="Times New Roman" w:cs="Times New Roman"/>
        </w:rPr>
        <w:t xml:space="preserve"> </w:t>
      </w:r>
      <w:r w:rsidRPr="00785EBA">
        <w:rPr>
          <w:rFonts w:ascii="Times New Roman" w:eastAsia="Calibri" w:hAnsi="Times New Roman" w:cs="Times New Roman"/>
        </w:rPr>
        <w:t xml:space="preserve">However the modelling method for Fe-Mn as well as Si-Mn could have also attributed to the difference between the two models. </w:t>
      </w:r>
    </w:p>
    <w:p w:rsidR="00947CA1" w:rsidRPr="00785EBA" w:rsidRDefault="0030069F" w:rsidP="00947CA1">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Unlike Fe-Cr, Fe-Ni and Fe-Si where the processes were modelled linearly, i.e. one main process with several inputs attached to it, the manganese processes were divided into three main stages (mining, sintering and production). This resulted in a process flow diagram, from which GWP was calculated. Alternatively Fe-Cr, Fe-Ni and Fe-Si could have also been modelled in this manner. However in these cases it would have resulted in several main processes with a single output between them, thus being the same as one main process with all the inputs. </w:t>
      </w:r>
    </w:p>
    <w:p w:rsidR="00947CA1" w:rsidRPr="00785EBA" w:rsidRDefault="0030069F" w:rsidP="00947CA1">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In the case of Fe-Mn and Si-Mn, some of the outputs were split and went into both sintering and production, thus it was modelled</w:t>
      </w:r>
      <w:r w:rsidR="00947CA1" w:rsidRPr="00785EBA">
        <w:rPr>
          <w:rFonts w:ascii="Times New Roman" w:eastAsia="Calibri" w:hAnsi="Times New Roman" w:cs="Times New Roman"/>
        </w:rPr>
        <w:t xml:space="preserve"> as a multi stage process. It was</w:t>
      </w:r>
      <w:r w:rsidRPr="00785EBA">
        <w:rPr>
          <w:rFonts w:ascii="Times New Roman" w:eastAsia="Calibri" w:hAnsi="Times New Roman" w:cs="Times New Roman"/>
        </w:rPr>
        <w:t xml:space="preserve"> not known how Haque modelled Fe-Mn, in order to produce the GWP value of 3.59 kg-CO</w:t>
      </w:r>
      <w:r w:rsidRPr="00785EBA">
        <w:rPr>
          <w:rFonts w:ascii="Times New Roman" w:eastAsia="Calibri" w:hAnsi="Times New Roman" w:cs="Times New Roman"/>
          <w:vertAlign w:val="subscript"/>
        </w:rPr>
        <w:t>2</w:t>
      </w:r>
      <w:r w:rsidR="00947CA1" w:rsidRPr="00785EBA">
        <w:rPr>
          <w:rFonts w:ascii="Times New Roman" w:eastAsia="Calibri" w:hAnsi="Times New Roman" w:cs="Times New Roman"/>
        </w:rPr>
        <w:t>-Equiv, so therefore it was</w:t>
      </w:r>
      <w:r w:rsidRPr="00785EBA">
        <w:rPr>
          <w:rFonts w:ascii="Times New Roman" w:eastAsia="Calibri" w:hAnsi="Times New Roman" w:cs="Times New Roman"/>
        </w:rPr>
        <w:t xml:space="preserve"> difficult to compare the original result against the global Fe-Mn model. A f</w:t>
      </w:r>
      <w:r w:rsidR="00947CA1" w:rsidRPr="00785EBA">
        <w:rPr>
          <w:rFonts w:ascii="Times New Roman" w:eastAsia="Calibri" w:hAnsi="Times New Roman" w:cs="Times New Roman"/>
        </w:rPr>
        <w:t>airer comparison between Haque V</w:t>
      </w:r>
      <w:r w:rsidRPr="00785EBA">
        <w:rPr>
          <w:rFonts w:ascii="Times New Roman" w:eastAsia="Calibri" w:hAnsi="Times New Roman" w:cs="Times New Roman"/>
        </w:rPr>
        <w:t xml:space="preserve">ersion </w:t>
      </w:r>
      <w:r w:rsidR="00947CA1" w:rsidRPr="00785EBA">
        <w:rPr>
          <w:rFonts w:ascii="Times New Roman" w:eastAsia="Calibri" w:hAnsi="Times New Roman" w:cs="Times New Roman"/>
        </w:rPr>
        <w:t>2 and global Fe-Mn, demonstrated</w:t>
      </w:r>
      <w:r w:rsidRPr="00785EBA">
        <w:rPr>
          <w:rFonts w:ascii="Times New Roman" w:eastAsia="Calibri" w:hAnsi="Times New Roman" w:cs="Times New Roman"/>
        </w:rPr>
        <w:t xml:space="preserve"> electricity grid mix as the primary source of difference between the two models in terms of GWP</w:t>
      </w:r>
      <w:r w:rsidR="00947CA1" w:rsidRPr="00785EBA">
        <w:rPr>
          <w:rFonts w:ascii="Times New Roman" w:eastAsia="Calibri" w:hAnsi="Times New Roman" w:cs="Times New Roman"/>
        </w:rPr>
        <w:t xml:space="preserve">. Apart from the global Fe-Mn model, alternative Fe-Mn models were also constructed using literature sources </w:t>
      </w:r>
      <w:r w:rsidR="00947CA1" w:rsidRPr="00785EBA">
        <w:rPr>
          <w:rFonts w:ascii="Times New Roman" w:eastAsia="Calibri" w:hAnsi="Times New Roman" w:cs="Times New Roman"/>
          <w:noProof/>
        </w:rPr>
        <w:t>(Eurometaux 2014; Gasik.M 2013)</w:t>
      </w:r>
      <w:r w:rsidR="00947CA1" w:rsidRPr="00785EBA">
        <w:rPr>
          <w:rFonts w:ascii="Times New Roman" w:eastAsia="Calibri" w:hAnsi="Times New Roman" w:cs="Times New Roman"/>
        </w:rPr>
        <w:t xml:space="preserve"> as illustrated by </w:t>
      </w:r>
      <w:r w:rsidR="00A6415F" w:rsidRPr="00785EBA">
        <w:fldChar w:fldCharType="begin"/>
      </w:r>
      <w:r w:rsidR="00A6415F" w:rsidRPr="00785EBA">
        <w:instrText xml:space="preserve"> REF _Ref474358249 \h  \* MERGEFORMAT </w:instrText>
      </w:r>
      <w:r w:rsidR="00A6415F" w:rsidRPr="00785EBA">
        <w:fldChar w:fldCharType="separate"/>
      </w:r>
      <w:r w:rsidR="009F5483" w:rsidRPr="009F5483">
        <w:rPr>
          <w:rFonts w:ascii="Times New Roman" w:hAnsi="Times New Roman" w:cs="Times New Roman"/>
        </w:rPr>
        <w:t>Figure 34</w:t>
      </w:r>
      <w:r w:rsidR="00A6415F" w:rsidRPr="00785EBA">
        <w:fldChar w:fldCharType="end"/>
      </w:r>
      <w:r w:rsidR="00947CA1" w:rsidRPr="00785EBA">
        <w:rPr>
          <w:rFonts w:ascii="Times New Roman" w:hAnsi="Times New Roman" w:cs="Times New Roman"/>
        </w:rPr>
        <w:t>.</w:t>
      </w:r>
    </w:p>
    <w:p w:rsidR="000209CE" w:rsidRPr="00EB640D" w:rsidRDefault="00C24042" w:rsidP="00947CA1">
      <w:pPr>
        <w:pStyle w:val="Caption"/>
        <w:rPr>
          <w:rFonts w:ascii="Times New Roman" w:hAnsi="Times New Roman" w:cs="Times New Roman"/>
          <w:i w:val="0"/>
          <w:color w:val="auto"/>
          <w:sz w:val="22"/>
        </w:rPr>
      </w:pPr>
      <w:bookmarkStart w:id="159" w:name="_Ref474358249"/>
      <w:bookmarkStart w:id="160" w:name="_Toc495848367"/>
      <w:r w:rsidRPr="00EB640D">
        <w:rPr>
          <w:rFonts w:ascii="Times New Roman" w:hAnsi="Times New Roman" w:cs="Times New Roman"/>
          <w:i w:val="0"/>
          <w:noProof/>
          <w:color w:val="auto"/>
          <w:sz w:val="22"/>
        </w:rPr>
        <w:lastRenderedPageBreak/>
        <w:drawing>
          <wp:anchor distT="0" distB="0" distL="114300" distR="114300" simplePos="0" relativeHeight="251661312" behindDoc="0" locked="0" layoutInCell="1" allowOverlap="1">
            <wp:simplePos x="0" y="0"/>
            <wp:positionH relativeFrom="column">
              <wp:posOffset>0</wp:posOffset>
            </wp:positionH>
            <wp:positionV relativeFrom="paragraph">
              <wp:posOffset>3810</wp:posOffset>
            </wp:positionV>
            <wp:extent cx="5731510" cy="3448050"/>
            <wp:effectExtent l="0" t="0" r="2540" b="0"/>
            <wp:wrapThrough wrapText="bothSides">
              <wp:wrapPolygon edited="0">
                <wp:start x="0" y="0"/>
                <wp:lineTo x="0" y="21481"/>
                <wp:lineTo x="21538" y="21481"/>
                <wp:lineTo x="21538" y="0"/>
                <wp:lineTo x="0" y="0"/>
              </wp:wrapPolygon>
            </wp:wrapThrough>
            <wp:docPr id="2" name="Picture 2" descr="H:\Faz PC Transfer\page 103 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Faz PC Transfer\page 103 capture.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31510" cy="3448050"/>
                    </a:xfrm>
                    <a:prstGeom prst="rect">
                      <a:avLst/>
                    </a:prstGeom>
                    <a:noFill/>
                    <a:ln>
                      <a:noFill/>
                    </a:ln>
                  </pic:spPr>
                </pic:pic>
              </a:graphicData>
            </a:graphic>
          </wp:anchor>
        </w:drawing>
      </w:r>
      <w:r w:rsidR="002714D6" w:rsidRPr="00EB640D">
        <w:rPr>
          <w:rFonts w:ascii="Times New Roman" w:hAnsi="Times New Roman" w:cs="Times New Roman"/>
          <w:i w:val="0"/>
          <w:color w:val="auto"/>
          <w:sz w:val="22"/>
        </w:rPr>
        <w:t xml:space="preserve">Figure </w:t>
      </w:r>
      <w:r w:rsidR="009A0ED7" w:rsidRPr="00EB640D">
        <w:rPr>
          <w:rFonts w:ascii="Times New Roman" w:hAnsi="Times New Roman" w:cs="Times New Roman"/>
          <w:i w:val="0"/>
          <w:color w:val="auto"/>
          <w:sz w:val="22"/>
        </w:rPr>
        <w:fldChar w:fldCharType="begin"/>
      </w:r>
      <w:r w:rsidR="002714D6" w:rsidRPr="00EB640D">
        <w:rPr>
          <w:rFonts w:ascii="Times New Roman" w:hAnsi="Times New Roman" w:cs="Times New Roman"/>
          <w:i w:val="0"/>
          <w:color w:val="auto"/>
          <w:sz w:val="22"/>
        </w:rPr>
        <w:instrText xml:space="preserve"> SEQ Figure \* ARABIC </w:instrText>
      </w:r>
      <w:r w:rsidR="009A0ED7" w:rsidRPr="00EB640D">
        <w:rPr>
          <w:rFonts w:ascii="Times New Roman" w:hAnsi="Times New Roman" w:cs="Times New Roman"/>
          <w:i w:val="0"/>
          <w:color w:val="auto"/>
          <w:sz w:val="22"/>
        </w:rPr>
        <w:fldChar w:fldCharType="separate"/>
      </w:r>
      <w:r w:rsidR="009F5483">
        <w:rPr>
          <w:rFonts w:ascii="Times New Roman" w:hAnsi="Times New Roman" w:cs="Times New Roman"/>
          <w:i w:val="0"/>
          <w:noProof/>
          <w:color w:val="auto"/>
          <w:sz w:val="22"/>
        </w:rPr>
        <w:t>34</w:t>
      </w:r>
      <w:r w:rsidR="009A0ED7" w:rsidRPr="00EB640D">
        <w:rPr>
          <w:rFonts w:ascii="Times New Roman" w:hAnsi="Times New Roman" w:cs="Times New Roman"/>
          <w:i w:val="0"/>
          <w:color w:val="auto"/>
          <w:sz w:val="22"/>
        </w:rPr>
        <w:fldChar w:fldCharType="end"/>
      </w:r>
      <w:bookmarkEnd w:id="159"/>
      <w:r w:rsidR="002714D6" w:rsidRPr="00EB640D">
        <w:rPr>
          <w:rFonts w:ascii="Times New Roman" w:hAnsi="Times New Roman" w:cs="Times New Roman"/>
          <w:i w:val="0"/>
          <w:color w:val="auto"/>
          <w:sz w:val="22"/>
        </w:rPr>
        <w:t>.</w:t>
      </w:r>
      <w:r w:rsidRPr="00EB640D">
        <w:rPr>
          <w:rFonts w:ascii="Times New Roman" w:hAnsi="Times New Roman" w:cs="Times New Roman"/>
          <w:i w:val="0"/>
          <w:color w:val="auto"/>
          <w:sz w:val="28"/>
        </w:rPr>
        <w:t xml:space="preserve"> </w:t>
      </w:r>
      <w:r w:rsidRPr="00EB640D">
        <w:rPr>
          <w:rFonts w:ascii="Times New Roman" w:hAnsi="Times New Roman" w:cs="Times New Roman"/>
          <w:i w:val="0"/>
          <w:color w:val="auto"/>
          <w:sz w:val="22"/>
        </w:rPr>
        <w:t>Comparison of Eurometaux and Gasik literature sources f</w:t>
      </w:r>
      <w:r w:rsidR="002714D6" w:rsidRPr="00EB640D">
        <w:rPr>
          <w:rFonts w:ascii="Times New Roman" w:hAnsi="Times New Roman" w:cs="Times New Roman"/>
          <w:i w:val="0"/>
          <w:color w:val="auto"/>
          <w:sz w:val="22"/>
        </w:rPr>
        <w:t>or Fe-</w:t>
      </w:r>
      <w:r w:rsidRPr="00EB640D">
        <w:rPr>
          <w:rFonts w:ascii="Times New Roman" w:hAnsi="Times New Roman" w:cs="Times New Roman"/>
          <w:i w:val="0"/>
          <w:color w:val="auto"/>
          <w:sz w:val="22"/>
        </w:rPr>
        <w:t>Mn production via GWP.</w:t>
      </w:r>
      <w:bookmarkEnd w:id="160"/>
      <w:r w:rsidRPr="00EB640D">
        <w:rPr>
          <w:rFonts w:ascii="Times New Roman" w:hAnsi="Times New Roman" w:cs="Times New Roman"/>
        </w:rPr>
        <w:t xml:space="preserve">       </w:t>
      </w:r>
    </w:p>
    <w:p w:rsidR="0099414E" w:rsidRPr="00785EBA" w:rsidRDefault="00C24042" w:rsidP="000209CE">
      <w:pPr>
        <w:spacing w:after="0" w:line="360" w:lineRule="auto"/>
        <w:ind w:firstLine="720"/>
        <w:jc w:val="both"/>
        <w:rPr>
          <w:rFonts w:ascii="Times New Roman" w:hAnsi="Times New Roman" w:cs="Times New Roman"/>
        </w:rPr>
      </w:pPr>
      <w:r w:rsidRPr="00785EBA">
        <w:rPr>
          <w:rFonts w:ascii="Times New Roman" w:hAnsi="Times New Roman" w:cs="Times New Roman"/>
        </w:rPr>
        <w:t>I</w:t>
      </w:r>
      <w:r w:rsidR="00947CA1" w:rsidRPr="00785EBA">
        <w:rPr>
          <w:rFonts w:ascii="Times New Roman" w:hAnsi="Times New Roman" w:cs="Times New Roman"/>
        </w:rPr>
        <w:t>n comparison against</w:t>
      </w:r>
      <w:r w:rsidRPr="00785EBA">
        <w:rPr>
          <w:rFonts w:ascii="Times New Roman" w:hAnsi="Times New Roman" w:cs="Times New Roman"/>
        </w:rPr>
        <w:t xml:space="preserve"> the original process, the percentage d</w:t>
      </w:r>
      <w:r w:rsidR="0099414E" w:rsidRPr="00785EBA">
        <w:rPr>
          <w:rFonts w:ascii="Times New Roman" w:hAnsi="Times New Roman" w:cs="Times New Roman"/>
        </w:rPr>
        <w:t xml:space="preserve">ifference in GWP from HC Fe-Mn </w:t>
      </w:r>
      <w:r w:rsidRPr="00785EBA">
        <w:rPr>
          <w:rFonts w:ascii="Times New Roman" w:hAnsi="Times New Roman" w:cs="Times New Roman"/>
        </w:rPr>
        <w:t>(Eurometaux) was 8.79%, whilst for LC Fe-Mn (Eurometa</w:t>
      </w:r>
      <w:r w:rsidR="00EA1A17" w:rsidRPr="00785EBA">
        <w:rPr>
          <w:rFonts w:ascii="Times New Roman" w:hAnsi="Times New Roman" w:cs="Times New Roman"/>
        </w:rPr>
        <w:t>ux, Si-Mn Haque) it was 62.09%.</w:t>
      </w:r>
      <w:r w:rsidR="0099414E" w:rsidRPr="00785EBA">
        <w:rPr>
          <w:rFonts w:ascii="Times New Roman" w:hAnsi="Times New Roman" w:cs="Times New Roman"/>
        </w:rPr>
        <w:t xml:space="preserve"> </w:t>
      </w:r>
    </w:p>
    <w:p w:rsidR="00B5341B" w:rsidRPr="00785EBA" w:rsidRDefault="00C24042" w:rsidP="00B5341B">
      <w:pPr>
        <w:spacing w:after="0" w:line="360" w:lineRule="auto"/>
        <w:ind w:firstLine="720"/>
        <w:jc w:val="both"/>
        <w:rPr>
          <w:rFonts w:ascii="Times New Roman" w:hAnsi="Times New Roman" w:cs="Times New Roman"/>
        </w:rPr>
      </w:pPr>
      <w:r w:rsidRPr="00785EBA">
        <w:rPr>
          <w:rFonts w:ascii="Times New Roman" w:hAnsi="Times New Roman" w:cs="Times New Roman"/>
        </w:rPr>
        <w:t>D</w:t>
      </w:r>
      <w:r w:rsidR="00947CA1" w:rsidRPr="00785EBA">
        <w:rPr>
          <w:rFonts w:ascii="Times New Roman" w:hAnsi="Times New Roman" w:cs="Times New Roman"/>
        </w:rPr>
        <w:t xml:space="preserve">ata from literature source </w:t>
      </w:r>
      <w:r w:rsidR="00947CA1" w:rsidRPr="00785EBA">
        <w:rPr>
          <w:rFonts w:ascii="Times New Roman" w:hAnsi="Times New Roman" w:cs="Times New Roman"/>
          <w:noProof/>
        </w:rPr>
        <w:t>(Gasik.M 2013)</w:t>
      </w:r>
      <w:r w:rsidR="00B5341B" w:rsidRPr="00785EBA">
        <w:rPr>
          <w:rFonts w:ascii="Times New Roman" w:hAnsi="Times New Roman" w:cs="Times New Roman"/>
        </w:rPr>
        <w:t xml:space="preserve"> was used to assess</w:t>
      </w:r>
      <w:r w:rsidRPr="00785EBA">
        <w:rPr>
          <w:rFonts w:ascii="Times New Roman" w:hAnsi="Times New Roman" w:cs="Times New Roman"/>
        </w:rPr>
        <w:t xml:space="preserve"> two di</w:t>
      </w:r>
      <w:r w:rsidR="00EA1A17" w:rsidRPr="00785EBA">
        <w:rPr>
          <w:rFonts w:ascii="Times New Roman" w:hAnsi="Times New Roman" w:cs="Times New Roman"/>
        </w:rPr>
        <w:t xml:space="preserve">fferent processes (Discard and </w:t>
      </w:r>
      <w:r w:rsidRPr="00785EBA">
        <w:rPr>
          <w:rFonts w:ascii="Times New Roman" w:hAnsi="Times New Roman" w:cs="Times New Roman"/>
        </w:rPr>
        <w:t>Duplex)</w:t>
      </w:r>
      <w:r w:rsidR="0099414E" w:rsidRPr="00785EBA">
        <w:rPr>
          <w:rFonts w:ascii="Times New Roman" w:hAnsi="Times New Roman" w:cs="Times New Roman"/>
        </w:rPr>
        <w:t xml:space="preserve"> </w:t>
      </w:r>
      <w:r w:rsidRPr="00785EBA">
        <w:rPr>
          <w:rFonts w:ascii="Times New Roman" w:hAnsi="Times New Roman" w:cs="Times New Roman"/>
        </w:rPr>
        <w:t xml:space="preserve">for the production of HC Fe-Mn. </w:t>
      </w:r>
      <w:r w:rsidR="00B5341B" w:rsidRPr="00785EBA">
        <w:rPr>
          <w:rFonts w:ascii="Times New Roman" w:hAnsi="Times New Roman" w:cs="Times New Roman"/>
        </w:rPr>
        <w:t>T</w:t>
      </w:r>
      <w:r w:rsidRPr="00785EBA">
        <w:rPr>
          <w:rFonts w:ascii="Times New Roman" w:hAnsi="Times New Roman" w:cs="Times New Roman"/>
        </w:rPr>
        <w:t>he GWP result for the Dup</w:t>
      </w:r>
      <w:r w:rsidR="0072231C" w:rsidRPr="00785EBA">
        <w:rPr>
          <w:rFonts w:ascii="Times New Roman" w:hAnsi="Times New Roman" w:cs="Times New Roman"/>
        </w:rPr>
        <w:t>lex method was</w:t>
      </w:r>
      <w:r w:rsidR="00B5341B" w:rsidRPr="00785EBA">
        <w:rPr>
          <w:rFonts w:ascii="Times New Roman" w:hAnsi="Times New Roman" w:cs="Times New Roman"/>
        </w:rPr>
        <w:t xml:space="preserve"> 3.02% higher in comparison with</w:t>
      </w:r>
      <w:r w:rsidR="0072231C" w:rsidRPr="00785EBA">
        <w:rPr>
          <w:rFonts w:ascii="Times New Roman" w:hAnsi="Times New Roman" w:cs="Times New Roman"/>
        </w:rPr>
        <w:t xml:space="preserve"> the </w:t>
      </w:r>
      <w:r w:rsidR="0099414E" w:rsidRPr="00785EBA">
        <w:rPr>
          <w:rFonts w:ascii="Times New Roman" w:hAnsi="Times New Roman" w:cs="Times New Roman"/>
        </w:rPr>
        <w:t>original result</w:t>
      </w:r>
      <w:r w:rsidR="00B5341B" w:rsidRPr="00785EBA">
        <w:rPr>
          <w:rFonts w:ascii="Times New Roman" w:hAnsi="Times New Roman" w:cs="Times New Roman"/>
        </w:rPr>
        <w:t>. On the other hand, the Discard method produced a GWP value of (43.71%) which was significantly higher in comparison against the original value.</w:t>
      </w:r>
    </w:p>
    <w:p w:rsidR="00B5341B" w:rsidRPr="00785EBA" w:rsidRDefault="00C24042" w:rsidP="00B5341B">
      <w:pPr>
        <w:spacing w:after="0" w:line="360" w:lineRule="auto"/>
        <w:ind w:firstLine="720"/>
        <w:jc w:val="both"/>
        <w:rPr>
          <w:rFonts w:ascii="Times New Roman" w:hAnsi="Times New Roman" w:cs="Times New Roman"/>
        </w:rPr>
      </w:pPr>
      <w:r w:rsidRPr="00785EBA">
        <w:rPr>
          <w:rFonts w:ascii="Times New Roman" w:hAnsi="Times New Roman" w:cs="Times New Roman"/>
        </w:rPr>
        <w:t>Analysis of all HC Fe-</w:t>
      </w:r>
      <w:r w:rsidR="00B5341B" w:rsidRPr="00785EBA">
        <w:rPr>
          <w:rFonts w:ascii="Times New Roman" w:hAnsi="Times New Roman" w:cs="Times New Roman"/>
        </w:rPr>
        <w:t xml:space="preserve">Mn models </w:t>
      </w:r>
      <w:r w:rsidR="004830C4" w:rsidRPr="00785EBA">
        <w:rPr>
          <w:rFonts w:ascii="Times New Roman" w:hAnsi="Times New Roman" w:cs="Times New Roman"/>
        </w:rPr>
        <w:t>revealed the Discard method to have</w:t>
      </w:r>
      <w:r w:rsidR="0072231C" w:rsidRPr="00785EBA">
        <w:rPr>
          <w:rFonts w:ascii="Times New Roman" w:hAnsi="Times New Roman" w:cs="Times New Roman"/>
        </w:rPr>
        <w:t xml:space="preserve"> </w:t>
      </w:r>
      <w:r w:rsidR="00B5341B" w:rsidRPr="00785EBA">
        <w:rPr>
          <w:rFonts w:ascii="Times New Roman" w:hAnsi="Times New Roman" w:cs="Times New Roman"/>
        </w:rPr>
        <w:t>considerably</w:t>
      </w:r>
      <w:r w:rsidR="004830C4" w:rsidRPr="00785EBA">
        <w:rPr>
          <w:rFonts w:ascii="Times New Roman" w:hAnsi="Times New Roman" w:cs="Times New Roman"/>
        </w:rPr>
        <w:t xml:space="preserve"> </w:t>
      </w:r>
      <w:r w:rsidR="00B5341B" w:rsidRPr="00785EBA">
        <w:rPr>
          <w:rFonts w:ascii="Times New Roman" w:hAnsi="Times New Roman" w:cs="Times New Roman"/>
        </w:rPr>
        <w:t>greater</w:t>
      </w:r>
      <w:r w:rsidR="004830C4" w:rsidRPr="00785EBA">
        <w:rPr>
          <w:rFonts w:ascii="Times New Roman" w:hAnsi="Times New Roman" w:cs="Times New Roman"/>
        </w:rPr>
        <w:t xml:space="preserve"> elec</w:t>
      </w:r>
      <w:r w:rsidR="00717881">
        <w:rPr>
          <w:rFonts w:ascii="Times New Roman" w:hAnsi="Times New Roman" w:cs="Times New Roman"/>
        </w:rPr>
        <w:t>tricity and carbon inputs (1.19×10</w:t>
      </w:r>
      <w:r w:rsidR="004830C4" w:rsidRPr="00717881">
        <w:rPr>
          <w:rFonts w:ascii="Times New Roman" w:hAnsi="Times New Roman" w:cs="Times New Roman"/>
          <w:vertAlign w:val="superscript"/>
        </w:rPr>
        <w:t>4</w:t>
      </w:r>
      <w:r w:rsidR="004830C4" w:rsidRPr="00785EBA">
        <w:rPr>
          <w:rFonts w:ascii="Times New Roman" w:hAnsi="Times New Roman" w:cs="Times New Roman"/>
        </w:rPr>
        <w:t xml:space="preserve"> MJ</w:t>
      </w:r>
      <w:r w:rsidR="00E875C7" w:rsidRPr="00785EBA">
        <w:rPr>
          <w:rFonts w:ascii="Times New Roman" w:hAnsi="Times New Roman" w:cs="Times New Roman"/>
        </w:rPr>
        <w:t>, 550kg) compared to</w:t>
      </w:r>
      <w:r w:rsidR="00B5341B" w:rsidRPr="00785EBA">
        <w:rPr>
          <w:rFonts w:ascii="Times New Roman" w:hAnsi="Times New Roman" w:cs="Times New Roman"/>
        </w:rPr>
        <w:t xml:space="preserve"> the</w:t>
      </w:r>
      <w:r w:rsidR="00E875C7" w:rsidRPr="00785EBA">
        <w:rPr>
          <w:rFonts w:ascii="Times New Roman" w:hAnsi="Times New Roman" w:cs="Times New Roman"/>
        </w:rPr>
        <w:t xml:space="preserve"> Duplex (7.92</w:t>
      </w:r>
      <w:r w:rsidR="00717881">
        <w:rPr>
          <w:rFonts w:ascii="Times New Roman" w:hAnsi="Times New Roman" w:cs="Times New Roman"/>
        </w:rPr>
        <w:t>×10</w:t>
      </w:r>
      <w:r w:rsidR="00717881">
        <w:rPr>
          <w:rFonts w:ascii="Times New Roman" w:hAnsi="Times New Roman" w:cs="Times New Roman"/>
          <w:vertAlign w:val="superscript"/>
        </w:rPr>
        <w:t>3</w:t>
      </w:r>
      <w:r w:rsidR="00E875C7" w:rsidRPr="00785EBA">
        <w:rPr>
          <w:rFonts w:ascii="Times New Roman" w:hAnsi="Times New Roman" w:cs="Times New Roman"/>
        </w:rPr>
        <w:t xml:space="preserve"> MJ, 350kg) and Eurometaux HC Fe</w:t>
      </w:r>
      <w:r w:rsidR="00B5341B" w:rsidRPr="00785EBA">
        <w:rPr>
          <w:rFonts w:ascii="Times New Roman" w:hAnsi="Times New Roman" w:cs="Times New Roman"/>
        </w:rPr>
        <w:t>-Mn models (7.92</w:t>
      </w:r>
      <w:r w:rsidR="00717881">
        <w:rPr>
          <w:rFonts w:ascii="Times New Roman" w:hAnsi="Times New Roman" w:cs="Times New Roman"/>
        </w:rPr>
        <w:t>×10</w:t>
      </w:r>
      <w:r w:rsidR="00717881">
        <w:rPr>
          <w:rFonts w:ascii="Times New Roman" w:hAnsi="Times New Roman" w:cs="Times New Roman"/>
          <w:vertAlign w:val="superscript"/>
        </w:rPr>
        <w:t>3</w:t>
      </w:r>
      <w:r w:rsidR="00B5341B" w:rsidRPr="00785EBA">
        <w:rPr>
          <w:rFonts w:ascii="Times New Roman" w:hAnsi="Times New Roman" w:cs="Times New Roman"/>
        </w:rPr>
        <w:t xml:space="preserve"> MJ, 410kg).Consequently explaining why its GWP value was considerably higher. </w:t>
      </w:r>
    </w:p>
    <w:p w:rsidR="00E875C7" w:rsidRPr="00785EBA" w:rsidRDefault="00B5341B" w:rsidP="00B5341B">
      <w:pPr>
        <w:spacing w:after="0" w:line="360" w:lineRule="auto"/>
        <w:ind w:firstLine="720"/>
        <w:jc w:val="both"/>
        <w:rPr>
          <w:rFonts w:ascii="Times New Roman" w:hAnsi="Times New Roman" w:cs="Times New Roman"/>
        </w:rPr>
      </w:pPr>
      <w:r w:rsidRPr="00785EBA">
        <w:rPr>
          <w:rFonts w:ascii="Times New Roman" w:hAnsi="Times New Roman" w:cs="Times New Roman"/>
        </w:rPr>
        <w:t xml:space="preserve">In terms of the remaining models, </w:t>
      </w:r>
      <w:r w:rsidR="0072231C" w:rsidRPr="00785EBA">
        <w:rPr>
          <w:rFonts w:ascii="Times New Roman" w:hAnsi="Times New Roman" w:cs="Times New Roman"/>
        </w:rPr>
        <w:t xml:space="preserve">both </w:t>
      </w:r>
      <w:r w:rsidRPr="00785EBA">
        <w:rPr>
          <w:rFonts w:ascii="Times New Roman" w:hAnsi="Times New Roman" w:cs="Times New Roman"/>
        </w:rPr>
        <w:t xml:space="preserve">the </w:t>
      </w:r>
      <w:r w:rsidR="0072231C" w:rsidRPr="00785EBA">
        <w:rPr>
          <w:rFonts w:ascii="Times New Roman" w:hAnsi="Times New Roman" w:cs="Times New Roman"/>
        </w:rPr>
        <w:t>Duplex and Eurometaux</w:t>
      </w:r>
      <w:r w:rsidRPr="00785EBA">
        <w:rPr>
          <w:rFonts w:ascii="Times New Roman" w:hAnsi="Times New Roman" w:cs="Times New Roman"/>
        </w:rPr>
        <w:t xml:space="preserve"> models</w:t>
      </w:r>
      <w:r w:rsidR="0072231C" w:rsidRPr="00785EBA">
        <w:rPr>
          <w:rFonts w:ascii="Times New Roman" w:hAnsi="Times New Roman" w:cs="Times New Roman"/>
        </w:rPr>
        <w:t xml:space="preserve"> had </w:t>
      </w:r>
      <w:r w:rsidR="00EA1A17" w:rsidRPr="00785EBA">
        <w:rPr>
          <w:rFonts w:ascii="Times New Roman" w:hAnsi="Times New Roman" w:cs="Times New Roman"/>
        </w:rPr>
        <w:t>i</w:t>
      </w:r>
      <w:r w:rsidR="00E875C7" w:rsidRPr="00785EBA">
        <w:rPr>
          <w:rFonts w:ascii="Times New Roman" w:hAnsi="Times New Roman" w:cs="Times New Roman"/>
        </w:rPr>
        <w:t>dentical electricity inputs, but the Duplex metho</w:t>
      </w:r>
      <w:r w:rsidRPr="00785EBA">
        <w:rPr>
          <w:rFonts w:ascii="Times New Roman" w:hAnsi="Times New Roman" w:cs="Times New Roman"/>
        </w:rPr>
        <w:t>d had the lower carbon input. Thus</w:t>
      </w:r>
      <w:r w:rsidR="00E875C7" w:rsidRPr="00785EBA">
        <w:rPr>
          <w:rFonts w:ascii="Times New Roman" w:hAnsi="Times New Roman" w:cs="Times New Roman"/>
        </w:rPr>
        <w:t xml:space="preserve"> explaining why out of the</w:t>
      </w:r>
      <w:r w:rsidRPr="00785EBA">
        <w:rPr>
          <w:rFonts w:ascii="Times New Roman" w:hAnsi="Times New Roman" w:cs="Times New Roman"/>
        </w:rPr>
        <w:t xml:space="preserve"> three HC Fe-Mn models, the Fe-Mn model with the Duplex method </w:t>
      </w:r>
      <w:r w:rsidR="00E875C7" w:rsidRPr="00785EBA">
        <w:rPr>
          <w:rFonts w:ascii="Times New Roman" w:hAnsi="Times New Roman" w:cs="Times New Roman"/>
        </w:rPr>
        <w:t>had the closest GWP value to</w:t>
      </w:r>
      <w:r w:rsidR="00EA1A17" w:rsidRPr="00785EBA">
        <w:rPr>
          <w:rFonts w:ascii="Times New Roman" w:hAnsi="Times New Roman" w:cs="Times New Roman"/>
        </w:rPr>
        <w:t xml:space="preserve"> the original value from Haque.</w:t>
      </w:r>
      <w:r w:rsidRPr="00785EBA">
        <w:rPr>
          <w:rFonts w:ascii="Times New Roman" w:hAnsi="Times New Roman" w:cs="Times New Roman"/>
        </w:rPr>
        <w:t xml:space="preserve"> The l</w:t>
      </w:r>
      <w:r w:rsidR="00E875C7" w:rsidRPr="00785EBA">
        <w:rPr>
          <w:rFonts w:ascii="Times New Roman" w:hAnsi="Times New Roman" w:cs="Times New Roman"/>
        </w:rPr>
        <w:t>iter</w:t>
      </w:r>
      <w:r w:rsidRPr="00785EBA">
        <w:rPr>
          <w:rFonts w:ascii="Times New Roman" w:hAnsi="Times New Roman" w:cs="Times New Roman"/>
        </w:rPr>
        <w:t>ature is supportive of the</w:t>
      </w:r>
      <w:r w:rsidR="00E875C7" w:rsidRPr="00785EBA">
        <w:rPr>
          <w:rFonts w:ascii="Times New Roman" w:hAnsi="Times New Roman" w:cs="Times New Roman"/>
        </w:rPr>
        <w:t xml:space="preserve"> GWP results, particularly supporting the Duplex method as </w:t>
      </w:r>
      <w:r w:rsidR="0099414E" w:rsidRPr="00785EBA">
        <w:rPr>
          <w:rFonts w:ascii="Times New Roman" w:hAnsi="Times New Roman" w:cs="Times New Roman"/>
        </w:rPr>
        <w:t>the most</w:t>
      </w:r>
      <w:r w:rsidR="00E875C7" w:rsidRPr="00785EBA">
        <w:rPr>
          <w:rFonts w:ascii="Times New Roman" w:hAnsi="Times New Roman" w:cs="Times New Roman"/>
        </w:rPr>
        <w:t xml:space="preserve"> common and effective production rout</w:t>
      </w:r>
      <w:r w:rsidR="00EA1A17" w:rsidRPr="00785EBA">
        <w:rPr>
          <w:rFonts w:ascii="Times New Roman" w:hAnsi="Times New Roman" w:cs="Times New Roman"/>
        </w:rPr>
        <w:t>e</w:t>
      </w:r>
      <w:r w:rsidR="00E875C7" w:rsidRPr="00785EBA">
        <w:rPr>
          <w:rFonts w:ascii="Times New Roman" w:hAnsi="Times New Roman" w:cs="Times New Roman"/>
        </w:rPr>
        <w:t xml:space="preserve"> for HC </w:t>
      </w:r>
      <w:r w:rsidR="0099414E" w:rsidRPr="00785EBA">
        <w:rPr>
          <w:rFonts w:ascii="Times New Roman" w:hAnsi="Times New Roman" w:cs="Times New Roman"/>
        </w:rPr>
        <w:t>Fe-Mn. For the Duplex method the</w:t>
      </w:r>
      <w:r w:rsidR="00E875C7" w:rsidRPr="00785EBA">
        <w:rPr>
          <w:rFonts w:ascii="Times New Roman" w:hAnsi="Times New Roman" w:cs="Times New Roman"/>
        </w:rPr>
        <w:t xml:space="preserve"> </w:t>
      </w:r>
      <w:r w:rsidR="0099414E" w:rsidRPr="00785EBA">
        <w:rPr>
          <w:rFonts w:ascii="Times New Roman" w:hAnsi="Times New Roman" w:cs="Times New Roman"/>
        </w:rPr>
        <w:t>percentage of</w:t>
      </w:r>
      <w:r w:rsidR="00E875C7" w:rsidRPr="00785EBA">
        <w:rPr>
          <w:rFonts w:ascii="Times New Roman" w:hAnsi="Times New Roman" w:cs="Times New Roman"/>
        </w:rPr>
        <w:t xml:space="preserve"> Mn in the </w:t>
      </w:r>
      <w:r w:rsidRPr="00785EBA">
        <w:rPr>
          <w:rFonts w:ascii="Times New Roman" w:hAnsi="Times New Roman" w:cs="Times New Roman"/>
        </w:rPr>
        <w:t>slag is</w:t>
      </w:r>
      <w:r w:rsidR="00E875C7" w:rsidRPr="00785EBA">
        <w:rPr>
          <w:rFonts w:ascii="Times New Roman" w:hAnsi="Times New Roman" w:cs="Times New Roman"/>
        </w:rPr>
        <w:t xml:space="preserve"> high (35-38%) thus allowing the slag to be reprocessed for the</w:t>
      </w:r>
      <w:r w:rsidR="0072231C" w:rsidRPr="00785EBA">
        <w:rPr>
          <w:rFonts w:ascii="Times New Roman" w:hAnsi="Times New Roman" w:cs="Times New Roman"/>
        </w:rPr>
        <w:t xml:space="preserve"> </w:t>
      </w:r>
      <w:r w:rsidR="00E875C7" w:rsidRPr="00785EBA">
        <w:rPr>
          <w:rFonts w:ascii="Times New Roman" w:hAnsi="Times New Roman" w:cs="Times New Roman"/>
        </w:rPr>
        <w:t>production of silico-manganese or metal manganese. In addition the overall manganese recovery is higher</w:t>
      </w:r>
      <w:r w:rsidR="0099414E" w:rsidRPr="00785EBA">
        <w:rPr>
          <w:rFonts w:ascii="Times New Roman" w:hAnsi="Times New Roman" w:cs="Times New Roman"/>
        </w:rPr>
        <w:t xml:space="preserve"> </w:t>
      </w:r>
      <w:r w:rsidR="00E875C7" w:rsidRPr="00785EBA">
        <w:rPr>
          <w:rFonts w:ascii="Times New Roman" w:hAnsi="Times New Roman" w:cs="Times New Roman"/>
        </w:rPr>
        <w:t>(97-99%) thus allowing less coke to be u</w:t>
      </w:r>
      <w:r w:rsidR="0072231C" w:rsidRPr="00785EBA">
        <w:rPr>
          <w:rFonts w:ascii="Times New Roman" w:hAnsi="Times New Roman" w:cs="Times New Roman"/>
        </w:rPr>
        <w:t xml:space="preserve">tilised and consequently </w:t>
      </w:r>
      <w:r w:rsidR="00E875C7" w:rsidRPr="00785EBA">
        <w:rPr>
          <w:rFonts w:ascii="Times New Roman" w:hAnsi="Times New Roman" w:cs="Times New Roman"/>
        </w:rPr>
        <w:t>a lower</w:t>
      </w:r>
      <w:r w:rsidR="00EA1A17" w:rsidRPr="00785EBA">
        <w:rPr>
          <w:rFonts w:ascii="Times New Roman" w:hAnsi="Times New Roman" w:cs="Times New Roman"/>
        </w:rPr>
        <w:t xml:space="preserve"> environmental footprint.</w:t>
      </w:r>
      <w:r w:rsidR="00E875C7" w:rsidRPr="00785EBA">
        <w:rPr>
          <w:rFonts w:ascii="Times New Roman" w:hAnsi="Times New Roman" w:cs="Times New Roman"/>
        </w:rPr>
        <w:t xml:space="preserve"> </w:t>
      </w:r>
    </w:p>
    <w:p w:rsidR="00F5156B" w:rsidRPr="00785EBA" w:rsidRDefault="00F5156B" w:rsidP="00E50D7F">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For the LC Fe-Mn models from Eurometaux, a parameter variation was co</w:t>
      </w:r>
      <w:r w:rsidR="00E50D7F" w:rsidRPr="00785EBA">
        <w:rPr>
          <w:rFonts w:ascii="Times New Roman" w:eastAsia="Calibri" w:hAnsi="Times New Roman" w:cs="Times New Roman"/>
        </w:rPr>
        <w:t>nducted using Si-Mn. This was used as an</w:t>
      </w:r>
      <w:r w:rsidRPr="00785EBA">
        <w:rPr>
          <w:rFonts w:ascii="Times New Roman" w:eastAsia="Calibri" w:hAnsi="Times New Roman" w:cs="Times New Roman"/>
        </w:rPr>
        <w:t xml:space="preserve"> input into both processes primarily as a reducing agent. Two Si-Mn processes </w:t>
      </w:r>
      <w:r w:rsidRPr="00785EBA">
        <w:rPr>
          <w:rFonts w:ascii="Times New Roman" w:eastAsia="Calibri" w:hAnsi="Times New Roman" w:cs="Times New Roman"/>
        </w:rPr>
        <w:lastRenderedPageBreak/>
        <w:t xml:space="preserve">were </w:t>
      </w:r>
      <w:r w:rsidR="00E50D7F" w:rsidRPr="00785EBA">
        <w:rPr>
          <w:rFonts w:ascii="Times New Roman" w:eastAsia="Calibri" w:hAnsi="Times New Roman" w:cs="Times New Roman"/>
        </w:rPr>
        <w:t>created (see appendix</w:t>
      </w:r>
      <w:r w:rsidRPr="00785EBA">
        <w:rPr>
          <w:rFonts w:ascii="Times New Roman" w:eastAsia="Calibri" w:hAnsi="Times New Roman" w:cs="Times New Roman"/>
        </w:rPr>
        <w:t xml:space="preserve"> </w:t>
      </w:r>
      <w:r w:rsidR="00E50D7F" w:rsidRPr="00785EBA">
        <w:rPr>
          <w:rFonts w:ascii="Times New Roman" w:eastAsia="Calibri" w:hAnsi="Times New Roman" w:cs="Times New Roman"/>
        </w:rPr>
        <w:t>D10</w:t>
      </w:r>
      <w:r w:rsidRPr="00785EBA">
        <w:rPr>
          <w:rFonts w:ascii="Times New Roman" w:eastAsia="Calibri" w:hAnsi="Times New Roman" w:cs="Times New Roman"/>
        </w:rPr>
        <w:t xml:space="preserve">) one utilising data from Haque and the other using data from Eurometaux. The Si-Mn processes were then included in separate LC Fe-Mn </w:t>
      </w:r>
      <w:r w:rsidR="00E50D7F" w:rsidRPr="00785EBA">
        <w:rPr>
          <w:rFonts w:ascii="Times New Roman" w:eastAsia="Calibri" w:hAnsi="Times New Roman" w:cs="Times New Roman"/>
        </w:rPr>
        <w:t xml:space="preserve">processes as shown in </w:t>
      </w:r>
      <w:r w:rsidR="00A6415F" w:rsidRPr="00785EBA">
        <w:fldChar w:fldCharType="begin"/>
      </w:r>
      <w:r w:rsidR="00A6415F" w:rsidRPr="00785EBA">
        <w:instrText xml:space="preserve"> REF _Ref468620983 \h  \* MERGEFORMAT </w:instrText>
      </w:r>
      <w:r w:rsidR="00A6415F" w:rsidRPr="00785EBA">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70</w:t>
      </w:r>
      <w:r w:rsidR="00A6415F" w:rsidRPr="00785EBA">
        <w:fldChar w:fldCharType="end"/>
      </w:r>
      <w:r w:rsidR="00E50D7F" w:rsidRPr="00785EBA">
        <w:rPr>
          <w:rFonts w:ascii="Times New Roman" w:eastAsia="Calibri" w:hAnsi="Times New Roman" w:cs="Times New Roman"/>
        </w:rPr>
        <w:t xml:space="preserve"> and </w:t>
      </w:r>
      <w:r w:rsidR="00A6415F" w:rsidRPr="00785EBA">
        <w:fldChar w:fldCharType="begin"/>
      </w:r>
      <w:r w:rsidR="00A6415F" w:rsidRPr="00785EBA">
        <w:instrText xml:space="preserve"> REF _Ref468621010 \h  \* MERGEFORMAT </w:instrText>
      </w:r>
      <w:r w:rsidR="00A6415F" w:rsidRPr="00785EBA">
        <w:fldChar w:fldCharType="separate"/>
      </w:r>
      <w:r w:rsidR="009F5483" w:rsidRPr="0054285D">
        <w:rPr>
          <w:rFonts w:ascii="Times New Roman" w:hAnsi="Times New Roman" w:cs="Times New Roman"/>
          <w:noProof/>
        </w:rPr>
        <w:t>Figure</w:t>
      </w:r>
      <w:r w:rsidR="009F5483" w:rsidRPr="0054285D">
        <w:rPr>
          <w:rFonts w:ascii="Times New Roman" w:hAnsi="Times New Roman" w:cs="Times New Roman"/>
        </w:rPr>
        <w:t xml:space="preserve"> </w:t>
      </w:r>
      <w:r w:rsidR="009F5483">
        <w:rPr>
          <w:rFonts w:ascii="Times New Roman" w:hAnsi="Times New Roman" w:cs="Times New Roman"/>
          <w:noProof/>
        </w:rPr>
        <w:t>71</w:t>
      </w:r>
      <w:r w:rsidR="00A6415F" w:rsidRPr="00785EBA">
        <w:fldChar w:fldCharType="end"/>
      </w:r>
      <w:r w:rsidRPr="00785EBA">
        <w:rPr>
          <w:rFonts w:ascii="Times New Roman" w:eastAsia="Calibri" w:hAnsi="Times New Roman" w:cs="Times New Roman"/>
        </w:rPr>
        <w:t>.</w:t>
      </w:r>
      <w:r w:rsidR="00E50D7F" w:rsidRPr="00785EBA">
        <w:rPr>
          <w:rFonts w:ascii="Times New Roman" w:eastAsia="Calibri" w:hAnsi="Times New Roman" w:cs="Times New Roman"/>
        </w:rPr>
        <w:t xml:space="preserve"> </w:t>
      </w:r>
      <w:r w:rsidRPr="00785EBA">
        <w:rPr>
          <w:rFonts w:ascii="Times New Roman" w:eastAsia="Calibri" w:hAnsi="Times New Roman" w:cs="Times New Roman"/>
        </w:rPr>
        <w:t>The difference between the two LC Fe-Mn models was primarily due to the difference between the two Si-Mn models. Si-Mn (Haque) had a higher GWP than Si-Mn (Eurometaux) due to more usage of electricity (4.68</w:t>
      </w:r>
      <w:r w:rsidR="00717881">
        <w:rPr>
          <w:rFonts w:ascii="Times New Roman" w:hAnsi="Times New Roman" w:cs="Times New Roman"/>
        </w:rPr>
        <w:t>×10</w:t>
      </w:r>
      <w:r w:rsidR="00717881" w:rsidRPr="00717881">
        <w:rPr>
          <w:rFonts w:ascii="Times New Roman" w:hAnsi="Times New Roman" w:cs="Times New Roman"/>
          <w:vertAlign w:val="superscript"/>
        </w:rPr>
        <w:t>4</w:t>
      </w:r>
      <w:r w:rsidR="00717881">
        <w:rPr>
          <w:rFonts w:ascii="Times New Roman" w:hAnsi="Times New Roman" w:cs="Times New Roman"/>
        </w:rPr>
        <w:t xml:space="preserve"> k</w:t>
      </w:r>
      <w:r w:rsidRPr="00785EBA">
        <w:rPr>
          <w:rFonts w:ascii="Times New Roman" w:eastAsia="Calibri" w:hAnsi="Times New Roman" w:cs="Times New Roman"/>
        </w:rPr>
        <w:t>Wh to 3.80</w:t>
      </w:r>
      <w:r w:rsidR="00717881">
        <w:rPr>
          <w:rFonts w:ascii="Times New Roman" w:hAnsi="Times New Roman" w:cs="Times New Roman"/>
        </w:rPr>
        <w:t>×10</w:t>
      </w:r>
      <w:r w:rsidR="00717881" w:rsidRPr="00717881">
        <w:rPr>
          <w:rFonts w:ascii="Times New Roman" w:hAnsi="Times New Roman" w:cs="Times New Roman"/>
          <w:vertAlign w:val="superscript"/>
        </w:rPr>
        <w:t>4</w:t>
      </w:r>
      <w:r w:rsidRPr="00785EBA">
        <w:rPr>
          <w:rFonts w:ascii="Times New Roman" w:eastAsia="Calibri" w:hAnsi="Times New Roman" w:cs="Times New Roman"/>
        </w:rPr>
        <w:t xml:space="preserve"> kWh) and carbon based inputs (650kg to 400kg). </w:t>
      </w:r>
    </w:p>
    <w:p w:rsidR="00F5156B" w:rsidRPr="00785EBA" w:rsidRDefault="00E50D7F" w:rsidP="000209CE">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Finally a</w:t>
      </w:r>
      <w:r w:rsidR="00F5156B" w:rsidRPr="00785EBA">
        <w:rPr>
          <w:rFonts w:ascii="Times New Roman" w:eastAsia="Calibri" w:hAnsi="Times New Roman" w:cs="Times New Roman"/>
        </w:rPr>
        <w:t>nalysis of the Fe-Mn m</w:t>
      </w:r>
      <w:r w:rsidRPr="00785EBA">
        <w:rPr>
          <w:rFonts w:ascii="Times New Roman" w:eastAsia="Calibri" w:hAnsi="Times New Roman" w:cs="Times New Roman"/>
        </w:rPr>
        <w:t>odels was also conducted utilising models</w:t>
      </w:r>
      <w:r w:rsidR="00F5156B" w:rsidRPr="00785EBA">
        <w:rPr>
          <w:rFonts w:ascii="Times New Roman" w:eastAsia="Calibri" w:hAnsi="Times New Roman" w:cs="Times New Roman"/>
        </w:rPr>
        <w:t xml:space="preserve"> </w:t>
      </w:r>
      <w:r w:rsidRPr="00785EBA">
        <w:rPr>
          <w:rFonts w:ascii="Times New Roman" w:eastAsia="Calibri" w:hAnsi="Times New Roman" w:cs="Times New Roman"/>
        </w:rPr>
        <w:t xml:space="preserve">for both HC and LC Fe-Mn in </w:t>
      </w:r>
      <w:r w:rsidR="004D2D91" w:rsidRPr="00785EBA">
        <w:rPr>
          <w:rFonts w:ascii="Times New Roman" w:eastAsia="Calibri" w:hAnsi="Times New Roman" w:cs="Times New Roman"/>
        </w:rPr>
        <w:t>GaBi</w:t>
      </w:r>
      <w:r w:rsidRPr="00785EBA">
        <w:rPr>
          <w:rFonts w:ascii="Times New Roman" w:eastAsia="Calibri" w:hAnsi="Times New Roman" w:cs="Times New Roman"/>
        </w:rPr>
        <w:t xml:space="preserve">, with the results displayed by </w:t>
      </w:r>
      <w:r w:rsidR="00A6415F" w:rsidRPr="00785EBA">
        <w:fldChar w:fldCharType="begin"/>
      </w:r>
      <w:r w:rsidR="00A6415F" w:rsidRPr="00785EBA">
        <w:instrText xml:space="preserve"> REF _Ref474359289 \h  \* MERGEFORMAT </w:instrText>
      </w:r>
      <w:r w:rsidR="00A6415F" w:rsidRPr="00785EBA">
        <w:fldChar w:fldCharType="separate"/>
      </w:r>
      <w:r w:rsidR="009F5483" w:rsidRPr="00785EBA">
        <w:rPr>
          <w:rFonts w:ascii="Times New Roman" w:hAnsi="Times New Roman" w:cs="Times New Roman"/>
        </w:rPr>
        <w:t xml:space="preserve">Figure </w:t>
      </w:r>
      <w:r w:rsidR="009F5483">
        <w:rPr>
          <w:rFonts w:ascii="Times New Roman" w:hAnsi="Times New Roman" w:cs="Times New Roman"/>
          <w:noProof/>
        </w:rPr>
        <w:t>35</w:t>
      </w:r>
      <w:r w:rsidR="00A6415F" w:rsidRPr="00785EBA">
        <w:fldChar w:fldCharType="end"/>
      </w:r>
      <w:r w:rsidRPr="00785EBA">
        <w:rPr>
          <w:rFonts w:ascii="Times New Roman" w:eastAsia="Calibri" w:hAnsi="Times New Roman" w:cs="Times New Roman"/>
        </w:rPr>
        <w:t>.</w:t>
      </w:r>
    </w:p>
    <w:p w:rsidR="00F5156B" w:rsidRPr="00785EBA" w:rsidRDefault="00F5156B" w:rsidP="00CF066D">
      <w:pPr>
        <w:spacing w:after="0" w:line="360" w:lineRule="auto"/>
        <w:ind w:firstLine="720"/>
        <w:jc w:val="center"/>
        <w:rPr>
          <w:rFonts w:ascii="Times New Roman" w:eastAsia="Calibri" w:hAnsi="Times New Roman" w:cs="Times New Roman"/>
        </w:rPr>
      </w:pPr>
      <w:r w:rsidRPr="00785EBA">
        <w:rPr>
          <w:noProof/>
        </w:rPr>
        <w:drawing>
          <wp:inline distT="0" distB="0" distL="0" distR="0">
            <wp:extent cx="5373666" cy="2868461"/>
            <wp:effectExtent l="0" t="0" r="17780" b="8255"/>
            <wp:docPr id="3"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F5156B" w:rsidRPr="00785EBA" w:rsidRDefault="00F5156B" w:rsidP="000209CE">
      <w:pPr>
        <w:spacing w:after="0"/>
        <w:rPr>
          <w:rFonts w:ascii="Times New Roman" w:eastAsia="Calibri" w:hAnsi="Times New Roman" w:cs="Times New Roman"/>
        </w:rPr>
      </w:pPr>
      <w:bookmarkStart w:id="161" w:name="_Ref474359289"/>
      <w:bookmarkStart w:id="162" w:name="_Toc495848368"/>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35</w:t>
      </w:r>
      <w:r w:rsidR="009A0ED7" w:rsidRPr="00785EBA">
        <w:rPr>
          <w:rFonts w:ascii="Times New Roman" w:hAnsi="Times New Roman" w:cs="Times New Roman"/>
        </w:rPr>
        <w:fldChar w:fldCharType="end"/>
      </w:r>
      <w:bookmarkEnd w:id="161"/>
      <w:r w:rsidRPr="00785EBA">
        <w:rPr>
          <w:rFonts w:ascii="Times New Roman" w:hAnsi="Times New Roman" w:cs="Times New Roman"/>
        </w:rPr>
        <w:t xml:space="preserve">. </w:t>
      </w:r>
      <w:r w:rsidRPr="00785EBA">
        <w:rPr>
          <w:rFonts w:ascii="Times New Roman" w:eastAsia="Calibri" w:hAnsi="Times New Roman" w:cs="Times New Roman"/>
        </w:rPr>
        <w:t xml:space="preserve">Comparison of </w:t>
      </w:r>
      <w:r w:rsidR="004D2D91" w:rsidRPr="00785EBA">
        <w:rPr>
          <w:rFonts w:ascii="Times New Roman" w:eastAsia="Calibri" w:hAnsi="Times New Roman" w:cs="Times New Roman"/>
        </w:rPr>
        <w:t>GaBi</w:t>
      </w:r>
      <w:r w:rsidRPr="00785EBA">
        <w:rPr>
          <w:rFonts w:ascii="Times New Roman" w:eastAsia="Calibri" w:hAnsi="Times New Roman" w:cs="Times New Roman"/>
        </w:rPr>
        <w:t xml:space="preserve"> Fe-Mn models via GWP.</w:t>
      </w:r>
      <w:bookmarkEnd w:id="162"/>
    </w:p>
    <w:p w:rsidR="006F0F5F" w:rsidRPr="00785EBA" w:rsidRDefault="006F0F5F" w:rsidP="006F0F5F">
      <w:pPr>
        <w:spacing w:after="0" w:line="360" w:lineRule="auto"/>
        <w:jc w:val="both"/>
        <w:rPr>
          <w:rFonts w:ascii="Times New Roman" w:eastAsia="Calibri" w:hAnsi="Times New Roman" w:cs="Times New Roman"/>
        </w:rPr>
      </w:pPr>
    </w:p>
    <w:p w:rsidR="00534E3D" w:rsidRPr="00785EBA" w:rsidRDefault="00A407A7" w:rsidP="006F0F5F">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Analysis of t</w:t>
      </w:r>
      <w:r w:rsidR="00F5156B" w:rsidRPr="00785EBA">
        <w:rPr>
          <w:rFonts w:ascii="Times New Roman" w:eastAsia="Calibri" w:hAnsi="Times New Roman" w:cs="Times New Roman"/>
        </w:rPr>
        <w:t>he</w:t>
      </w:r>
      <w:r w:rsidRPr="00785EBA">
        <w:rPr>
          <w:rFonts w:ascii="Times New Roman" w:eastAsia="Calibri" w:hAnsi="Times New Roman" w:cs="Times New Roman"/>
        </w:rPr>
        <w:t xml:space="preserve"> results from </w:t>
      </w:r>
      <w:r w:rsidR="004D2D91" w:rsidRPr="00785EBA">
        <w:rPr>
          <w:rFonts w:ascii="Times New Roman" w:eastAsia="Calibri" w:hAnsi="Times New Roman" w:cs="Times New Roman"/>
        </w:rPr>
        <w:t>GaBi</w:t>
      </w:r>
      <w:r w:rsidRPr="00785EBA">
        <w:rPr>
          <w:rFonts w:ascii="Times New Roman" w:eastAsia="Calibri" w:hAnsi="Times New Roman" w:cs="Times New Roman"/>
        </w:rPr>
        <w:t xml:space="preserve"> revealed the models for both HC and LC Fe-Mn had the highest </w:t>
      </w:r>
      <w:r w:rsidR="00F5156B" w:rsidRPr="00785EBA">
        <w:rPr>
          <w:rFonts w:ascii="Times New Roman" w:eastAsia="Calibri" w:hAnsi="Times New Roman" w:cs="Times New Roman"/>
        </w:rPr>
        <w:t>GWP values from all</w:t>
      </w:r>
      <w:r w:rsidRPr="00785EBA">
        <w:rPr>
          <w:rFonts w:ascii="Times New Roman" w:eastAsia="Calibri" w:hAnsi="Times New Roman" w:cs="Times New Roman"/>
        </w:rPr>
        <w:t xml:space="preserve"> Fe-Mn</w:t>
      </w:r>
      <w:r w:rsidR="00F5156B" w:rsidRPr="00785EBA">
        <w:rPr>
          <w:rFonts w:ascii="Times New Roman" w:eastAsia="Calibri" w:hAnsi="Times New Roman" w:cs="Times New Roman"/>
        </w:rPr>
        <w:t xml:space="preserve"> models</w:t>
      </w:r>
      <w:r w:rsidRPr="00785EBA">
        <w:rPr>
          <w:rFonts w:ascii="Times New Roman" w:eastAsia="Calibri" w:hAnsi="Times New Roman" w:cs="Times New Roman"/>
        </w:rPr>
        <w:t>. The large GWP values were</w:t>
      </w:r>
      <w:r w:rsidR="00F5156B" w:rsidRPr="00785EBA">
        <w:rPr>
          <w:rFonts w:ascii="Times New Roman" w:eastAsia="Calibri" w:hAnsi="Times New Roman" w:cs="Times New Roman"/>
        </w:rPr>
        <w:t xml:space="preserve"> chiefly attributed to source of electricity.</w:t>
      </w:r>
      <w:r w:rsidR="00534E3D" w:rsidRPr="00785EBA">
        <w:rPr>
          <w:rFonts w:ascii="Times New Roman" w:eastAsia="Calibri" w:hAnsi="Times New Roman" w:cs="Times New Roman"/>
        </w:rPr>
        <w:t xml:space="preserve"> </w:t>
      </w:r>
      <w:r w:rsidR="00F5156B" w:rsidRPr="00785EBA">
        <w:rPr>
          <w:rFonts w:ascii="Times New Roman" w:eastAsia="Calibri" w:hAnsi="Times New Roman" w:cs="Times New Roman"/>
        </w:rPr>
        <w:t xml:space="preserve">Both Fe-Mn models in </w:t>
      </w:r>
      <w:r w:rsidR="004D2D91" w:rsidRPr="00785EBA">
        <w:rPr>
          <w:rFonts w:ascii="Times New Roman" w:eastAsia="Calibri" w:hAnsi="Times New Roman" w:cs="Times New Roman"/>
        </w:rPr>
        <w:t>GaBi</w:t>
      </w:r>
      <w:r w:rsidR="00F5156B" w:rsidRPr="00785EBA">
        <w:rPr>
          <w:rFonts w:ascii="Times New Roman" w:eastAsia="Calibri" w:hAnsi="Times New Roman" w:cs="Times New Roman"/>
        </w:rPr>
        <w:t xml:space="preserve"> were constructed using data and electricity grid mix</w:t>
      </w:r>
      <w:r w:rsidRPr="00785EBA">
        <w:rPr>
          <w:rFonts w:ascii="Times New Roman" w:eastAsia="Calibri" w:hAnsi="Times New Roman" w:cs="Times New Roman"/>
        </w:rPr>
        <w:t>es based from</w:t>
      </w:r>
      <w:r w:rsidR="00F5156B" w:rsidRPr="00785EBA">
        <w:rPr>
          <w:rFonts w:ascii="Times New Roman" w:eastAsia="Calibri" w:hAnsi="Times New Roman" w:cs="Times New Roman"/>
        </w:rPr>
        <w:t xml:space="preserve"> </w:t>
      </w:r>
      <w:r w:rsidRPr="00785EBA">
        <w:rPr>
          <w:rFonts w:ascii="Times New Roman" w:eastAsia="Calibri" w:hAnsi="Times New Roman" w:cs="Times New Roman"/>
        </w:rPr>
        <w:t xml:space="preserve">the country </w:t>
      </w:r>
      <w:r w:rsidR="00F5156B" w:rsidRPr="00785EBA">
        <w:rPr>
          <w:rFonts w:ascii="Times New Roman" w:eastAsia="Calibri" w:hAnsi="Times New Roman" w:cs="Times New Roman"/>
        </w:rPr>
        <w:t>South Africa. The remainder of the models constructed, excluding global Fe-Mn model, used</w:t>
      </w:r>
      <w:r w:rsidRPr="00785EBA">
        <w:rPr>
          <w:rFonts w:ascii="Times New Roman" w:eastAsia="Calibri" w:hAnsi="Times New Roman" w:cs="Times New Roman"/>
        </w:rPr>
        <w:t xml:space="preserve"> an Australian</w:t>
      </w:r>
      <w:r w:rsidR="00F5156B" w:rsidRPr="00785EBA">
        <w:rPr>
          <w:rFonts w:ascii="Times New Roman" w:eastAsia="Calibri" w:hAnsi="Times New Roman" w:cs="Times New Roman"/>
        </w:rPr>
        <w:t xml:space="preserve"> electricity grid mix</w:t>
      </w:r>
      <w:r w:rsidRPr="00785EBA">
        <w:rPr>
          <w:rFonts w:ascii="Times New Roman" w:eastAsia="Calibri" w:hAnsi="Times New Roman" w:cs="Times New Roman"/>
        </w:rPr>
        <w:t>.</w:t>
      </w:r>
      <w:r w:rsidR="00534E3D" w:rsidRPr="00785EBA">
        <w:rPr>
          <w:rFonts w:ascii="Times New Roman" w:eastAsia="Calibri" w:hAnsi="Times New Roman" w:cs="Times New Roman"/>
        </w:rPr>
        <w:t xml:space="preserve"> Even though, for both countries, the grid mixes were dominated by coal. The major difference between the models, was the percentage coal contributed to the total electricity grid mix. For South Africa, electricity from coal made up approximately 93% whereas with Australia it was roughly 69%. Translation of this in terms of energy meant, for a corresponding energy of 1MJ, energy from Australian electricity grid mix equates to 0.281 GWP kg /CO</w:t>
      </w:r>
      <w:r w:rsidR="00534E3D" w:rsidRPr="00785EBA">
        <w:rPr>
          <w:rFonts w:ascii="Times New Roman" w:eastAsia="Calibri" w:hAnsi="Times New Roman" w:cs="Times New Roman"/>
          <w:vertAlign w:val="subscript"/>
        </w:rPr>
        <w:t>2</w:t>
      </w:r>
      <w:r w:rsidR="00534E3D" w:rsidRPr="00785EBA">
        <w:rPr>
          <w:rFonts w:ascii="Times New Roman" w:eastAsia="Calibri" w:hAnsi="Times New Roman" w:cs="Times New Roman"/>
        </w:rPr>
        <w:t xml:space="preserve"> compared to 0.403 GWP kg /CO</w:t>
      </w:r>
      <w:r w:rsidR="00534E3D" w:rsidRPr="00785EBA">
        <w:rPr>
          <w:rFonts w:ascii="Times New Roman" w:eastAsia="Calibri" w:hAnsi="Times New Roman" w:cs="Times New Roman"/>
          <w:vertAlign w:val="subscript"/>
        </w:rPr>
        <w:t xml:space="preserve">2 </w:t>
      </w:r>
      <w:r w:rsidR="00534E3D" w:rsidRPr="00785EBA">
        <w:rPr>
          <w:rFonts w:ascii="Times New Roman" w:eastAsia="Calibri" w:hAnsi="Times New Roman" w:cs="Times New Roman"/>
        </w:rPr>
        <w:t xml:space="preserve">for South Africa. Therefore explaining why GWP values for models from </w:t>
      </w:r>
      <w:r w:rsidR="004D2D91" w:rsidRPr="00785EBA">
        <w:rPr>
          <w:rFonts w:ascii="Times New Roman" w:eastAsia="Calibri" w:hAnsi="Times New Roman" w:cs="Times New Roman"/>
        </w:rPr>
        <w:t>GaBi</w:t>
      </w:r>
      <w:r w:rsidR="00534E3D" w:rsidRPr="00785EBA">
        <w:rPr>
          <w:rFonts w:ascii="Times New Roman" w:eastAsia="Calibri" w:hAnsi="Times New Roman" w:cs="Times New Roman"/>
        </w:rPr>
        <w:t xml:space="preserve"> were greater.</w:t>
      </w:r>
    </w:p>
    <w:p w:rsidR="00D07AD5" w:rsidRPr="00785EBA" w:rsidRDefault="00F5156B" w:rsidP="00D07AD5">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Other potential contributing factors include</w:t>
      </w:r>
      <w:r w:rsidR="00D07AD5" w:rsidRPr="00785EBA">
        <w:rPr>
          <w:rFonts w:ascii="Times New Roman" w:eastAsia="Calibri" w:hAnsi="Times New Roman" w:cs="Times New Roman"/>
        </w:rPr>
        <w:t>d</w:t>
      </w:r>
      <w:r w:rsidRPr="00785EBA">
        <w:rPr>
          <w:rFonts w:ascii="Times New Roman" w:eastAsia="Calibri" w:hAnsi="Times New Roman" w:cs="Times New Roman"/>
        </w:rPr>
        <w:t xml:space="preserve"> the percentage cont</w:t>
      </w:r>
      <w:r w:rsidR="00D07AD5" w:rsidRPr="00785EBA">
        <w:rPr>
          <w:rFonts w:ascii="Times New Roman" w:eastAsia="Calibri" w:hAnsi="Times New Roman" w:cs="Times New Roman"/>
        </w:rPr>
        <w:t>ent of Mn. The Mn content varied</w:t>
      </w:r>
      <w:r w:rsidRPr="00785EBA">
        <w:rPr>
          <w:rFonts w:ascii="Times New Roman" w:eastAsia="Calibri" w:hAnsi="Times New Roman" w:cs="Times New Roman"/>
        </w:rPr>
        <w:t xml:space="preserve"> between the models</w:t>
      </w:r>
      <w:r w:rsidR="00D07AD5" w:rsidRPr="00785EBA">
        <w:rPr>
          <w:rFonts w:ascii="Times New Roman" w:eastAsia="Calibri" w:hAnsi="Times New Roman" w:cs="Times New Roman"/>
        </w:rPr>
        <w:t xml:space="preserve"> from </w:t>
      </w:r>
      <w:r w:rsidRPr="00785EBA">
        <w:rPr>
          <w:rFonts w:ascii="Times New Roman" w:eastAsia="Calibri" w:hAnsi="Times New Roman" w:cs="Times New Roman"/>
        </w:rPr>
        <w:t>74-82%</w:t>
      </w:r>
      <w:r w:rsidR="00D07AD5" w:rsidRPr="00785EBA">
        <w:rPr>
          <w:rFonts w:ascii="Times New Roman" w:eastAsia="Calibri" w:hAnsi="Times New Roman" w:cs="Times New Roman"/>
        </w:rPr>
        <w:t xml:space="preserve"> (Haque) to</w:t>
      </w:r>
      <w:r w:rsidRPr="00785EBA">
        <w:rPr>
          <w:rFonts w:ascii="Times New Roman" w:eastAsia="Calibri" w:hAnsi="Times New Roman" w:cs="Times New Roman"/>
        </w:rPr>
        <w:t xml:space="preserve">, </w:t>
      </w:r>
      <w:r w:rsidR="00D07AD5" w:rsidRPr="00785EBA">
        <w:rPr>
          <w:rFonts w:ascii="Times New Roman" w:eastAsia="Calibri" w:hAnsi="Times New Roman" w:cs="Times New Roman"/>
        </w:rPr>
        <w:t>76-99% (Gasik) as well as 77-90% (</w:t>
      </w:r>
      <w:r w:rsidR="004D2D91" w:rsidRPr="00785EBA">
        <w:rPr>
          <w:rFonts w:ascii="Times New Roman" w:eastAsia="Calibri" w:hAnsi="Times New Roman" w:cs="Times New Roman"/>
        </w:rPr>
        <w:t>GaBi</w:t>
      </w:r>
      <w:r w:rsidR="00D07AD5" w:rsidRPr="00785EBA">
        <w:rPr>
          <w:rFonts w:ascii="Times New Roman" w:eastAsia="Calibri" w:hAnsi="Times New Roman" w:cs="Times New Roman"/>
        </w:rPr>
        <w:t xml:space="preserve">). The notable omission being percentage content of Mn from </w:t>
      </w:r>
      <w:r w:rsidRPr="00785EBA">
        <w:rPr>
          <w:rFonts w:ascii="Times New Roman" w:eastAsia="Calibri" w:hAnsi="Times New Roman" w:cs="Times New Roman"/>
        </w:rPr>
        <w:t>Eurometaux</w:t>
      </w:r>
      <w:r w:rsidR="00D07AD5" w:rsidRPr="00785EBA">
        <w:rPr>
          <w:rFonts w:ascii="Times New Roman" w:eastAsia="Calibri" w:hAnsi="Times New Roman" w:cs="Times New Roman"/>
        </w:rPr>
        <w:t>,</w:t>
      </w:r>
      <w:r w:rsidRPr="00785EBA">
        <w:rPr>
          <w:rFonts w:ascii="Times New Roman" w:eastAsia="Calibri" w:hAnsi="Times New Roman" w:cs="Times New Roman"/>
        </w:rPr>
        <w:t xml:space="preserve"> where no percentages were stated. </w:t>
      </w:r>
      <w:r w:rsidR="00D07AD5" w:rsidRPr="00785EBA">
        <w:rPr>
          <w:rFonts w:ascii="Times New Roman" w:eastAsia="Calibri" w:hAnsi="Times New Roman" w:cs="Times New Roman"/>
        </w:rPr>
        <w:t xml:space="preserve">The percentage of Mn was important as it was expected that the higher the Mn content in the ore, the </w:t>
      </w:r>
      <w:r w:rsidR="00D07AD5" w:rsidRPr="00785EBA">
        <w:rPr>
          <w:rFonts w:ascii="Times New Roman" w:eastAsia="Calibri" w:hAnsi="Times New Roman" w:cs="Times New Roman"/>
        </w:rPr>
        <w:lastRenderedPageBreak/>
        <w:t>less work required in terms of usage of electricity for extraction of the ore from gangue material, resulting in a lower environmental impact in terms of CO</w:t>
      </w:r>
      <w:r w:rsidR="00D07AD5" w:rsidRPr="00785EBA">
        <w:rPr>
          <w:rFonts w:ascii="Times New Roman" w:eastAsia="Calibri" w:hAnsi="Times New Roman" w:cs="Times New Roman"/>
          <w:vertAlign w:val="subscript"/>
        </w:rPr>
        <w:t>2</w:t>
      </w:r>
      <w:r w:rsidR="00D07AD5" w:rsidRPr="00785EBA">
        <w:rPr>
          <w:rFonts w:ascii="Times New Roman" w:eastAsia="Calibri" w:hAnsi="Times New Roman" w:cs="Times New Roman"/>
        </w:rPr>
        <w:t xml:space="preserve">. </w:t>
      </w:r>
      <w:r w:rsidR="00AA1FC1" w:rsidRPr="00785EBA">
        <w:rPr>
          <w:rFonts w:ascii="Times New Roman" w:eastAsia="Calibri" w:hAnsi="Times New Roman" w:cs="Times New Roman"/>
        </w:rPr>
        <w:t xml:space="preserve"> Aside from percentage of Mn content, time representativeness could have also impacted the results.</w:t>
      </w:r>
    </w:p>
    <w:p w:rsidR="000209CE" w:rsidRPr="00785EBA" w:rsidRDefault="00F5156B" w:rsidP="000209CE">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Data from</w:t>
      </w:r>
      <w:r w:rsidR="00AA1FC1" w:rsidRPr="00785EBA">
        <w:rPr>
          <w:rFonts w:ascii="Times New Roman" w:eastAsia="Calibri" w:hAnsi="Times New Roman" w:cs="Times New Roman"/>
        </w:rPr>
        <w:t xml:space="preserve"> Eurometaux and Gasik models were</w:t>
      </w:r>
      <w:r w:rsidRPr="00785EBA">
        <w:rPr>
          <w:rFonts w:ascii="Times New Roman" w:eastAsia="Calibri" w:hAnsi="Times New Roman" w:cs="Times New Roman"/>
        </w:rPr>
        <w:t xml:space="preserve"> approximately 5 to 10 years old. In co</w:t>
      </w:r>
      <w:r w:rsidR="00AA1FC1" w:rsidRPr="00785EBA">
        <w:rPr>
          <w:rFonts w:ascii="Times New Roman" w:eastAsia="Calibri" w:hAnsi="Times New Roman" w:cs="Times New Roman"/>
        </w:rPr>
        <w:t xml:space="preserve">mparison, data from </w:t>
      </w:r>
      <w:r w:rsidR="00AA1FC1" w:rsidRPr="00785EBA">
        <w:rPr>
          <w:rFonts w:ascii="Times New Roman" w:eastAsia="Calibri" w:hAnsi="Times New Roman" w:cs="Times New Roman"/>
          <w:noProof/>
        </w:rPr>
        <w:t>(Haque &amp; Norgate 2013)</w:t>
      </w:r>
      <w:r w:rsidR="00AA1FC1" w:rsidRPr="00785EBA">
        <w:rPr>
          <w:rFonts w:ascii="Times New Roman" w:eastAsia="Calibri" w:hAnsi="Times New Roman" w:cs="Times New Roman"/>
        </w:rPr>
        <w:t xml:space="preserve"> and </w:t>
      </w:r>
      <w:r w:rsidR="00AA1FC1" w:rsidRPr="00785EBA">
        <w:rPr>
          <w:rFonts w:ascii="Times New Roman" w:eastAsia="Calibri" w:hAnsi="Times New Roman" w:cs="Times New Roman"/>
          <w:noProof/>
        </w:rPr>
        <w:t>(thinkStep 2015)</w:t>
      </w:r>
      <w:r w:rsidR="00AA1FC1" w:rsidRPr="00785EBA">
        <w:rPr>
          <w:rFonts w:ascii="Times New Roman" w:eastAsia="Calibri" w:hAnsi="Times New Roman" w:cs="Times New Roman"/>
        </w:rPr>
        <w:t xml:space="preserve"> for LCA </w:t>
      </w:r>
      <w:r w:rsidR="004D2D91" w:rsidRPr="00785EBA">
        <w:rPr>
          <w:rFonts w:ascii="Times New Roman" w:eastAsia="Calibri" w:hAnsi="Times New Roman" w:cs="Times New Roman"/>
        </w:rPr>
        <w:t>GaBi</w:t>
      </w:r>
      <w:r w:rsidR="00AA1FC1" w:rsidRPr="00785EBA">
        <w:rPr>
          <w:rFonts w:ascii="Times New Roman" w:eastAsia="Calibri" w:hAnsi="Times New Roman" w:cs="Times New Roman"/>
        </w:rPr>
        <w:t xml:space="preserve"> software were</w:t>
      </w:r>
      <w:r w:rsidRPr="00785EBA">
        <w:rPr>
          <w:rFonts w:ascii="Times New Roman" w:eastAsia="Calibri" w:hAnsi="Times New Roman" w:cs="Times New Roman"/>
        </w:rPr>
        <w:t xml:space="preserve"> quite recent</w:t>
      </w:r>
      <w:r w:rsidR="00AA1FC1" w:rsidRPr="00785EBA">
        <w:rPr>
          <w:rFonts w:ascii="Times New Roman" w:eastAsia="Calibri" w:hAnsi="Times New Roman" w:cs="Times New Roman"/>
        </w:rPr>
        <w:t xml:space="preserve">, especially </w:t>
      </w:r>
      <w:r w:rsidR="004D2D91" w:rsidRPr="00785EBA">
        <w:rPr>
          <w:rFonts w:ascii="Times New Roman" w:eastAsia="Calibri" w:hAnsi="Times New Roman" w:cs="Times New Roman"/>
        </w:rPr>
        <w:t>GaBi</w:t>
      </w:r>
      <w:r w:rsidR="00AA1FC1" w:rsidRPr="00785EBA">
        <w:rPr>
          <w:rFonts w:ascii="Times New Roman" w:eastAsia="Calibri" w:hAnsi="Times New Roman" w:cs="Times New Roman"/>
        </w:rPr>
        <w:t xml:space="preserve"> where data was from year 2013</w:t>
      </w:r>
      <w:r w:rsidRPr="00785EBA">
        <w:rPr>
          <w:rFonts w:ascii="Times New Roman" w:eastAsia="Calibri" w:hAnsi="Times New Roman" w:cs="Times New Roman"/>
        </w:rPr>
        <w:t xml:space="preserve">. Although the fundamental process route might have stayed the same, the technological improvements might have had a positive impact in reducing emissions and saving resources. </w:t>
      </w:r>
    </w:p>
    <w:p w:rsidR="00AA1FC1" w:rsidRPr="00785EBA" w:rsidRDefault="00AA1FC1" w:rsidP="00AA1FC1">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Finally all Fe-Mn models were compared against one another in terms of energy as shown by </w:t>
      </w:r>
      <w:r w:rsidR="00A6415F" w:rsidRPr="00785EBA">
        <w:fldChar w:fldCharType="begin"/>
      </w:r>
      <w:r w:rsidR="00A6415F" w:rsidRPr="00785EBA">
        <w:instrText xml:space="preserve"> REF _Ref468307043 \h  \* MERGEFORMAT </w:instrText>
      </w:r>
      <w:r w:rsidR="00A6415F" w:rsidRPr="00785EBA">
        <w:fldChar w:fldCharType="separate"/>
      </w:r>
      <w:r w:rsidR="009F5483" w:rsidRPr="00785EBA">
        <w:rPr>
          <w:rFonts w:ascii="Times New Roman" w:hAnsi="Times New Roman" w:cs="Times New Roman"/>
        </w:rPr>
        <w:t xml:space="preserve">Table </w:t>
      </w:r>
      <w:r w:rsidR="009F5483">
        <w:rPr>
          <w:rFonts w:ascii="Times New Roman" w:hAnsi="Times New Roman" w:cs="Times New Roman"/>
          <w:noProof/>
        </w:rPr>
        <w:t>26</w:t>
      </w:r>
      <w:r w:rsidR="00A6415F" w:rsidRPr="00785EBA">
        <w:fldChar w:fldCharType="end"/>
      </w:r>
      <w:r w:rsidRPr="00785EBA">
        <w:rPr>
          <w:rFonts w:ascii="Times New Roman" w:eastAsia="Calibri" w:hAnsi="Times New Roman" w:cs="Times New Roman"/>
        </w:rPr>
        <w:t>.</w:t>
      </w:r>
    </w:p>
    <w:p w:rsidR="00F5156B" w:rsidRPr="00785EBA" w:rsidRDefault="00F5156B" w:rsidP="000209CE">
      <w:pPr>
        <w:spacing w:after="0"/>
        <w:rPr>
          <w:rFonts w:ascii="Times New Roman" w:eastAsia="Calibri" w:hAnsi="Times New Roman" w:cs="Times New Roman"/>
        </w:rPr>
      </w:pPr>
      <w:bookmarkStart w:id="163" w:name="_Ref468307043"/>
      <w:bookmarkStart w:id="164" w:name="_Toc474486534"/>
      <w:bookmarkStart w:id="165" w:name="_Toc495852704"/>
      <w:r w:rsidRPr="00785EBA">
        <w:rPr>
          <w:rFonts w:ascii="Times New Roman" w:hAnsi="Times New Roman" w:cs="Times New Roman"/>
        </w:rPr>
        <w:t xml:space="preserve">Table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Table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26</w:t>
      </w:r>
      <w:r w:rsidR="009A0ED7" w:rsidRPr="00785EBA">
        <w:rPr>
          <w:rFonts w:ascii="Times New Roman" w:hAnsi="Times New Roman" w:cs="Times New Roman"/>
        </w:rPr>
        <w:fldChar w:fldCharType="end"/>
      </w:r>
      <w:bookmarkEnd w:id="163"/>
      <w:r w:rsidRPr="00785EBA">
        <w:rPr>
          <w:rFonts w:ascii="Times New Roman" w:hAnsi="Times New Roman" w:cs="Times New Roman"/>
        </w:rPr>
        <w:t xml:space="preserve">. </w:t>
      </w:r>
      <w:r w:rsidRPr="00785EBA">
        <w:rPr>
          <w:rFonts w:ascii="Times New Roman" w:eastAsia="Calibri" w:hAnsi="Times New Roman" w:cs="Times New Roman"/>
        </w:rPr>
        <w:t>Energy values for all the literature sources utilised to create Fe-Mn.</w:t>
      </w:r>
      <w:bookmarkEnd w:id="164"/>
      <w:bookmarkEnd w:id="1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240"/>
        <w:gridCol w:w="3776"/>
      </w:tblGrid>
      <w:tr w:rsidR="000F39EA" w:rsidRPr="00785EBA" w:rsidTr="00AA1FC1">
        <w:tc>
          <w:tcPr>
            <w:tcW w:w="2906" w:type="pct"/>
            <w:shd w:val="clear" w:color="auto" w:fill="auto"/>
            <w:tcMar>
              <w:left w:w="108" w:type="dxa"/>
              <w:right w:w="108" w:type="dxa"/>
            </w:tcMar>
            <w:vAlign w:val="bottom"/>
          </w:tcPr>
          <w:p w:rsidR="00F5156B" w:rsidRPr="00785EBA" w:rsidRDefault="00AA1FC1" w:rsidP="00AA1FC1">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Type of Model</w:t>
            </w:r>
          </w:p>
        </w:tc>
        <w:tc>
          <w:tcPr>
            <w:tcW w:w="2094" w:type="pct"/>
            <w:shd w:val="clear" w:color="auto" w:fill="auto"/>
            <w:tcMar>
              <w:left w:w="108" w:type="dxa"/>
              <w:right w:w="108" w:type="dxa"/>
            </w:tcMar>
            <w:vAlign w:val="bottom"/>
          </w:tcPr>
          <w:p w:rsidR="00F5156B" w:rsidRPr="00785EBA" w:rsidRDefault="00F5156B" w:rsidP="00AA1FC1">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Energy</w:t>
            </w:r>
            <w:r w:rsidR="00AA1FC1" w:rsidRPr="00785EBA">
              <w:rPr>
                <w:rFonts w:ascii="Times New Roman" w:eastAsia="Calibri" w:hAnsi="Times New Roman" w:cs="Times New Roman"/>
              </w:rPr>
              <w:t xml:space="preserve"> </w:t>
            </w:r>
            <w:r w:rsidRPr="00785EBA">
              <w:rPr>
                <w:rFonts w:ascii="Times New Roman" w:eastAsia="Calibri" w:hAnsi="Times New Roman" w:cs="Times New Roman"/>
              </w:rPr>
              <w:t>(net calorific value) [MJ]</w:t>
            </w:r>
          </w:p>
        </w:tc>
      </w:tr>
      <w:tr w:rsidR="000F39EA" w:rsidRPr="00785EBA" w:rsidTr="00AA1FC1">
        <w:tc>
          <w:tcPr>
            <w:tcW w:w="2906" w:type="pct"/>
            <w:shd w:val="clear" w:color="auto" w:fill="auto"/>
            <w:tcMar>
              <w:left w:w="108" w:type="dxa"/>
              <w:right w:w="108" w:type="dxa"/>
            </w:tcMar>
            <w:vAlign w:val="bottom"/>
          </w:tcPr>
          <w:p w:rsidR="00F5156B" w:rsidRPr="00785EBA" w:rsidRDefault="00F5156B"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Fe-Mn (74-82% Mn) Haque, Version 2</w:t>
            </w:r>
          </w:p>
        </w:tc>
        <w:tc>
          <w:tcPr>
            <w:tcW w:w="2094" w:type="pct"/>
            <w:shd w:val="clear" w:color="auto" w:fill="auto"/>
            <w:tcMar>
              <w:left w:w="108" w:type="dxa"/>
              <w:right w:w="108" w:type="dxa"/>
            </w:tcMar>
            <w:vAlign w:val="bottom"/>
          </w:tcPr>
          <w:p w:rsidR="00F5156B" w:rsidRPr="00785EBA" w:rsidRDefault="00F5156B"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80.40</w:t>
            </w:r>
          </w:p>
        </w:tc>
      </w:tr>
      <w:tr w:rsidR="000F39EA" w:rsidRPr="00785EBA" w:rsidTr="00AA1FC1">
        <w:tc>
          <w:tcPr>
            <w:tcW w:w="2906" w:type="pct"/>
            <w:shd w:val="clear" w:color="auto" w:fill="auto"/>
            <w:tcMar>
              <w:left w:w="108" w:type="dxa"/>
              <w:right w:w="108" w:type="dxa"/>
            </w:tcMar>
            <w:vAlign w:val="bottom"/>
          </w:tcPr>
          <w:p w:rsidR="00F5156B" w:rsidRPr="00785EBA" w:rsidRDefault="00F5156B"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Global Fe-Mn Model</w:t>
            </w:r>
          </w:p>
        </w:tc>
        <w:tc>
          <w:tcPr>
            <w:tcW w:w="2094" w:type="pct"/>
            <w:shd w:val="clear" w:color="auto" w:fill="auto"/>
            <w:tcMar>
              <w:left w:w="108" w:type="dxa"/>
              <w:right w:w="108" w:type="dxa"/>
            </w:tcMar>
            <w:vAlign w:val="bottom"/>
          </w:tcPr>
          <w:p w:rsidR="00F5156B" w:rsidRPr="00785EBA" w:rsidRDefault="00F5156B"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64.37</w:t>
            </w:r>
          </w:p>
        </w:tc>
      </w:tr>
      <w:tr w:rsidR="000F39EA" w:rsidRPr="00785EBA" w:rsidTr="00AA1FC1">
        <w:tc>
          <w:tcPr>
            <w:tcW w:w="2906" w:type="pct"/>
            <w:shd w:val="clear" w:color="auto" w:fill="auto"/>
            <w:tcMar>
              <w:left w:w="108" w:type="dxa"/>
              <w:right w:w="108" w:type="dxa"/>
            </w:tcMar>
            <w:vAlign w:val="bottom"/>
          </w:tcPr>
          <w:p w:rsidR="00F5156B" w:rsidRPr="00785EBA" w:rsidRDefault="00F5156B"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HC Fe-Mn (Eurometeaux)</w:t>
            </w:r>
          </w:p>
        </w:tc>
        <w:tc>
          <w:tcPr>
            <w:tcW w:w="2094" w:type="pct"/>
            <w:shd w:val="clear" w:color="auto" w:fill="auto"/>
            <w:tcMar>
              <w:left w:w="108" w:type="dxa"/>
              <w:right w:w="108" w:type="dxa"/>
            </w:tcMar>
            <w:vAlign w:val="bottom"/>
          </w:tcPr>
          <w:p w:rsidR="00F5156B" w:rsidRPr="00785EBA" w:rsidRDefault="00F5156B"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57.72</w:t>
            </w:r>
          </w:p>
        </w:tc>
      </w:tr>
      <w:tr w:rsidR="000F39EA" w:rsidRPr="00785EBA" w:rsidTr="00AA1FC1">
        <w:tc>
          <w:tcPr>
            <w:tcW w:w="2906" w:type="pct"/>
            <w:shd w:val="clear" w:color="auto" w:fill="auto"/>
            <w:tcMar>
              <w:left w:w="108" w:type="dxa"/>
              <w:right w:w="108" w:type="dxa"/>
            </w:tcMar>
            <w:vAlign w:val="bottom"/>
          </w:tcPr>
          <w:p w:rsidR="00F5156B" w:rsidRPr="00785EBA" w:rsidRDefault="00F5156B"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LC Fe-Mn (Eurometeaux) (Si-Mn Haque)</w:t>
            </w:r>
          </w:p>
        </w:tc>
        <w:tc>
          <w:tcPr>
            <w:tcW w:w="2094" w:type="pct"/>
            <w:shd w:val="clear" w:color="auto" w:fill="auto"/>
            <w:tcMar>
              <w:left w:w="108" w:type="dxa"/>
              <w:right w:w="108" w:type="dxa"/>
            </w:tcMar>
            <w:vAlign w:val="bottom"/>
          </w:tcPr>
          <w:p w:rsidR="00F5156B" w:rsidRPr="00785EBA" w:rsidRDefault="00F5156B"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121.68</w:t>
            </w:r>
          </w:p>
        </w:tc>
      </w:tr>
      <w:tr w:rsidR="000F39EA" w:rsidRPr="00785EBA" w:rsidTr="00AA1FC1">
        <w:tc>
          <w:tcPr>
            <w:tcW w:w="2906" w:type="pct"/>
            <w:shd w:val="clear" w:color="auto" w:fill="auto"/>
            <w:tcMar>
              <w:left w:w="108" w:type="dxa"/>
              <w:right w:w="108" w:type="dxa"/>
            </w:tcMar>
            <w:vAlign w:val="bottom"/>
          </w:tcPr>
          <w:p w:rsidR="00F5156B" w:rsidRPr="00785EBA" w:rsidRDefault="00F5156B"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LC Fe-Mn (Eurometeaux) (Si-Mn Eurometaux)</w:t>
            </w:r>
          </w:p>
        </w:tc>
        <w:tc>
          <w:tcPr>
            <w:tcW w:w="2094" w:type="pct"/>
            <w:shd w:val="clear" w:color="auto" w:fill="auto"/>
            <w:tcMar>
              <w:left w:w="108" w:type="dxa"/>
              <w:right w:w="108" w:type="dxa"/>
            </w:tcMar>
            <w:vAlign w:val="bottom"/>
          </w:tcPr>
          <w:p w:rsidR="00F5156B" w:rsidRPr="00785EBA" w:rsidRDefault="00F5156B"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120.56</w:t>
            </w:r>
          </w:p>
        </w:tc>
      </w:tr>
      <w:tr w:rsidR="000F39EA" w:rsidRPr="00785EBA" w:rsidTr="00AA1FC1">
        <w:tc>
          <w:tcPr>
            <w:tcW w:w="2906" w:type="pct"/>
            <w:shd w:val="clear" w:color="auto" w:fill="auto"/>
            <w:tcMar>
              <w:left w:w="108" w:type="dxa"/>
              <w:right w:w="108" w:type="dxa"/>
            </w:tcMar>
            <w:vAlign w:val="bottom"/>
          </w:tcPr>
          <w:p w:rsidR="00F5156B" w:rsidRPr="00785EBA" w:rsidRDefault="00F5156B"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 xml:space="preserve">HC Fe-Mn (Discard Method) Gasik </w:t>
            </w:r>
          </w:p>
        </w:tc>
        <w:tc>
          <w:tcPr>
            <w:tcW w:w="2094" w:type="pct"/>
            <w:shd w:val="clear" w:color="auto" w:fill="auto"/>
            <w:tcMar>
              <w:left w:w="108" w:type="dxa"/>
              <w:right w:w="108" w:type="dxa"/>
            </w:tcMar>
            <w:vAlign w:val="bottom"/>
          </w:tcPr>
          <w:p w:rsidR="00F5156B" w:rsidRPr="00785EBA" w:rsidRDefault="00F5156B"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84.15</w:t>
            </w:r>
          </w:p>
        </w:tc>
      </w:tr>
      <w:tr w:rsidR="000F39EA" w:rsidRPr="00785EBA" w:rsidTr="00AA1FC1">
        <w:tc>
          <w:tcPr>
            <w:tcW w:w="2906" w:type="pct"/>
            <w:shd w:val="clear" w:color="auto" w:fill="auto"/>
            <w:tcMar>
              <w:left w:w="108" w:type="dxa"/>
              <w:right w:w="108" w:type="dxa"/>
            </w:tcMar>
            <w:vAlign w:val="bottom"/>
          </w:tcPr>
          <w:p w:rsidR="00F5156B" w:rsidRPr="00785EBA" w:rsidRDefault="00F5156B"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 xml:space="preserve">HC Fe-Mn (Duplex Method) Gasik </w:t>
            </w:r>
          </w:p>
        </w:tc>
        <w:tc>
          <w:tcPr>
            <w:tcW w:w="2094" w:type="pct"/>
            <w:shd w:val="clear" w:color="auto" w:fill="auto"/>
            <w:tcMar>
              <w:left w:w="108" w:type="dxa"/>
              <w:right w:w="108" w:type="dxa"/>
            </w:tcMar>
            <w:vAlign w:val="bottom"/>
          </w:tcPr>
          <w:p w:rsidR="00F5156B" w:rsidRPr="00785EBA" w:rsidRDefault="00F5156B"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56.07</w:t>
            </w:r>
          </w:p>
        </w:tc>
      </w:tr>
      <w:tr w:rsidR="000F39EA" w:rsidRPr="00785EBA" w:rsidTr="00AA1FC1">
        <w:tc>
          <w:tcPr>
            <w:tcW w:w="2906" w:type="pct"/>
            <w:shd w:val="clear" w:color="auto" w:fill="auto"/>
            <w:tcMar>
              <w:left w:w="108" w:type="dxa"/>
              <w:right w:w="108" w:type="dxa"/>
            </w:tcMar>
            <w:vAlign w:val="bottom"/>
          </w:tcPr>
          <w:p w:rsidR="00F5156B" w:rsidRPr="00785EBA" w:rsidRDefault="004D2D91"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GaBi</w:t>
            </w:r>
            <w:r w:rsidR="00F5156B" w:rsidRPr="00785EBA">
              <w:rPr>
                <w:rFonts w:ascii="Times New Roman" w:eastAsia="Calibri" w:hAnsi="Times New Roman" w:cs="Times New Roman"/>
              </w:rPr>
              <w:t xml:space="preserve"> HC Fe-Mn (77% Mn)</w:t>
            </w:r>
          </w:p>
        </w:tc>
        <w:tc>
          <w:tcPr>
            <w:tcW w:w="2094" w:type="pct"/>
            <w:shd w:val="clear" w:color="auto" w:fill="auto"/>
            <w:tcMar>
              <w:left w:w="108" w:type="dxa"/>
              <w:right w:w="108" w:type="dxa"/>
            </w:tcMar>
            <w:vAlign w:val="bottom"/>
          </w:tcPr>
          <w:p w:rsidR="00F5156B" w:rsidRPr="00785EBA" w:rsidRDefault="00F5156B"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96.09</w:t>
            </w:r>
          </w:p>
        </w:tc>
      </w:tr>
      <w:tr w:rsidR="000F39EA" w:rsidRPr="00785EBA" w:rsidTr="00AA1FC1">
        <w:tc>
          <w:tcPr>
            <w:tcW w:w="2906" w:type="pct"/>
            <w:shd w:val="clear" w:color="auto" w:fill="auto"/>
            <w:tcMar>
              <w:left w:w="108" w:type="dxa"/>
              <w:right w:w="108" w:type="dxa"/>
            </w:tcMar>
            <w:vAlign w:val="bottom"/>
          </w:tcPr>
          <w:p w:rsidR="00F5156B" w:rsidRPr="00785EBA" w:rsidRDefault="004D2D91"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GaBi</w:t>
            </w:r>
            <w:r w:rsidR="00F5156B" w:rsidRPr="00785EBA">
              <w:rPr>
                <w:rFonts w:ascii="Times New Roman" w:eastAsia="Calibri" w:hAnsi="Times New Roman" w:cs="Times New Roman"/>
              </w:rPr>
              <w:t xml:space="preserve"> LC Fe-Mn (90% Mn)</w:t>
            </w:r>
          </w:p>
        </w:tc>
        <w:tc>
          <w:tcPr>
            <w:tcW w:w="2094" w:type="pct"/>
            <w:shd w:val="clear" w:color="auto" w:fill="auto"/>
            <w:tcMar>
              <w:left w:w="108" w:type="dxa"/>
              <w:right w:w="108" w:type="dxa"/>
            </w:tcMar>
            <w:vAlign w:val="bottom"/>
          </w:tcPr>
          <w:p w:rsidR="00F5156B" w:rsidRPr="00785EBA" w:rsidRDefault="00F5156B" w:rsidP="000209CE">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102.49</w:t>
            </w:r>
          </w:p>
        </w:tc>
      </w:tr>
    </w:tbl>
    <w:p w:rsidR="00F5156B" w:rsidRPr="00785EBA" w:rsidRDefault="00F5156B" w:rsidP="000209CE">
      <w:pPr>
        <w:spacing w:after="0" w:line="360" w:lineRule="auto"/>
        <w:ind w:firstLine="720"/>
        <w:jc w:val="both"/>
        <w:rPr>
          <w:rFonts w:ascii="Times New Roman" w:eastAsia="Calibri" w:hAnsi="Times New Roman" w:cs="Times New Roman"/>
        </w:rPr>
      </w:pPr>
    </w:p>
    <w:p w:rsidR="007C7B5E" w:rsidRPr="00785EBA" w:rsidRDefault="00A6415F" w:rsidP="007C7B5E">
      <w:pPr>
        <w:spacing w:after="0" w:line="360" w:lineRule="auto"/>
        <w:ind w:firstLine="720"/>
        <w:jc w:val="both"/>
        <w:rPr>
          <w:rFonts w:ascii="Times New Roman" w:eastAsia="Calibri" w:hAnsi="Times New Roman" w:cs="Times New Roman"/>
        </w:rPr>
      </w:pPr>
      <w:r w:rsidRPr="00785EBA">
        <w:fldChar w:fldCharType="begin"/>
      </w:r>
      <w:r w:rsidRPr="00785EBA">
        <w:instrText xml:space="preserve"> REF _Ref468307043 \h  \* MERGEFORMAT </w:instrText>
      </w:r>
      <w:r w:rsidRPr="00785EBA">
        <w:fldChar w:fldCharType="separate"/>
      </w:r>
      <w:r w:rsidR="009F5483" w:rsidRPr="00785EBA">
        <w:rPr>
          <w:rFonts w:ascii="Times New Roman" w:hAnsi="Times New Roman" w:cs="Times New Roman"/>
        </w:rPr>
        <w:t xml:space="preserve">Table </w:t>
      </w:r>
      <w:r w:rsidR="009F5483">
        <w:rPr>
          <w:rFonts w:ascii="Times New Roman" w:hAnsi="Times New Roman" w:cs="Times New Roman"/>
          <w:noProof/>
        </w:rPr>
        <w:t>26</w:t>
      </w:r>
      <w:r w:rsidRPr="00785EBA">
        <w:fldChar w:fldCharType="end"/>
      </w:r>
      <w:r w:rsidR="00F5156B" w:rsidRPr="00785EBA">
        <w:rPr>
          <w:rFonts w:ascii="Times New Roman" w:eastAsia="Calibri" w:hAnsi="Times New Roman" w:cs="Times New Roman"/>
        </w:rPr>
        <w:t xml:space="preserve"> illustrates the individual energy value for all Fe-Mn models created. HC Fe-Mn (Duplex) had the lowest value as would be expected since it had the lowest electricity (2200 kWh/t) and carbon (350kg/t) in</w:t>
      </w:r>
      <w:r w:rsidR="007C7B5E" w:rsidRPr="00785EBA">
        <w:rPr>
          <w:rFonts w:ascii="Times New Roman" w:eastAsia="Calibri" w:hAnsi="Times New Roman" w:cs="Times New Roman"/>
        </w:rPr>
        <w:t xml:space="preserve">puts from all Fe-Mn processes. </w:t>
      </w:r>
    </w:p>
    <w:p w:rsidR="000209CE" w:rsidRPr="00785EBA" w:rsidRDefault="00F5156B" w:rsidP="007C7B5E">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HC Fe-Mn from Eurometaux had identical inputs in terms of electricity (2200 kWh/t) and carbon (410 kg/t), in comparison to HC Fe-Mn (Duplex) and so unsurprisingl</w:t>
      </w:r>
      <w:r w:rsidR="000209CE" w:rsidRPr="00785EBA">
        <w:rPr>
          <w:rFonts w:ascii="Times New Roman" w:eastAsia="Calibri" w:hAnsi="Times New Roman" w:cs="Times New Roman"/>
        </w:rPr>
        <w:t xml:space="preserve">y also had a low energy value. </w:t>
      </w:r>
    </w:p>
    <w:p w:rsidR="000209CE" w:rsidRPr="00785EBA" w:rsidRDefault="00F5156B" w:rsidP="000209CE">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The LC Fe-Mn models from Eurometaux had predictably high energy values, not purely from electricity but a combination of electricity and other mass inputs such as ca</w:t>
      </w:r>
      <w:r w:rsidR="00717881">
        <w:rPr>
          <w:rFonts w:ascii="Times New Roman" w:eastAsia="Calibri" w:hAnsi="Times New Roman" w:cs="Times New Roman"/>
        </w:rPr>
        <w:t>rbon</w:t>
      </w:r>
      <w:r w:rsidRPr="00785EBA">
        <w:rPr>
          <w:rFonts w:ascii="Times New Roman" w:eastAsia="Calibri" w:hAnsi="Times New Roman" w:cs="Times New Roman"/>
        </w:rPr>
        <w:t xml:space="preserve">, limestone and in particular Si-Mn. </w:t>
      </w:r>
    </w:p>
    <w:p w:rsidR="000209CE" w:rsidRPr="00785EBA" w:rsidRDefault="00F5156B" w:rsidP="000209CE">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If input of electricity was solely the key variable, then HC Fe-Mn (Discard) would have had the largest energy value, since it had the largest electricity input (3306 kWh/t) from all Fe-Mn processes. However con</w:t>
      </w:r>
      <w:r w:rsidR="007C7B5E" w:rsidRPr="00785EBA">
        <w:rPr>
          <w:rFonts w:ascii="Times New Roman" w:eastAsia="Calibri" w:hAnsi="Times New Roman" w:cs="Times New Roman"/>
        </w:rPr>
        <w:t>tributions from other inputs were</w:t>
      </w:r>
      <w:r w:rsidRPr="00785EBA">
        <w:rPr>
          <w:rFonts w:ascii="Times New Roman" w:eastAsia="Calibri" w:hAnsi="Times New Roman" w:cs="Times New Roman"/>
        </w:rPr>
        <w:t xml:space="preserve"> also significant and the results disprove this. </w:t>
      </w:r>
    </w:p>
    <w:p w:rsidR="000209CE" w:rsidRPr="00785EBA" w:rsidRDefault="0098236B" w:rsidP="000209CE">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For the global Fe-Mn model the ene</w:t>
      </w:r>
      <w:r w:rsidR="007C7B5E" w:rsidRPr="00785EBA">
        <w:rPr>
          <w:rFonts w:ascii="Times New Roman" w:eastAsia="Calibri" w:hAnsi="Times New Roman" w:cs="Times New Roman"/>
        </w:rPr>
        <w:t>rgy value was lower than Haque Version 2. This was</w:t>
      </w:r>
      <w:r w:rsidRPr="00785EBA">
        <w:rPr>
          <w:rFonts w:ascii="Times New Roman" w:eastAsia="Calibri" w:hAnsi="Times New Roman" w:cs="Times New Roman"/>
        </w:rPr>
        <w:t xml:space="preserve"> expected due to the make-up of the average electricity grid mix. Although the percentage of coal as the source of electricity between the three nations making up the average process (China (76%), South </w:t>
      </w:r>
      <w:r w:rsidR="007C7B5E" w:rsidRPr="00785EBA">
        <w:rPr>
          <w:rFonts w:ascii="Times New Roman" w:eastAsia="Calibri" w:hAnsi="Times New Roman" w:cs="Times New Roman"/>
        </w:rPr>
        <w:lastRenderedPageBreak/>
        <w:t>Africa (93%) and India (71%)) are</w:t>
      </w:r>
      <w:r w:rsidRPr="00785EBA">
        <w:rPr>
          <w:rFonts w:ascii="Times New Roman" w:eastAsia="Calibri" w:hAnsi="Times New Roman" w:cs="Times New Roman"/>
        </w:rPr>
        <w:t xml:space="preserve"> higher than Australia (69%) from the original source. This is offset by the global production for each of these countries – China (49.40%), South Africa (11.45%) and India (7.28%). China and India, individually would be higher in terms of energy but combined as an average along with factoring in global production, the average value is lower than Australia.</w:t>
      </w:r>
    </w:p>
    <w:p w:rsidR="0098236B" w:rsidRPr="00785EBA" w:rsidRDefault="0098236B" w:rsidP="000209CE">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Analysis of the </w:t>
      </w:r>
      <w:r w:rsidR="004D2D91" w:rsidRPr="00785EBA">
        <w:rPr>
          <w:rFonts w:ascii="Times New Roman" w:eastAsia="Calibri" w:hAnsi="Times New Roman" w:cs="Times New Roman"/>
        </w:rPr>
        <w:t>GaBi</w:t>
      </w:r>
      <w:r w:rsidRPr="00785EBA">
        <w:rPr>
          <w:rFonts w:ascii="Times New Roman" w:eastAsia="Calibri" w:hAnsi="Times New Roman" w:cs="Times New Roman"/>
        </w:rPr>
        <w:t xml:space="preserve"> results for Fe-Mn could not be conducted in detail due to lack of detailed data for raw material and energy inputs utilised in its own models. </w:t>
      </w:r>
    </w:p>
    <w:p w:rsidR="003046CD" w:rsidRPr="00785EBA" w:rsidRDefault="0098236B" w:rsidP="003046CD">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Critical evaluation of all the models, has led to the d</w:t>
      </w:r>
      <w:r w:rsidR="003046CD" w:rsidRPr="00785EBA">
        <w:rPr>
          <w:rFonts w:ascii="Times New Roman" w:eastAsia="Calibri" w:hAnsi="Times New Roman" w:cs="Times New Roman"/>
        </w:rPr>
        <w:t xml:space="preserve">ecision to select </w:t>
      </w:r>
      <w:r w:rsidRPr="00785EBA">
        <w:rPr>
          <w:rFonts w:ascii="Times New Roman" w:eastAsia="Calibri" w:hAnsi="Times New Roman" w:cs="Times New Roman"/>
        </w:rPr>
        <w:t>models</w:t>
      </w:r>
      <w:r w:rsidR="003046CD" w:rsidRPr="00785EBA">
        <w:rPr>
          <w:rFonts w:ascii="Times New Roman" w:eastAsia="Calibri" w:hAnsi="Times New Roman" w:cs="Times New Roman"/>
        </w:rPr>
        <w:t xml:space="preserve"> depicted by </w:t>
      </w:r>
      <w:r w:rsidR="00A6415F" w:rsidRPr="00785EBA">
        <w:fldChar w:fldCharType="begin"/>
      </w:r>
      <w:r w:rsidR="00A6415F" w:rsidRPr="00785EBA">
        <w:instrText xml:space="preserve"> REF _Ref474360926 \h  \* MERGEFORMAT </w:instrText>
      </w:r>
      <w:r w:rsidR="00A6415F" w:rsidRPr="00785EBA">
        <w:fldChar w:fldCharType="separate"/>
      </w:r>
      <w:r w:rsidR="009F5483" w:rsidRPr="00785EBA">
        <w:rPr>
          <w:rFonts w:ascii="Times New Roman" w:hAnsi="Times New Roman" w:cs="Times New Roman"/>
        </w:rPr>
        <w:t xml:space="preserve">Figure </w:t>
      </w:r>
      <w:r w:rsidR="009F5483">
        <w:rPr>
          <w:rFonts w:ascii="Times New Roman" w:hAnsi="Times New Roman" w:cs="Times New Roman"/>
          <w:noProof/>
        </w:rPr>
        <w:t>36</w:t>
      </w:r>
      <w:r w:rsidR="00A6415F" w:rsidRPr="00785EBA">
        <w:fldChar w:fldCharType="end"/>
      </w:r>
      <w:r w:rsidR="003046CD" w:rsidRPr="00785EBA">
        <w:rPr>
          <w:rFonts w:ascii="Times New Roman" w:eastAsia="Calibri" w:hAnsi="Times New Roman" w:cs="Times New Roman"/>
        </w:rPr>
        <w:t xml:space="preserve"> and </w:t>
      </w:r>
      <w:r w:rsidR="00A6415F" w:rsidRPr="00785EBA">
        <w:fldChar w:fldCharType="begin"/>
      </w:r>
      <w:r w:rsidR="00A6415F" w:rsidRPr="00785EBA">
        <w:instrText xml:space="preserve"> REF _Ref474360928 \h  \* MERGEFORMAT </w:instrText>
      </w:r>
      <w:r w:rsidR="00A6415F" w:rsidRPr="00785EBA">
        <w:fldChar w:fldCharType="separate"/>
      </w:r>
      <w:r w:rsidR="009F5483" w:rsidRPr="00EB640D">
        <w:rPr>
          <w:rFonts w:ascii="Times New Roman" w:hAnsi="Times New Roman" w:cs="Times New Roman"/>
          <w:noProof/>
        </w:rPr>
        <w:t>Figure</w:t>
      </w:r>
      <w:r w:rsidR="009F5483" w:rsidRPr="00EB640D">
        <w:rPr>
          <w:rFonts w:ascii="Times New Roman" w:hAnsi="Times New Roman" w:cs="Times New Roman"/>
        </w:rPr>
        <w:t xml:space="preserve"> </w:t>
      </w:r>
      <w:r w:rsidR="009F5483">
        <w:rPr>
          <w:rFonts w:ascii="Times New Roman" w:hAnsi="Times New Roman" w:cs="Times New Roman"/>
          <w:noProof/>
        </w:rPr>
        <w:t>37</w:t>
      </w:r>
      <w:r w:rsidR="00A6415F" w:rsidRPr="00785EBA">
        <w:fldChar w:fldCharType="end"/>
      </w:r>
      <w:r w:rsidRPr="00785EBA">
        <w:rPr>
          <w:rFonts w:ascii="Times New Roman" w:eastAsia="Calibri" w:hAnsi="Times New Roman" w:cs="Times New Roman"/>
        </w:rPr>
        <w:t xml:space="preserve"> in applications to grades of steel.</w:t>
      </w:r>
      <w:r w:rsidR="003046CD" w:rsidRPr="00785EBA">
        <w:rPr>
          <w:rFonts w:ascii="Times New Roman" w:eastAsia="Calibri" w:hAnsi="Times New Roman" w:cs="Times New Roman"/>
        </w:rPr>
        <w:t xml:space="preserve"> Global Fe-Mn model was selected as the HC Fe-Mn model of interest for the </w:t>
      </w:r>
      <w:r w:rsidR="00D56605" w:rsidRPr="00785EBA">
        <w:rPr>
          <w:rFonts w:ascii="Times New Roman" w:eastAsia="Calibri" w:hAnsi="Times New Roman" w:cs="Times New Roman"/>
        </w:rPr>
        <w:t>grades of steel work</w:t>
      </w:r>
      <w:r w:rsidR="003046CD" w:rsidRPr="00785EBA">
        <w:rPr>
          <w:rFonts w:ascii="Times New Roman" w:eastAsia="Calibri" w:hAnsi="Times New Roman" w:cs="Times New Roman"/>
        </w:rPr>
        <w:t xml:space="preserve">. This was because it had a unique modelling method as well as the inputs and outputs relating to the model being well understood. </w:t>
      </w:r>
    </w:p>
    <w:p w:rsidR="0098236B" w:rsidRPr="00785EBA" w:rsidRDefault="0098236B" w:rsidP="000209CE">
      <w:pPr>
        <w:spacing w:after="0" w:line="360" w:lineRule="auto"/>
        <w:ind w:firstLine="720"/>
        <w:jc w:val="both"/>
        <w:rPr>
          <w:rFonts w:ascii="Times New Roman" w:eastAsia="Calibri" w:hAnsi="Times New Roman" w:cs="Times New Roman"/>
        </w:rPr>
      </w:pPr>
    </w:p>
    <w:p w:rsidR="0098236B" w:rsidRPr="00785EBA" w:rsidRDefault="0098236B" w:rsidP="000209CE">
      <w:pPr>
        <w:spacing w:after="0" w:line="360" w:lineRule="auto"/>
        <w:ind w:firstLine="720"/>
        <w:jc w:val="center"/>
        <w:rPr>
          <w:rFonts w:ascii="Times New Roman" w:eastAsia="Calibri" w:hAnsi="Times New Roman" w:cs="Times New Roman"/>
        </w:rPr>
      </w:pPr>
      <w:r w:rsidRPr="00785EBA">
        <w:rPr>
          <w:noProof/>
        </w:rPr>
        <w:drawing>
          <wp:inline distT="0" distB="0" distL="0" distR="0">
            <wp:extent cx="4586758" cy="2404997"/>
            <wp:effectExtent l="0" t="0" r="4445" b="0"/>
            <wp:docPr id="4"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srcRect l="21062" t="17702" r="20741" b="28048"/>
                    <a:stretch/>
                  </pic:blipFill>
                  <pic:spPr bwMode="auto">
                    <a:xfrm>
                      <a:off x="0" y="0"/>
                      <a:ext cx="4621354" cy="2423137"/>
                    </a:xfrm>
                    <a:prstGeom prst="rect">
                      <a:avLst/>
                    </a:prstGeom>
                    <a:ln>
                      <a:noFill/>
                    </a:ln>
                    <a:extLst>
                      <a:ext uri="{53640926-AAD7-44D8-BBD7-CCE9431645EC}">
                        <a14:shadowObscured xmlns:a14="http://schemas.microsoft.com/office/drawing/2010/main"/>
                      </a:ext>
                    </a:extLst>
                  </pic:spPr>
                </pic:pic>
              </a:graphicData>
            </a:graphic>
          </wp:inline>
        </w:drawing>
      </w:r>
    </w:p>
    <w:p w:rsidR="0098236B" w:rsidRPr="00785EBA" w:rsidRDefault="0098236B" w:rsidP="000209CE">
      <w:pPr>
        <w:spacing w:after="0"/>
        <w:rPr>
          <w:rFonts w:ascii="Times New Roman" w:eastAsia="Calibri" w:hAnsi="Times New Roman" w:cs="Times New Roman"/>
        </w:rPr>
      </w:pPr>
      <w:bookmarkStart w:id="166" w:name="_Ref474360926"/>
      <w:bookmarkStart w:id="167" w:name="_Toc495848369"/>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36</w:t>
      </w:r>
      <w:r w:rsidR="009A0ED7" w:rsidRPr="00785EBA">
        <w:rPr>
          <w:rFonts w:ascii="Times New Roman" w:hAnsi="Times New Roman" w:cs="Times New Roman"/>
        </w:rPr>
        <w:fldChar w:fldCharType="end"/>
      </w:r>
      <w:bookmarkEnd w:id="166"/>
      <w:r w:rsidRPr="00785EBA">
        <w:rPr>
          <w:rFonts w:ascii="Times New Roman" w:hAnsi="Times New Roman" w:cs="Times New Roman"/>
        </w:rPr>
        <w:t xml:space="preserve">. </w:t>
      </w:r>
      <w:r w:rsidRPr="00785EBA">
        <w:rPr>
          <w:rFonts w:ascii="Times New Roman" w:eastAsia="Calibri" w:hAnsi="Times New Roman" w:cs="Times New Roman"/>
        </w:rPr>
        <w:t>Global Fe-Mn model created from data source Haque.</w:t>
      </w:r>
      <w:bookmarkEnd w:id="167"/>
    </w:p>
    <w:p w:rsidR="003046CD" w:rsidRPr="00785EBA" w:rsidRDefault="003046CD" w:rsidP="003046CD">
      <w:pPr>
        <w:spacing w:after="0" w:line="360" w:lineRule="auto"/>
        <w:ind w:firstLine="720"/>
        <w:jc w:val="both"/>
        <w:rPr>
          <w:rFonts w:ascii="Times New Roman" w:eastAsia="Calibri" w:hAnsi="Times New Roman" w:cs="Times New Roman"/>
        </w:rPr>
      </w:pPr>
    </w:p>
    <w:p w:rsidR="003046CD" w:rsidRPr="00785EBA" w:rsidRDefault="003046CD" w:rsidP="003046CD">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For LC Fe-Mn the process from Eurometaux was selected alongside the Si-Mn also created from the same data source. </w:t>
      </w:r>
    </w:p>
    <w:p w:rsidR="003046CD" w:rsidRPr="00785EBA" w:rsidRDefault="003046CD" w:rsidP="000209CE">
      <w:pPr>
        <w:spacing w:after="0"/>
        <w:rPr>
          <w:rFonts w:ascii="Times New Roman" w:eastAsia="Calibri" w:hAnsi="Times New Roman" w:cs="Times New Roman"/>
        </w:rPr>
      </w:pPr>
    </w:p>
    <w:p w:rsidR="0098236B" w:rsidRPr="00EB640D" w:rsidRDefault="0098236B" w:rsidP="000209CE">
      <w:pPr>
        <w:spacing w:after="0" w:line="360" w:lineRule="auto"/>
        <w:ind w:firstLine="720"/>
        <w:jc w:val="center"/>
        <w:rPr>
          <w:rFonts w:ascii="Times New Roman" w:eastAsia="Calibri" w:hAnsi="Times New Roman" w:cs="Times New Roman"/>
        </w:rPr>
      </w:pPr>
      <w:r w:rsidRPr="00EB640D">
        <w:rPr>
          <w:noProof/>
        </w:rPr>
        <w:drawing>
          <wp:inline distT="0" distB="0" distL="0" distR="0">
            <wp:extent cx="4672208" cy="2121017"/>
            <wp:effectExtent l="0" t="0" r="0" b="0"/>
            <wp:docPr id="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srcRect l="32172" t="52194" r="25080" b="13306"/>
                    <a:stretch/>
                  </pic:blipFill>
                  <pic:spPr bwMode="auto">
                    <a:xfrm>
                      <a:off x="0" y="0"/>
                      <a:ext cx="4699727" cy="2133510"/>
                    </a:xfrm>
                    <a:prstGeom prst="rect">
                      <a:avLst/>
                    </a:prstGeom>
                    <a:ln>
                      <a:noFill/>
                    </a:ln>
                    <a:extLst>
                      <a:ext uri="{53640926-AAD7-44D8-BBD7-CCE9431645EC}">
                        <a14:shadowObscured xmlns:a14="http://schemas.microsoft.com/office/drawing/2010/main"/>
                      </a:ext>
                    </a:extLst>
                  </pic:spPr>
                </pic:pic>
              </a:graphicData>
            </a:graphic>
          </wp:inline>
        </w:drawing>
      </w:r>
    </w:p>
    <w:p w:rsidR="0098236B" w:rsidRDefault="0098236B" w:rsidP="003046CD">
      <w:pPr>
        <w:spacing w:after="0"/>
        <w:rPr>
          <w:rFonts w:ascii="Times New Roman" w:eastAsia="Calibri" w:hAnsi="Times New Roman" w:cs="Times New Roman"/>
        </w:rPr>
      </w:pPr>
      <w:bookmarkStart w:id="168" w:name="_Ref474360928"/>
      <w:bookmarkStart w:id="169" w:name="_Toc495848370"/>
      <w:r w:rsidRPr="00EB640D">
        <w:rPr>
          <w:rFonts w:ascii="Times New Roman" w:hAnsi="Times New Roman" w:cs="Times New Roman"/>
        </w:rPr>
        <w:t xml:space="preserve">Figure </w:t>
      </w:r>
      <w:r w:rsidR="009A0ED7" w:rsidRPr="00EB640D">
        <w:rPr>
          <w:rFonts w:ascii="Times New Roman" w:hAnsi="Times New Roman" w:cs="Times New Roman"/>
        </w:rPr>
        <w:fldChar w:fldCharType="begin"/>
      </w:r>
      <w:r w:rsidRPr="00EB640D">
        <w:rPr>
          <w:rFonts w:ascii="Times New Roman" w:hAnsi="Times New Roman" w:cs="Times New Roman"/>
        </w:rPr>
        <w:instrText xml:space="preserve"> SEQ Figure \* ARABIC </w:instrText>
      </w:r>
      <w:r w:rsidR="009A0ED7" w:rsidRPr="00EB640D">
        <w:rPr>
          <w:rFonts w:ascii="Times New Roman" w:hAnsi="Times New Roman" w:cs="Times New Roman"/>
        </w:rPr>
        <w:fldChar w:fldCharType="separate"/>
      </w:r>
      <w:r w:rsidR="009F5483">
        <w:rPr>
          <w:rFonts w:ascii="Times New Roman" w:hAnsi="Times New Roman" w:cs="Times New Roman"/>
          <w:noProof/>
        </w:rPr>
        <w:t>37</w:t>
      </w:r>
      <w:r w:rsidR="009A0ED7" w:rsidRPr="00EB640D">
        <w:rPr>
          <w:rFonts w:ascii="Times New Roman" w:hAnsi="Times New Roman" w:cs="Times New Roman"/>
        </w:rPr>
        <w:fldChar w:fldCharType="end"/>
      </w:r>
      <w:bookmarkEnd w:id="168"/>
      <w:r w:rsidRPr="00EB640D">
        <w:rPr>
          <w:rFonts w:ascii="Times New Roman" w:hAnsi="Times New Roman" w:cs="Times New Roman"/>
        </w:rPr>
        <w:t xml:space="preserve">. </w:t>
      </w:r>
      <w:r w:rsidRPr="00EB640D">
        <w:rPr>
          <w:rFonts w:ascii="Times New Roman" w:eastAsia="Calibri" w:hAnsi="Times New Roman" w:cs="Times New Roman"/>
        </w:rPr>
        <w:t>LC Fe-Mn production (Si-Mn Eurometaux) from Eurometaux data.</w:t>
      </w:r>
      <w:bookmarkEnd w:id="169"/>
    </w:p>
    <w:p w:rsidR="00785EBA" w:rsidRPr="00EB640D" w:rsidRDefault="00785EBA" w:rsidP="003046CD">
      <w:pPr>
        <w:spacing w:after="0"/>
        <w:rPr>
          <w:rFonts w:ascii="Times New Roman" w:eastAsia="Calibri" w:hAnsi="Times New Roman" w:cs="Times New Roman"/>
        </w:rPr>
      </w:pPr>
    </w:p>
    <w:p w:rsidR="00785EBA" w:rsidRDefault="00785EBA" w:rsidP="000209CE">
      <w:pPr>
        <w:spacing w:line="360" w:lineRule="auto"/>
        <w:jc w:val="both"/>
        <w:rPr>
          <w:rFonts w:ascii="Times New Roman" w:eastAsia="Calibri" w:hAnsi="Times New Roman" w:cs="Times New Roman"/>
        </w:rPr>
        <w:sectPr w:rsidR="00785EBA" w:rsidSect="00C24042">
          <w:pgSz w:w="11906" w:h="16838"/>
          <w:pgMar w:top="1440" w:right="1440" w:bottom="1440" w:left="1440" w:header="708" w:footer="708" w:gutter="0"/>
          <w:cols w:space="708"/>
          <w:docGrid w:linePitch="360"/>
        </w:sectPr>
      </w:pPr>
    </w:p>
    <w:p w:rsidR="0098236B" w:rsidRPr="00EB640D" w:rsidRDefault="000F272E" w:rsidP="0098236B">
      <w:pPr>
        <w:pStyle w:val="Heading2"/>
        <w:rPr>
          <w:rFonts w:eastAsia="Calibri Light"/>
        </w:rPr>
      </w:pPr>
      <w:r w:rsidRPr="00EB640D">
        <w:rPr>
          <w:rFonts w:eastAsia="Calibri Light"/>
        </w:rPr>
        <w:lastRenderedPageBreak/>
        <w:t>7</w:t>
      </w:r>
      <w:r w:rsidR="00B86672" w:rsidRPr="00EB640D">
        <w:rPr>
          <w:rFonts w:eastAsia="Calibri Light"/>
        </w:rPr>
        <w:t>.4. Ferro</w:t>
      </w:r>
      <w:r w:rsidRPr="00EB640D">
        <w:rPr>
          <w:rFonts w:eastAsia="Calibri Light"/>
        </w:rPr>
        <w:t xml:space="preserve">-Molybdenum </w:t>
      </w:r>
    </w:p>
    <w:p w:rsidR="0098236B" w:rsidRPr="00EB640D" w:rsidRDefault="0098236B" w:rsidP="00CF066D">
      <w:pPr>
        <w:spacing w:line="360" w:lineRule="auto"/>
        <w:jc w:val="center"/>
        <w:rPr>
          <w:rFonts w:ascii="Times New Roman" w:eastAsia="Calibri" w:hAnsi="Times New Roman" w:cs="Times New Roman"/>
        </w:rPr>
      </w:pPr>
      <w:r w:rsidRPr="00EB640D">
        <w:rPr>
          <w:noProof/>
        </w:rPr>
        <w:drawing>
          <wp:inline distT="0" distB="0" distL="0" distR="0">
            <wp:extent cx="4283901" cy="2855935"/>
            <wp:effectExtent l="0" t="0" r="2540" b="1905"/>
            <wp:docPr id="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98236B" w:rsidRPr="00EB640D" w:rsidRDefault="0098236B" w:rsidP="0098236B">
      <w:pPr>
        <w:rPr>
          <w:rFonts w:ascii="Times New Roman" w:eastAsia="Calibri" w:hAnsi="Times New Roman" w:cs="Times New Roman"/>
        </w:rPr>
      </w:pPr>
      <w:bookmarkStart w:id="170" w:name="_Ref468307307"/>
      <w:bookmarkStart w:id="171" w:name="_Toc495848371"/>
      <w:r w:rsidRPr="00EB640D">
        <w:rPr>
          <w:rFonts w:ascii="Times New Roman" w:hAnsi="Times New Roman" w:cs="Times New Roman"/>
        </w:rPr>
        <w:t xml:space="preserve">Figure </w:t>
      </w:r>
      <w:r w:rsidR="009A0ED7" w:rsidRPr="00EB640D">
        <w:rPr>
          <w:rFonts w:ascii="Times New Roman" w:hAnsi="Times New Roman" w:cs="Times New Roman"/>
        </w:rPr>
        <w:fldChar w:fldCharType="begin"/>
      </w:r>
      <w:r w:rsidRPr="00EB640D">
        <w:rPr>
          <w:rFonts w:ascii="Times New Roman" w:hAnsi="Times New Roman" w:cs="Times New Roman"/>
        </w:rPr>
        <w:instrText xml:space="preserve"> SEQ Figure \* ARABIC </w:instrText>
      </w:r>
      <w:r w:rsidR="009A0ED7" w:rsidRPr="00EB640D">
        <w:rPr>
          <w:rFonts w:ascii="Times New Roman" w:hAnsi="Times New Roman" w:cs="Times New Roman"/>
        </w:rPr>
        <w:fldChar w:fldCharType="separate"/>
      </w:r>
      <w:r w:rsidR="009F5483">
        <w:rPr>
          <w:rFonts w:ascii="Times New Roman" w:hAnsi="Times New Roman" w:cs="Times New Roman"/>
          <w:noProof/>
        </w:rPr>
        <w:t>38</w:t>
      </w:r>
      <w:r w:rsidR="009A0ED7" w:rsidRPr="00EB640D">
        <w:rPr>
          <w:rFonts w:ascii="Times New Roman" w:hAnsi="Times New Roman" w:cs="Times New Roman"/>
        </w:rPr>
        <w:fldChar w:fldCharType="end"/>
      </w:r>
      <w:bookmarkEnd w:id="170"/>
      <w:r w:rsidRPr="00EB640D">
        <w:rPr>
          <w:rFonts w:ascii="Times New Roman" w:hAnsi="Times New Roman" w:cs="Times New Roman"/>
        </w:rPr>
        <w:t xml:space="preserve">. </w:t>
      </w:r>
      <w:r w:rsidRPr="00EB640D">
        <w:rPr>
          <w:rFonts w:ascii="Times New Roman" w:eastAsia="Calibri" w:hAnsi="Times New Roman" w:cs="Times New Roman"/>
        </w:rPr>
        <w:t xml:space="preserve">Comparison of Fe-Mo production from both IMOA and </w:t>
      </w:r>
      <w:r w:rsidR="004D2D91" w:rsidRPr="00EB640D">
        <w:rPr>
          <w:rFonts w:ascii="Times New Roman" w:eastAsia="Calibri" w:hAnsi="Times New Roman" w:cs="Times New Roman"/>
        </w:rPr>
        <w:t>GaBi</w:t>
      </w:r>
      <w:r w:rsidRPr="00EB640D">
        <w:rPr>
          <w:rFonts w:ascii="Times New Roman" w:eastAsia="Calibri" w:hAnsi="Times New Roman" w:cs="Times New Roman"/>
        </w:rPr>
        <w:t>.</w:t>
      </w:r>
      <w:bookmarkEnd w:id="171"/>
    </w:p>
    <w:p w:rsidR="00720912" w:rsidRPr="00785EBA" w:rsidRDefault="00EB4218" w:rsidP="00720912">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For Fe-Mo, </w:t>
      </w:r>
      <w:r w:rsidR="009B04E2" w:rsidRPr="00785EBA">
        <w:rPr>
          <w:rFonts w:ascii="Times New Roman" w:eastAsia="Calibri" w:hAnsi="Times New Roman" w:cs="Times New Roman"/>
        </w:rPr>
        <w:t xml:space="preserve">limited data availability resulted in the creation of a single model. This was evaluated against a process from </w:t>
      </w:r>
      <w:r w:rsidR="004D2D91" w:rsidRPr="00785EBA">
        <w:rPr>
          <w:rFonts w:ascii="Times New Roman" w:eastAsia="Calibri" w:hAnsi="Times New Roman" w:cs="Times New Roman"/>
        </w:rPr>
        <w:t>GaBi</w:t>
      </w:r>
      <w:r w:rsidR="009B04E2" w:rsidRPr="00785EBA">
        <w:rPr>
          <w:rFonts w:ascii="Times New Roman" w:eastAsia="Calibri" w:hAnsi="Times New Roman" w:cs="Times New Roman"/>
        </w:rPr>
        <w:t xml:space="preserve"> as shown by </w:t>
      </w:r>
      <w:r w:rsidR="00A6415F" w:rsidRPr="00785EBA">
        <w:fldChar w:fldCharType="begin"/>
      </w:r>
      <w:r w:rsidR="00A6415F" w:rsidRPr="00785EBA">
        <w:instrText xml:space="preserve"> REF _Ref468307307 \h  \* MERGEFORMAT </w:instrText>
      </w:r>
      <w:r w:rsidR="00A6415F" w:rsidRPr="00785EBA">
        <w:fldChar w:fldCharType="separate"/>
      </w:r>
      <w:r w:rsidR="009F5483" w:rsidRPr="00EB640D">
        <w:rPr>
          <w:rFonts w:ascii="Times New Roman" w:hAnsi="Times New Roman" w:cs="Times New Roman"/>
        </w:rPr>
        <w:t xml:space="preserve">Figure </w:t>
      </w:r>
      <w:r w:rsidR="009F5483">
        <w:rPr>
          <w:rFonts w:ascii="Times New Roman" w:hAnsi="Times New Roman" w:cs="Times New Roman"/>
          <w:noProof/>
        </w:rPr>
        <w:t>38</w:t>
      </w:r>
      <w:r w:rsidR="00A6415F" w:rsidRPr="00785EBA">
        <w:fldChar w:fldCharType="end"/>
      </w:r>
      <w:r w:rsidR="009B04E2" w:rsidRPr="00785EBA">
        <w:rPr>
          <w:rFonts w:ascii="Times New Roman" w:eastAsia="Calibri" w:hAnsi="Times New Roman" w:cs="Times New Roman"/>
        </w:rPr>
        <w:t>. The percentage difference amongst the GWP</w:t>
      </w:r>
      <w:r w:rsidRPr="00785EBA">
        <w:rPr>
          <w:rFonts w:ascii="Times New Roman" w:eastAsia="Calibri" w:hAnsi="Times New Roman" w:cs="Times New Roman"/>
        </w:rPr>
        <w:t xml:space="preserve"> values</w:t>
      </w:r>
      <w:r w:rsidR="009B04E2" w:rsidRPr="00785EBA">
        <w:rPr>
          <w:rFonts w:ascii="Times New Roman" w:eastAsia="Calibri" w:hAnsi="Times New Roman" w:cs="Times New Roman"/>
        </w:rPr>
        <w:t xml:space="preserve"> was approximately 56.23% between the two data sources. Analysis of each model was conducted in order to explain the difference in GWP values.</w:t>
      </w:r>
    </w:p>
    <w:p w:rsidR="009B04E2" w:rsidRPr="00785EBA" w:rsidRDefault="009B04E2" w:rsidP="00720912">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Model 1 with a GWP value of 9.09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-Equiv was created using data exclusively acquired from IMOA. The data was for the year 2005 and consisted of inputs and outputs (including emissions) related to the production of 1kg of Fe-Mo. Supporting information from IMOA revealed the process to be based on the common r</w:t>
      </w:r>
      <w:r w:rsidR="00720912" w:rsidRPr="00785EBA">
        <w:rPr>
          <w:rFonts w:ascii="Times New Roman" w:eastAsia="Calibri" w:hAnsi="Times New Roman" w:cs="Times New Roman"/>
        </w:rPr>
        <w:t xml:space="preserve">oute of molybdenum production: </w:t>
      </w:r>
      <w:r w:rsidRPr="00785EBA">
        <w:rPr>
          <w:rFonts w:ascii="Times New Roman" w:eastAsia="Calibri" w:hAnsi="Times New Roman" w:cs="Times New Roman"/>
        </w:rPr>
        <w:t>oxidative roasting of molybdenite concentrates.</w:t>
      </w:r>
    </w:p>
    <w:p w:rsidR="00720912" w:rsidRPr="00785EBA" w:rsidRDefault="00720912" w:rsidP="00720912">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In contrast, model 2, with a GWP value of 16.20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xml:space="preserve">-Equiv was obtained from </w:t>
      </w:r>
      <w:r w:rsidR="004D2D91" w:rsidRPr="00785EBA">
        <w:rPr>
          <w:rFonts w:ascii="Times New Roman" w:eastAsia="Calibri" w:hAnsi="Times New Roman" w:cs="Times New Roman"/>
        </w:rPr>
        <w:t>GaBi</w:t>
      </w:r>
      <w:r w:rsidRPr="00785EBA">
        <w:rPr>
          <w:rFonts w:ascii="Times New Roman" w:eastAsia="Calibri" w:hAnsi="Times New Roman" w:cs="Times New Roman"/>
        </w:rPr>
        <w:t>. Specific details of the inputs and outputs relating to the process were restricted due to software licensing issues and only the result available in terms of GWP.  The data was for the year 2011.</w:t>
      </w:r>
    </w:p>
    <w:p w:rsidR="00720912" w:rsidRPr="00785EBA" w:rsidRDefault="00720912" w:rsidP="00720912">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Enquires made at thinkStep, providers of </w:t>
      </w:r>
      <w:r w:rsidR="004D2D91" w:rsidRPr="00785EBA">
        <w:rPr>
          <w:rFonts w:ascii="Times New Roman" w:eastAsia="Calibri" w:hAnsi="Times New Roman" w:cs="Times New Roman"/>
        </w:rPr>
        <w:t>GaBi</w:t>
      </w:r>
      <w:r w:rsidRPr="00785EBA">
        <w:rPr>
          <w:rFonts w:ascii="Times New Roman" w:eastAsia="Calibri" w:hAnsi="Times New Roman" w:cs="Times New Roman"/>
        </w:rPr>
        <w:t xml:space="preserve"> software, revealed the model did indeed include data from the IMOA. However specific details (i.e. production route, electricity grid mix, country of origin)</w:t>
      </w:r>
      <w:r w:rsidR="00B86672" w:rsidRPr="00785EBA">
        <w:rPr>
          <w:rFonts w:ascii="Times New Roman" w:eastAsia="Calibri" w:hAnsi="Times New Roman" w:cs="Times New Roman"/>
        </w:rPr>
        <w:t xml:space="preserve"> was</w:t>
      </w:r>
      <w:r w:rsidRPr="00785EBA">
        <w:rPr>
          <w:rFonts w:ascii="Times New Roman" w:eastAsia="Calibri" w:hAnsi="Times New Roman" w:cs="Times New Roman"/>
        </w:rPr>
        <w:t xml:space="preserve"> not provided. Thus at the present moment, the primary cause of the large deviation between the </w:t>
      </w:r>
      <w:r w:rsidR="00B86672" w:rsidRPr="00785EBA">
        <w:rPr>
          <w:rFonts w:ascii="Times New Roman" w:eastAsia="Calibri" w:hAnsi="Times New Roman" w:cs="Times New Roman"/>
        </w:rPr>
        <w:t>two models is</w:t>
      </w:r>
      <w:r w:rsidRPr="00785EBA">
        <w:rPr>
          <w:rFonts w:ascii="Times New Roman" w:eastAsia="Calibri" w:hAnsi="Times New Roman" w:cs="Times New Roman"/>
        </w:rPr>
        <w:t xml:space="preserve"> assumed to be due to time representativeness of the models.</w:t>
      </w:r>
    </w:p>
    <w:p w:rsidR="00720912" w:rsidRPr="00785EBA" w:rsidRDefault="00720912" w:rsidP="00720912">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Little or no alternative data was located from either literature or alternative LCA databases for evaluation. </w:t>
      </w:r>
    </w:p>
    <w:p w:rsidR="00720912" w:rsidRDefault="00720912" w:rsidP="00D5119F">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Based on</w:t>
      </w:r>
      <w:r w:rsidR="00D5119F" w:rsidRPr="00785EBA">
        <w:rPr>
          <w:rFonts w:ascii="Times New Roman" w:eastAsia="Calibri" w:hAnsi="Times New Roman" w:cs="Times New Roman"/>
        </w:rPr>
        <w:t xml:space="preserve"> the fact Model 1, was created using data from IMOA with known inputs and outputs</w:t>
      </w:r>
      <w:r w:rsidR="00D56605" w:rsidRPr="00785EBA">
        <w:rPr>
          <w:rFonts w:ascii="Times New Roman" w:eastAsia="Calibri" w:hAnsi="Times New Roman" w:cs="Times New Roman"/>
        </w:rPr>
        <w:t>.</w:t>
      </w:r>
      <w:r w:rsidR="00B86672" w:rsidRPr="00785EBA">
        <w:rPr>
          <w:rFonts w:ascii="Times New Roman" w:eastAsia="Calibri" w:hAnsi="Times New Roman" w:cs="Times New Roman"/>
        </w:rPr>
        <w:t xml:space="preserve"> The </w:t>
      </w:r>
      <w:r w:rsidR="00D5119F" w:rsidRPr="00785EBA">
        <w:rPr>
          <w:rFonts w:ascii="Times New Roman" w:eastAsia="Calibri" w:hAnsi="Times New Roman" w:cs="Times New Roman"/>
        </w:rPr>
        <w:t>Fe-Mo process</w:t>
      </w:r>
      <w:r w:rsidR="00B86672" w:rsidRPr="00785EBA">
        <w:rPr>
          <w:rFonts w:ascii="Times New Roman" w:eastAsia="Calibri" w:hAnsi="Times New Roman" w:cs="Times New Roman"/>
        </w:rPr>
        <w:t xml:space="preserve"> from this data source</w:t>
      </w:r>
      <w:r w:rsidR="00D5119F" w:rsidRPr="00785EBA">
        <w:rPr>
          <w:rFonts w:ascii="Times New Roman" w:eastAsia="Calibri" w:hAnsi="Times New Roman" w:cs="Times New Roman"/>
        </w:rPr>
        <w:t xml:space="preserve"> was </w:t>
      </w:r>
      <w:r w:rsidRPr="00785EBA">
        <w:rPr>
          <w:rFonts w:ascii="Times New Roman" w:eastAsia="Calibri" w:hAnsi="Times New Roman" w:cs="Times New Roman"/>
        </w:rPr>
        <w:t xml:space="preserve">selected for </w:t>
      </w:r>
      <w:r w:rsidR="00D56605" w:rsidRPr="00785EBA">
        <w:rPr>
          <w:rFonts w:ascii="Times New Roman" w:eastAsia="Calibri" w:hAnsi="Times New Roman" w:cs="Times New Roman"/>
        </w:rPr>
        <w:t xml:space="preserve">the </w:t>
      </w:r>
      <w:r w:rsidRPr="00785EBA">
        <w:rPr>
          <w:rFonts w:ascii="Times New Roman" w:eastAsia="Calibri" w:hAnsi="Times New Roman" w:cs="Times New Roman"/>
        </w:rPr>
        <w:t>grades of steel</w:t>
      </w:r>
      <w:r w:rsidR="00D56605" w:rsidRPr="00785EBA">
        <w:rPr>
          <w:rFonts w:ascii="Times New Roman" w:eastAsia="Calibri" w:hAnsi="Times New Roman" w:cs="Times New Roman"/>
        </w:rPr>
        <w:t xml:space="preserve"> work</w:t>
      </w:r>
      <w:r w:rsidRPr="00785EBA">
        <w:rPr>
          <w:rFonts w:ascii="Times New Roman" w:eastAsia="Calibri" w:hAnsi="Times New Roman" w:cs="Times New Roman"/>
        </w:rPr>
        <w:t xml:space="preserve">. </w:t>
      </w:r>
    </w:p>
    <w:p w:rsidR="00785EBA" w:rsidRPr="00785EBA" w:rsidRDefault="00785EBA" w:rsidP="00785EBA">
      <w:pPr>
        <w:spacing w:after="0" w:line="360" w:lineRule="auto"/>
        <w:jc w:val="both"/>
        <w:rPr>
          <w:rFonts w:ascii="Times New Roman" w:eastAsia="Calibri" w:hAnsi="Times New Roman" w:cs="Times New Roman"/>
        </w:rPr>
      </w:pPr>
    </w:p>
    <w:p w:rsidR="00785EBA" w:rsidRDefault="00785EBA" w:rsidP="00720912">
      <w:pPr>
        <w:spacing w:after="0" w:line="360" w:lineRule="auto"/>
        <w:ind w:firstLine="720"/>
        <w:jc w:val="both"/>
        <w:rPr>
          <w:rFonts w:ascii="Times New Roman" w:eastAsia="Calibri" w:hAnsi="Times New Roman" w:cs="Times New Roman"/>
        </w:rPr>
        <w:sectPr w:rsidR="00785EBA" w:rsidSect="00C24042">
          <w:pgSz w:w="11906" w:h="16838"/>
          <w:pgMar w:top="1440" w:right="1440" w:bottom="1440" w:left="1440" w:header="708" w:footer="708" w:gutter="0"/>
          <w:cols w:space="708"/>
          <w:docGrid w:linePitch="360"/>
        </w:sectPr>
      </w:pPr>
    </w:p>
    <w:p w:rsidR="00D45773" w:rsidRPr="00EB640D" w:rsidRDefault="000F272E" w:rsidP="00D45773">
      <w:pPr>
        <w:pStyle w:val="Heading2"/>
        <w:rPr>
          <w:rFonts w:eastAsia="Calibri Light"/>
        </w:rPr>
      </w:pPr>
      <w:r w:rsidRPr="00EB640D">
        <w:rPr>
          <w:rFonts w:eastAsia="Calibri Light"/>
        </w:rPr>
        <w:lastRenderedPageBreak/>
        <w:t>7.5. Ferro-Nickel</w:t>
      </w:r>
    </w:p>
    <w:p w:rsidR="00D45773" w:rsidRPr="00EB640D" w:rsidRDefault="00D45773" w:rsidP="00CF066D">
      <w:pPr>
        <w:spacing w:line="360" w:lineRule="auto"/>
        <w:jc w:val="center"/>
        <w:rPr>
          <w:rFonts w:ascii="Times New Roman" w:eastAsia="Calibri" w:hAnsi="Times New Roman" w:cs="Times New Roman"/>
        </w:rPr>
      </w:pPr>
      <w:r w:rsidRPr="00EB640D">
        <w:rPr>
          <w:noProof/>
        </w:rPr>
        <w:drawing>
          <wp:inline distT="0" distB="0" distL="0" distR="0">
            <wp:extent cx="5731510" cy="3284220"/>
            <wp:effectExtent l="0" t="0" r="2540" b="11430"/>
            <wp:docPr id="7"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D45773" w:rsidRPr="00785EBA" w:rsidRDefault="00D45773" w:rsidP="00D45773">
      <w:pPr>
        <w:rPr>
          <w:rFonts w:ascii="Times New Roman" w:eastAsia="Calibri" w:hAnsi="Times New Roman" w:cs="Times New Roman"/>
        </w:rPr>
      </w:pPr>
      <w:bookmarkStart w:id="172" w:name="_Ref468307402"/>
      <w:bookmarkStart w:id="173" w:name="_Toc495848372"/>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39</w:t>
      </w:r>
      <w:r w:rsidR="009A0ED7" w:rsidRPr="00785EBA">
        <w:rPr>
          <w:rFonts w:ascii="Times New Roman" w:hAnsi="Times New Roman" w:cs="Times New Roman"/>
        </w:rPr>
        <w:fldChar w:fldCharType="end"/>
      </w:r>
      <w:bookmarkEnd w:id="172"/>
      <w:r w:rsidRPr="00785EBA">
        <w:rPr>
          <w:rFonts w:ascii="Times New Roman" w:hAnsi="Times New Roman" w:cs="Times New Roman"/>
        </w:rPr>
        <w:t xml:space="preserve">. </w:t>
      </w:r>
      <w:r w:rsidRPr="00785EBA">
        <w:rPr>
          <w:rFonts w:ascii="Times New Roman" w:eastAsia="Calibri" w:hAnsi="Times New Roman" w:cs="Times New Roman"/>
        </w:rPr>
        <w:t>Comparison of all literature sources for Fe-Ni production.</w:t>
      </w:r>
      <w:bookmarkEnd w:id="173"/>
    </w:p>
    <w:p w:rsidR="00D45773" w:rsidRPr="00785EBA" w:rsidRDefault="00A6415F" w:rsidP="000209CE">
      <w:pPr>
        <w:spacing w:after="0" w:line="360" w:lineRule="auto"/>
        <w:ind w:firstLine="720"/>
        <w:jc w:val="both"/>
        <w:rPr>
          <w:rFonts w:ascii="Times New Roman" w:eastAsia="Calibri" w:hAnsi="Times New Roman" w:cs="Times New Roman"/>
        </w:rPr>
      </w:pPr>
      <w:r w:rsidRPr="00785EBA">
        <w:fldChar w:fldCharType="begin"/>
      </w:r>
      <w:r w:rsidRPr="00785EBA">
        <w:instrText xml:space="preserve"> REF _Ref468307402 \h  \* MERGEFORMAT </w:instrText>
      </w:r>
      <w:r w:rsidRPr="00785EBA">
        <w:fldChar w:fldCharType="separate"/>
      </w:r>
      <w:r w:rsidR="009F5483" w:rsidRPr="00785EBA">
        <w:rPr>
          <w:rFonts w:ascii="Times New Roman" w:hAnsi="Times New Roman" w:cs="Times New Roman"/>
        </w:rPr>
        <w:t xml:space="preserve">Figure </w:t>
      </w:r>
      <w:r w:rsidR="009F5483">
        <w:rPr>
          <w:rFonts w:ascii="Times New Roman" w:hAnsi="Times New Roman" w:cs="Times New Roman"/>
          <w:noProof/>
        </w:rPr>
        <w:t>39</w:t>
      </w:r>
      <w:r w:rsidRPr="00785EBA">
        <w:fldChar w:fldCharType="end"/>
      </w:r>
      <w:r w:rsidR="000209CE" w:rsidRPr="00785EBA">
        <w:rPr>
          <w:rFonts w:ascii="Times New Roman" w:eastAsia="Calibri" w:hAnsi="Times New Roman" w:cs="Times New Roman"/>
        </w:rPr>
        <w:t xml:space="preserve"> </w:t>
      </w:r>
      <w:r w:rsidR="00D45773" w:rsidRPr="00785EBA">
        <w:rPr>
          <w:rFonts w:ascii="Times New Roman" w:eastAsia="Calibri" w:hAnsi="Times New Roman" w:cs="Times New Roman"/>
        </w:rPr>
        <w:t xml:space="preserve">utilises a colour key to differentiate </w:t>
      </w:r>
      <w:r w:rsidR="00EB667D" w:rsidRPr="00785EBA">
        <w:rPr>
          <w:rFonts w:ascii="Times New Roman" w:eastAsia="Calibri" w:hAnsi="Times New Roman" w:cs="Times New Roman"/>
        </w:rPr>
        <w:t xml:space="preserve">between the multiple </w:t>
      </w:r>
      <w:r w:rsidR="003045BB" w:rsidRPr="00785EBA">
        <w:rPr>
          <w:rFonts w:ascii="Times New Roman" w:eastAsia="Calibri" w:hAnsi="Times New Roman" w:cs="Times New Roman"/>
        </w:rPr>
        <w:t>sources</w:t>
      </w:r>
      <w:r w:rsidR="00EB667D" w:rsidRPr="00785EBA">
        <w:rPr>
          <w:rFonts w:ascii="Times New Roman" w:eastAsia="Calibri" w:hAnsi="Times New Roman" w:cs="Times New Roman"/>
        </w:rPr>
        <w:t xml:space="preserve"> of literature</w:t>
      </w:r>
      <w:r w:rsidR="00D45773" w:rsidRPr="00785EBA">
        <w:rPr>
          <w:rFonts w:ascii="Times New Roman" w:eastAsia="Calibri" w:hAnsi="Times New Roman" w:cs="Times New Roman"/>
        </w:rPr>
        <w:t xml:space="preserve"> used to model Fe-Ni production.</w:t>
      </w:r>
      <w:r w:rsidR="009E2714" w:rsidRPr="00785EBA">
        <w:rPr>
          <w:rFonts w:ascii="Times New Roman" w:eastAsia="Calibri" w:hAnsi="Times New Roman" w:cs="Times New Roman"/>
        </w:rPr>
        <w:t xml:space="preserve"> These are explained in detail in the subsequent paragraphs.</w:t>
      </w:r>
    </w:p>
    <w:p w:rsidR="003D5D8E" w:rsidRPr="00785EBA" w:rsidRDefault="00D45773" w:rsidP="003D5D8E">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The</w:t>
      </w:r>
      <w:r w:rsidR="009E2714" w:rsidRPr="00785EBA">
        <w:rPr>
          <w:rFonts w:ascii="Times New Roman" w:eastAsia="Calibri" w:hAnsi="Times New Roman" w:cs="Times New Roman"/>
        </w:rPr>
        <w:t xml:space="preserve"> two</w:t>
      </w:r>
      <w:r w:rsidR="003045BB" w:rsidRPr="00785EBA">
        <w:rPr>
          <w:rFonts w:ascii="Times New Roman" w:eastAsia="Calibri" w:hAnsi="Times New Roman" w:cs="Times New Roman"/>
        </w:rPr>
        <w:t xml:space="preserve"> columns highlighted in yellow illustrate the original results from Haque, where the electricity grid mix was varied between Tasmania and Australia. As previously stated, the GWP value for Tasmania was considerably lower due to hydro-electricity contribution in its fuel mix. In contrast the GWP value for Australia was greater due to heavy fossil fuel utilisation.</w:t>
      </w:r>
    </w:p>
    <w:p w:rsidR="00D82F14" w:rsidRPr="00785EBA" w:rsidRDefault="00D45773" w:rsidP="00D82F14">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The</w:t>
      </w:r>
      <w:r w:rsidR="003D5D8E" w:rsidRPr="00785EBA">
        <w:rPr>
          <w:rFonts w:ascii="Times New Roman" w:eastAsia="Calibri" w:hAnsi="Times New Roman" w:cs="Times New Roman"/>
        </w:rPr>
        <w:t xml:space="preserve"> single</w:t>
      </w:r>
      <w:r w:rsidRPr="00785EBA">
        <w:rPr>
          <w:rFonts w:ascii="Times New Roman" w:eastAsia="Calibri" w:hAnsi="Times New Roman" w:cs="Times New Roman"/>
        </w:rPr>
        <w:t xml:space="preserve"> column</w:t>
      </w:r>
      <w:r w:rsidR="003D5D8E" w:rsidRPr="00785EBA">
        <w:rPr>
          <w:rFonts w:ascii="Times New Roman" w:eastAsia="Calibri" w:hAnsi="Times New Roman" w:cs="Times New Roman"/>
        </w:rPr>
        <w:t xml:space="preserve"> highlighted in gold was</w:t>
      </w:r>
      <w:r w:rsidRPr="00785EBA">
        <w:rPr>
          <w:rFonts w:ascii="Times New Roman" w:eastAsia="Calibri" w:hAnsi="Times New Roman" w:cs="Times New Roman"/>
        </w:rPr>
        <w:t xml:space="preserve"> identical to the original</w:t>
      </w:r>
      <w:r w:rsidR="003D5D8E" w:rsidRPr="00785EBA">
        <w:rPr>
          <w:rFonts w:ascii="Times New Roman" w:eastAsia="Calibri" w:hAnsi="Times New Roman" w:cs="Times New Roman"/>
        </w:rPr>
        <w:t xml:space="preserve"> GWP</w:t>
      </w:r>
      <w:r w:rsidRPr="00785EBA">
        <w:rPr>
          <w:rFonts w:ascii="Times New Roman" w:eastAsia="Calibri" w:hAnsi="Times New Roman" w:cs="Times New Roman"/>
        </w:rPr>
        <w:t xml:space="preserve"> result</w:t>
      </w:r>
      <w:r w:rsidR="003D5D8E" w:rsidRPr="00785EBA">
        <w:rPr>
          <w:rFonts w:ascii="Times New Roman" w:eastAsia="Calibri" w:hAnsi="Times New Roman" w:cs="Times New Roman"/>
        </w:rPr>
        <w:t xml:space="preserve"> (24.10 kg CO</w:t>
      </w:r>
      <w:r w:rsidR="003D5D8E" w:rsidRPr="00785EBA">
        <w:rPr>
          <w:rFonts w:ascii="Times New Roman" w:eastAsia="Calibri" w:hAnsi="Times New Roman" w:cs="Times New Roman"/>
          <w:vertAlign w:val="subscript"/>
        </w:rPr>
        <w:t>2</w:t>
      </w:r>
      <w:r w:rsidR="003D5D8E" w:rsidRPr="00785EBA">
        <w:rPr>
          <w:rFonts w:ascii="Times New Roman" w:eastAsia="Calibri" w:hAnsi="Times New Roman" w:cs="Times New Roman"/>
        </w:rPr>
        <w:t xml:space="preserve">-Equiv) </w:t>
      </w:r>
      <w:r w:rsidRPr="00785EBA">
        <w:rPr>
          <w:rFonts w:ascii="Times New Roman" w:eastAsia="Calibri" w:hAnsi="Times New Roman" w:cs="Times New Roman"/>
        </w:rPr>
        <w:t>with a percentage differe</w:t>
      </w:r>
      <w:r w:rsidR="003D5D8E" w:rsidRPr="00785EBA">
        <w:rPr>
          <w:rFonts w:ascii="Times New Roman" w:eastAsia="Calibri" w:hAnsi="Times New Roman" w:cs="Times New Roman"/>
        </w:rPr>
        <w:t>nce of 2.05%</w:t>
      </w:r>
      <w:r w:rsidRPr="00785EBA">
        <w:rPr>
          <w:rFonts w:ascii="Times New Roman" w:eastAsia="Calibri" w:hAnsi="Times New Roman" w:cs="Times New Roman"/>
        </w:rPr>
        <w:t xml:space="preserve">. The model was a control to test the methodology </w:t>
      </w:r>
      <w:r w:rsidR="003D5D8E" w:rsidRPr="00785EBA">
        <w:rPr>
          <w:rFonts w:ascii="Times New Roman" w:eastAsia="Calibri" w:hAnsi="Times New Roman" w:cs="Times New Roman"/>
        </w:rPr>
        <w:t xml:space="preserve">of modelling Fe-Ni utilising data from Haque. The </w:t>
      </w:r>
      <w:r w:rsidRPr="00785EBA">
        <w:rPr>
          <w:rFonts w:ascii="Times New Roman" w:eastAsia="Calibri" w:hAnsi="Times New Roman" w:cs="Times New Roman"/>
        </w:rPr>
        <w:t xml:space="preserve">identical GWP value to the original result </w:t>
      </w:r>
      <w:r w:rsidR="003D5D8E" w:rsidRPr="00785EBA">
        <w:rPr>
          <w:rFonts w:ascii="Times New Roman" w:eastAsia="Calibri" w:hAnsi="Times New Roman" w:cs="Times New Roman"/>
        </w:rPr>
        <w:t>highlighted</w:t>
      </w:r>
      <w:r w:rsidRPr="00785EBA">
        <w:rPr>
          <w:rFonts w:ascii="Times New Roman" w:eastAsia="Calibri" w:hAnsi="Times New Roman" w:cs="Times New Roman"/>
        </w:rPr>
        <w:t xml:space="preserve"> accuracy and reliability in the method</w:t>
      </w:r>
      <w:r w:rsidR="003D5D8E" w:rsidRPr="00785EBA">
        <w:rPr>
          <w:rFonts w:ascii="Times New Roman" w:eastAsia="Calibri" w:hAnsi="Times New Roman" w:cs="Times New Roman"/>
        </w:rPr>
        <w:t xml:space="preserve"> used</w:t>
      </w:r>
      <w:r w:rsidRPr="00785EBA">
        <w:rPr>
          <w:rFonts w:ascii="Times New Roman" w:eastAsia="Calibri" w:hAnsi="Times New Roman" w:cs="Times New Roman"/>
        </w:rPr>
        <w:t>.</w:t>
      </w:r>
    </w:p>
    <w:p w:rsidR="00D82F14" w:rsidRPr="00785EBA" w:rsidRDefault="00D45773" w:rsidP="00CA0162">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The global Fe-Ni model, highlighted in green, had a lower GWP value, approxim</w:t>
      </w:r>
      <w:r w:rsidR="00D82F14" w:rsidRPr="00785EBA">
        <w:rPr>
          <w:rFonts w:ascii="Times New Roman" w:eastAsia="Calibri" w:hAnsi="Times New Roman" w:cs="Times New Roman"/>
        </w:rPr>
        <w:t>ately 10.03% compared to Haque V</w:t>
      </w:r>
      <w:r w:rsidRPr="00785EBA">
        <w:rPr>
          <w:rFonts w:ascii="Times New Roman" w:eastAsia="Calibri" w:hAnsi="Times New Roman" w:cs="Times New Roman"/>
        </w:rPr>
        <w:t>ersion 2.</w:t>
      </w:r>
      <w:r w:rsidR="00D82F14" w:rsidRPr="00785EBA">
        <w:rPr>
          <w:rFonts w:ascii="Times New Roman" w:eastAsia="Calibri" w:hAnsi="Times New Roman" w:cs="Times New Roman"/>
        </w:rPr>
        <w:t xml:space="preserve"> Principal differences namely: </w:t>
      </w:r>
      <w:r w:rsidRPr="00785EBA">
        <w:rPr>
          <w:rFonts w:ascii="Times New Roman" w:eastAsia="Calibri" w:hAnsi="Times New Roman" w:cs="Times New Roman"/>
        </w:rPr>
        <w:t xml:space="preserve">diesel mix at refinery, hard coal mix and electricity grid mix can explain the contrasting GWP values between the two models. </w:t>
      </w:r>
      <w:r w:rsidR="00D82F14" w:rsidRPr="00785EBA">
        <w:rPr>
          <w:rFonts w:ascii="Times New Roman" w:eastAsia="Calibri" w:hAnsi="Times New Roman" w:cs="Times New Roman"/>
        </w:rPr>
        <w:t>In the same way</w:t>
      </w:r>
      <w:r w:rsidRPr="00785EBA">
        <w:rPr>
          <w:rFonts w:ascii="Times New Roman" w:eastAsia="Calibri" w:hAnsi="Times New Roman" w:cs="Times New Roman"/>
        </w:rPr>
        <w:t xml:space="preserve"> to Fe-Cr and Fe-Mn, Aust</w:t>
      </w:r>
      <w:r w:rsidR="00D82F14" w:rsidRPr="00785EBA">
        <w:rPr>
          <w:rFonts w:ascii="Times New Roman" w:eastAsia="Calibri" w:hAnsi="Times New Roman" w:cs="Times New Roman"/>
        </w:rPr>
        <w:t>ralian data was used for all three processes for Haque Version 2. W</w:t>
      </w:r>
      <w:r w:rsidRPr="00785EBA">
        <w:rPr>
          <w:rFonts w:ascii="Times New Roman" w:eastAsia="Calibri" w:hAnsi="Times New Roman" w:cs="Times New Roman"/>
        </w:rPr>
        <w:t>hilst a combination of China for both fuel sources and average electricity based on global Fe-Ni production was used for the global Fe-Ni model. As mentioned in Fe-Cr and Fe-Mn, the percentage difference for both fue</w:t>
      </w:r>
      <w:r w:rsidR="000209CE" w:rsidRPr="00785EBA">
        <w:t xml:space="preserve">l </w:t>
      </w:r>
      <w:r w:rsidR="000209CE" w:rsidRPr="00785EBA">
        <w:rPr>
          <w:rFonts w:ascii="Times New Roman" w:eastAsia="Calibri" w:hAnsi="Times New Roman" w:cs="Times New Roman"/>
        </w:rPr>
        <w:t xml:space="preserve">sources, was </w:t>
      </w:r>
      <w:r w:rsidRPr="00785EBA">
        <w:rPr>
          <w:rFonts w:ascii="Times New Roman" w:eastAsia="Calibri" w:hAnsi="Times New Roman" w:cs="Times New Roman"/>
        </w:rPr>
        <w:t>6.54% for diesel mix at refinery and 50.00% for hard coal mix. In terms of ele</w:t>
      </w:r>
      <w:r w:rsidR="00D82F14" w:rsidRPr="00785EBA">
        <w:rPr>
          <w:rFonts w:ascii="Times New Roman" w:eastAsia="Calibri" w:hAnsi="Times New Roman" w:cs="Times New Roman"/>
        </w:rPr>
        <w:t xml:space="preserve">ctricity Fe-Ni, had the lowest </w:t>
      </w:r>
      <w:r w:rsidRPr="00785EBA">
        <w:rPr>
          <w:rFonts w:ascii="Times New Roman" w:eastAsia="Calibri" w:hAnsi="Times New Roman" w:cs="Times New Roman"/>
        </w:rPr>
        <w:t>GWP value corresponding</w:t>
      </w:r>
      <w:r w:rsidR="00D82F14" w:rsidRPr="00785EBA">
        <w:rPr>
          <w:rFonts w:ascii="Times New Roman" w:eastAsia="Calibri" w:hAnsi="Times New Roman" w:cs="Times New Roman"/>
        </w:rPr>
        <w:t xml:space="preserve"> to 1MJ </w:t>
      </w:r>
      <w:r w:rsidRPr="00785EBA">
        <w:rPr>
          <w:rFonts w:ascii="Times New Roman" w:eastAsia="Calibri" w:hAnsi="Times New Roman" w:cs="Times New Roman"/>
        </w:rPr>
        <w:t>(0.209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from all average electricity grid mixes created. The percentage difference between the average electricity grid mix and Australia (0.279 kg/ CO</w:t>
      </w:r>
      <w:r w:rsidRPr="00785EBA">
        <w:rPr>
          <w:rFonts w:ascii="Times New Roman" w:eastAsia="Calibri" w:hAnsi="Times New Roman" w:cs="Times New Roman"/>
          <w:vertAlign w:val="subscript"/>
        </w:rPr>
        <w:t>2</w:t>
      </w:r>
      <w:r w:rsidR="00D82F14" w:rsidRPr="00785EBA">
        <w:rPr>
          <w:rFonts w:ascii="Times New Roman" w:eastAsia="Calibri" w:hAnsi="Times New Roman" w:cs="Times New Roman"/>
        </w:rPr>
        <w:t>) correlated to 28.69%.</w:t>
      </w:r>
    </w:p>
    <w:p w:rsidR="00D45773" w:rsidRPr="00785EBA" w:rsidRDefault="00D45773" w:rsidP="000209CE">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lastRenderedPageBreak/>
        <w:t>The large percentage difference of 28.69% can be explained by the breakdown of the average electricity model</w:t>
      </w:r>
      <w:r w:rsidR="00717881">
        <w:rPr>
          <w:rFonts w:ascii="Times New Roman" w:eastAsia="Calibri" w:hAnsi="Times New Roman" w:cs="Times New Roman"/>
        </w:rPr>
        <w:t>. Average e</w:t>
      </w:r>
      <w:r w:rsidRPr="00785EBA">
        <w:rPr>
          <w:rFonts w:ascii="Times New Roman" w:eastAsia="Calibri" w:hAnsi="Times New Roman" w:cs="Times New Roman"/>
        </w:rPr>
        <w:t>lectricity for Fe-Ni was based on three countries China (53%), Japa</w:t>
      </w:r>
      <w:r w:rsidR="00717881">
        <w:rPr>
          <w:rFonts w:ascii="Times New Roman" w:eastAsia="Calibri" w:hAnsi="Times New Roman" w:cs="Times New Roman"/>
        </w:rPr>
        <w:t>n (12%) and New Caledonia (5%). F</w:t>
      </w:r>
      <w:r w:rsidRPr="00785EBA">
        <w:rPr>
          <w:rFonts w:ascii="Times New Roman" w:eastAsia="Calibri" w:hAnsi="Times New Roman" w:cs="Times New Roman"/>
        </w:rPr>
        <w:t>rom the percentage contribution values, China dominates and contributed the majority of the GWP value, roughly 81.34% (0.170 GWP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for global Fe-Ni model. Japan and New Caledonia were not significant contributors, firstly due to their percentage of global production (as stated earlier). Secondly coal was not the primary source of fuel for either Japan (32.32%) or New Caledonia (24.10%) and the percentage makeup of electricity by coal, was low compared to China (75.47%) and Australia (64.72%).</w:t>
      </w:r>
    </w:p>
    <w:p w:rsidR="00D45773" w:rsidRPr="00785EBA" w:rsidRDefault="00D45773" w:rsidP="000209CE">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Although the percentage differences appear large, the actual contribution of diesel mix (0.01%), hard coal mix (2.70%) to total GWP is small. Instead electricity contributed 46.30% of total GWP and so would have had the largest impact and can explain the difference in GWP values between the two models.</w:t>
      </w:r>
    </w:p>
    <w:p w:rsidR="00D45773" w:rsidRPr="00785EBA" w:rsidRDefault="00D45773" w:rsidP="003236A3">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The </w:t>
      </w:r>
      <w:r w:rsidR="00856EBD" w:rsidRPr="00785EBA">
        <w:rPr>
          <w:rFonts w:ascii="Times New Roman" w:eastAsia="Calibri" w:hAnsi="Times New Roman" w:cs="Times New Roman"/>
        </w:rPr>
        <w:t>column highlighted in blue represented the model from Fe-Ni (Eurometaux). The GWP value (23.92 kg CO</w:t>
      </w:r>
      <w:r w:rsidR="00856EBD" w:rsidRPr="00785EBA">
        <w:rPr>
          <w:rFonts w:ascii="Times New Roman" w:eastAsia="Calibri" w:hAnsi="Times New Roman" w:cs="Times New Roman"/>
          <w:vertAlign w:val="subscript"/>
        </w:rPr>
        <w:t>2</w:t>
      </w:r>
      <w:r w:rsidR="00856EBD" w:rsidRPr="00785EBA">
        <w:rPr>
          <w:rFonts w:ascii="Times New Roman" w:eastAsia="Calibri" w:hAnsi="Times New Roman" w:cs="Times New Roman"/>
        </w:rPr>
        <w:t>-Equiv) was the closest across all results to the original value, with a percentage difference of about 0.75%.</w:t>
      </w:r>
      <w:r w:rsidR="003236A3" w:rsidRPr="00785EBA">
        <w:rPr>
          <w:rFonts w:ascii="Times New Roman" w:eastAsia="Calibri" w:hAnsi="Times New Roman" w:cs="Times New Roman"/>
        </w:rPr>
        <w:t xml:space="preserve"> The GWP value was surprising since the Fe-Ni model had been constructed with the laterite ore process missing from the inputs. </w:t>
      </w:r>
      <w:r w:rsidRPr="00785EBA">
        <w:rPr>
          <w:rFonts w:ascii="Times New Roman" w:eastAsia="Calibri" w:hAnsi="Times New Roman" w:cs="Times New Roman"/>
        </w:rPr>
        <w:t>However</w:t>
      </w:r>
      <w:r w:rsidR="003236A3" w:rsidRPr="00785EBA">
        <w:rPr>
          <w:rFonts w:ascii="Times New Roman" w:eastAsia="Calibri" w:hAnsi="Times New Roman" w:cs="Times New Roman"/>
        </w:rPr>
        <w:t>,</w:t>
      </w:r>
      <w:r w:rsidRPr="00785EBA">
        <w:rPr>
          <w:rFonts w:ascii="Times New Roman" w:eastAsia="Calibri" w:hAnsi="Times New Roman" w:cs="Times New Roman"/>
        </w:rPr>
        <w:t xml:space="preserve"> according to Haque, even-thoug</w:t>
      </w:r>
      <w:r w:rsidR="003236A3" w:rsidRPr="00785EBA">
        <w:rPr>
          <w:rFonts w:ascii="Times New Roman" w:eastAsia="Calibri" w:hAnsi="Times New Roman" w:cs="Times New Roman"/>
        </w:rPr>
        <w:t xml:space="preserve">h Fe-Ni is energy intensive it was coal which provided the </w:t>
      </w:r>
      <w:r w:rsidRPr="00785EBA">
        <w:rPr>
          <w:rFonts w:ascii="Times New Roman" w:eastAsia="Calibri" w:hAnsi="Times New Roman" w:cs="Times New Roman"/>
        </w:rPr>
        <w:t>largest contribution of carbon emission</w:t>
      </w:r>
      <w:r w:rsidR="003236A3" w:rsidRPr="00785EBA">
        <w:rPr>
          <w:rFonts w:ascii="Times New Roman" w:eastAsia="Calibri" w:hAnsi="Times New Roman" w:cs="Times New Roman"/>
        </w:rPr>
        <w:t>s</w:t>
      </w:r>
      <w:r w:rsidRPr="00785EBA">
        <w:rPr>
          <w:rFonts w:ascii="Times New Roman" w:eastAsia="Calibri" w:hAnsi="Times New Roman" w:cs="Times New Roman"/>
        </w:rPr>
        <w:t xml:space="preserve"> from</w:t>
      </w:r>
      <w:r w:rsidR="003236A3" w:rsidRPr="00785EBA">
        <w:rPr>
          <w:rFonts w:ascii="Times New Roman" w:eastAsia="Calibri" w:hAnsi="Times New Roman" w:cs="Times New Roman"/>
        </w:rPr>
        <w:t xml:space="preserve"> the various inputs</w:t>
      </w:r>
      <w:r w:rsidRPr="00785EBA">
        <w:rPr>
          <w:rFonts w:ascii="Times New Roman" w:eastAsia="Calibri" w:hAnsi="Times New Roman" w:cs="Times New Roman"/>
        </w:rPr>
        <w:t xml:space="preserve"> of Fe-Ni production. Inclusion of laterite ore process might have increased the GWP slightly to be closer to the original result.</w:t>
      </w:r>
    </w:p>
    <w:p w:rsidR="00FA7199" w:rsidRPr="00785EBA" w:rsidRDefault="00FA7199" w:rsidP="00FA7199">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With regards to the final column highlighted in purple which represented the Fe-Ni process from </w:t>
      </w:r>
      <w:r w:rsidR="004D2D91" w:rsidRPr="00785EBA">
        <w:rPr>
          <w:rFonts w:ascii="Times New Roman" w:eastAsia="Calibri" w:hAnsi="Times New Roman" w:cs="Times New Roman"/>
        </w:rPr>
        <w:t>GaBi</w:t>
      </w:r>
      <w:r w:rsidRPr="00785EBA">
        <w:rPr>
          <w:rFonts w:ascii="Times New Roman" w:eastAsia="Calibri" w:hAnsi="Times New Roman" w:cs="Times New Roman"/>
        </w:rPr>
        <w:t xml:space="preserve">. This had the lowest GWP values from all Fe-Ni processes created. Excluding Fe-Ni (Haque </w:t>
      </w:r>
      <w:r w:rsidR="00D45773" w:rsidRPr="00785EBA">
        <w:rPr>
          <w:rFonts w:ascii="Times New Roman" w:eastAsia="Calibri" w:hAnsi="Times New Roman" w:cs="Times New Roman"/>
        </w:rPr>
        <w:t xml:space="preserve">Tasmanian energy), the process from </w:t>
      </w:r>
      <w:r w:rsidR="004D2D91" w:rsidRPr="00785EBA">
        <w:rPr>
          <w:rFonts w:ascii="Times New Roman" w:eastAsia="Calibri" w:hAnsi="Times New Roman" w:cs="Times New Roman"/>
        </w:rPr>
        <w:t>GaBi</w:t>
      </w:r>
      <w:r w:rsidR="00D45773" w:rsidRPr="00785EBA">
        <w:rPr>
          <w:rFonts w:ascii="Times New Roman" w:eastAsia="Calibri" w:hAnsi="Times New Roman" w:cs="Times New Roman"/>
        </w:rPr>
        <w:t xml:space="preserve"> was approximately 61.96% lower than all the other models. </w:t>
      </w:r>
    </w:p>
    <w:p w:rsidR="00BF010F" w:rsidRPr="00785EBA" w:rsidRDefault="00FA7199" w:rsidP="0095550A">
      <w:pPr>
        <w:spacing w:after="0" w:line="360" w:lineRule="auto"/>
        <w:jc w:val="both"/>
        <w:rPr>
          <w:rFonts w:ascii="Times New Roman" w:eastAsia="Calibri" w:hAnsi="Times New Roman" w:cs="Times New Roman"/>
        </w:rPr>
      </w:pPr>
      <w:r w:rsidRPr="00785EBA">
        <w:rPr>
          <w:rFonts w:ascii="Times New Roman" w:eastAsia="Calibri" w:hAnsi="Times New Roman" w:cs="Times New Roman"/>
        </w:rPr>
        <w:t>The expressively low GWP value can be explained by the fact the geographic representativeness of the data was a mix of New Caledonia, Japan and the Dominican Republic. In comparison the</w:t>
      </w:r>
      <w:r w:rsidR="00D45773" w:rsidRPr="00785EBA">
        <w:rPr>
          <w:rFonts w:ascii="Times New Roman" w:eastAsia="Calibri" w:hAnsi="Times New Roman" w:cs="Times New Roman"/>
        </w:rPr>
        <w:t xml:space="preserve"> average electricity model based on glo</w:t>
      </w:r>
      <w:r w:rsidRPr="00785EBA">
        <w:rPr>
          <w:rFonts w:ascii="Times New Roman" w:eastAsia="Calibri" w:hAnsi="Times New Roman" w:cs="Times New Roman"/>
        </w:rPr>
        <w:t>bal production of Fe-Ni consi</w:t>
      </w:r>
      <w:r w:rsidR="006B7AF8" w:rsidRPr="00785EBA">
        <w:rPr>
          <w:rFonts w:ascii="Times New Roman" w:eastAsia="Calibri" w:hAnsi="Times New Roman" w:cs="Times New Roman"/>
        </w:rPr>
        <w:t xml:space="preserve">sted of </w:t>
      </w:r>
      <w:r w:rsidRPr="00785EBA">
        <w:rPr>
          <w:rFonts w:ascii="Times New Roman" w:eastAsia="Calibri" w:hAnsi="Times New Roman" w:cs="Times New Roman"/>
        </w:rPr>
        <w:t>countries</w:t>
      </w:r>
      <w:r w:rsidR="00D45773" w:rsidRPr="00785EBA">
        <w:rPr>
          <w:rFonts w:ascii="Times New Roman" w:eastAsia="Calibri" w:hAnsi="Times New Roman" w:cs="Times New Roman"/>
        </w:rPr>
        <w:t xml:space="preserve">: China, Japan and New Caledonia. Clearly the absence of China may have contributed to the significantly lower GWP value of </w:t>
      </w:r>
      <w:r w:rsidR="004D2D91" w:rsidRPr="00785EBA">
        <w:rPr>
          <w:rFonts w:ascii="Times New Roman" w:eastAsia="Calibri" w:hAnsi="Times New Roman" w:cs="Times New Roman"/>
        </w:rPr>
        <w:t>GaBi</w:t>
      </w:r>
      <w:r w:rsidR="00D45773" w:rsidRPr="00785EBA">
        <w:rPr>
          <w:rFonts w:ascii="Times New Roman" w:eastAsia="Calibri" w:hAnsi="Times New Roman" w:cs="Times New Roman"/>
        </w:rPr>
        <w:t xml:space="preserve"> Fe-Ni.</w:t>
      </w:r>
      <w:r w:rsidR="0095550A" w:rsidRPr="00785EBA">
        <w:rPr>
          <w:rFonts w:ascii="Times New Roman" w:eastAsia="Calibri" w:hAnsi="Times New Roman" w:cs="Times New Roman"/>
        </w:rPr>
        <w:t xml:space="preserve"> The results are further supported </w:t>
      </w:r>
      <w:r w:rsidR="00D45773" w:rsidRPr="00785EBA">
        <w:rPr>
          <w:rFonts w:ascii="Times New Roman" w:eastAsia="Calibri" w:hAnsi="Times New Roman" w:cs="Times New Roman"/>
        </w:rPr>
        <w:t>by</w:t>
      </w:r>
      <w:r w:rsidR="000D0000" w:rsidRPr="00785EBA">
        <w:rPr>
          <w:rFonts w:ascii="Times New Roman" w:eastAsia="Calibri" w:hAnsi="Times New Roman" w:cs="Times New Roman"/>
        </w:rPr>
        <w:t xml:space="preserve"> </w:t>
      </w:r>
      <w:r w:rsidR="00A6415F" w:rsidRPr="00785EBA">
        <w:fldChar w:fldCharType="begin"/>
      </w:r>
      <w:r w:rsidR="00A6415F" w:rsidRPr="00785EBA">
        <w:instrText xml:space="preserve"> REF _Ref468307486 \h  \* MERGEFORMAT </w:instrText>
      </w:r>
      <w:r w:rsidR="00A6415F" w:rsidRPr="00785EBA">
        <w:fldChar w:fldCharType="separate"/>
      </w:r>
      <w:r w:rsidR="009F5483" w:rsidRPr="00EB640D">
        <w:rPr>
          <w:rFonts w:ascii="Times New Roman" w:hAnsi="Times New Roman" w:cs="Times New Roman"/>
        </w:rPr>
        <w:t xml:space="preserve">Table </w:t>
      </w:r>
      <w:r w:rsidR="009F5483">
        <w:rPr>
          <w:rFonts w:ascii="Times New Roman" w:hAnsi="Times New Roman" w:cs="Times New Roman"/>
          <w:noProof/>
        </w:rPr>
        <w:t>27</w:t>
      </w:r>
      <w:r w:rsidR="00A6415F" w:rsidRPr="00785EBA">
        <w:fldChar w:fldCharType="end"/>
      </w:r>
      <w:r w:rsidR="00D45773" w:rsidRPr="00785EBA">
        <w:rPr>
          <w:rFonts w:ascii="Times New Roman" w:eastAsia="Calibri" w:hAnsi="Times New Roman" w:cs="Times New Roman"/>
        </w:rPr>
        <w:t xml:space="preserve">, which illustrates the energy values of Fe-Ni processes from Haque, Eurometaux and </w:t>
      </w:r>
      <w:r w:rsidR="004D2D91" w:rsidRPr="00785EBA">
        <w:rPr>
          <w:rFonts w:ascii="Times New Roman" w:eastAsia="Calibri" w:hAnsi="Times New Roman" w:cs="Times New Roman"/>
        </w:rPr>
        <w:t>GaBi</w:t>
      </w:r>
      <w:r w:rsidR="00D45773" w:rsidRPr="00785EBA">
        <w:rPr>
          <w:rFonts w:ascii="Times New Roman" w:eastAsia="Calibri" w:hAnsi="Times New Roman" w:cs="Times New Roman"/>
        </w:rPr>
        <w:t xml:space="preserve">. </w:t>
      </w:r>
    </w:p>
    <w:p w:rsidR="00BF010F" w:rsidRPr="00EB640D" w:rsidRDefault="00BF010F" w:rsidP="00BF010F">
      <w:pPr>
        <w:rPr>
          <w:rFonts w:ascii="Times New Roman" w:eastAsia="Calibri" w:hAnsi="Times New Roman" w:cs="Times New Roman"/>
        </w:rPr>
      </w:pPr>
      <w:bookmarkStart w:id="174" w:name="_Ref468307486"/>
      <w:bookmarkStart w:id="175" w:name="_Toc474486535"/>
      <w:bookmarkStart w:id="176" w:name="_Toc495852705"/>
      <w:r w:rsidRPr="00EB640D">
        <w:rPr>
          <w:rFonts w:ascii="Times New Roman" w:hAnsi="Times New Roman" w:cs="Times New Roman"/>
        </w:rPr>
        <w:t xml:space="preserve">Table </w:t>
      </w:r>
      <w:r w:rsidR="009A0ED7" w:rsidRPr="00EB640D">
        <w:rPr>
          <w:rFonts w:ascii="Times New Roman" w:hAnsi="Times New Roman" w:cs="Times New Roman"/>
        </w:rPr>
        <w:fldChar w:fldCharType="begin"/>
      </w:r>
      <w:r w:rsidRPr="00EB640D">
        <w:rPr>
          <w:rFonts w:ascii="Times New Roman" w:hAnsi="Times New Roman" w:cs="Times New Roman"/>
        </w:rPr>
        <w:instrText xml:space="preserve"> SEQ Table \* ARABIC </w:instrText>
      </w:r>
      <w:r w:rsidR="009A0ED7" w:rsidRPr="00EB640D">
        <w:rPr>
          <w:rFonts w:ascii="Times New Roman" w:hAnsi="Times New Roman" w:cs="Times New Roman"/>
        </w:rPr>
        <w:fldChar w:fldCharType="separate"/>
      </w:r>
      <w:r w:rsidR="009F5483">
        <w:rPr>
          <w:rFonts w:ascii="Times New Roman" w:hAnsi="Times New Roman" w:cs="Times New Roman"/>
          <w:noProof/>
        </w:rPr>
        <w:t>27</w:t>
      </w:r>
      <w:r w:rsidR="009A0ED7" w:rsidRPr="00EB640D">
        <w:rPr>
          <w:rFonts w:ascii="Times New Roman" w:hAnsi="Times New Roman" w:cs="Times New Roman"/>
        </w:rPr>
        <w:fldChar w:fldCharType="end"/>
      </w:r>
      <w:bookmarkEnd w:id="174"/>
      <w:r w:rsidRPr="00EB640D">
        <w:rPr>
          <w:rFonts w:ascii="Times New Roman" w:hAnsi="Times New Roman" w:cs="Times New Roman"/>
        </w:rPr>
        <w:t xml:space="preserve">. </w:t>
      </w:r>
      <w:r w:rsidRPr="00EB640D">
        <w:rPr>
          <w:rFonts w:ascii="Times New Roman" w:eastAsia="Calibri" w:hAnsi="Times New Roman" w:cs="Times New Roman"/>
        </w:rPr>
        <w:t>Energy values for all the literature sources utilised to create Fe-Ni.</w:t>
      </w:r>
      <w:bookmarkEnd w:id="175"/>
      <w:bookmarkEnd w:id="17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620"/>
        <w:gridCol w:w="3400"/>
      </w:tblGrid>
      <w:tr w:rsidR="000F39EA" w:rsidRPr="00EB640D" w:rsidTr="00B86672">
        <w:tc>
          <w:tcPr>
            <w:tcW w:w="3620" w:type="dxa"/>
            <w:shd w:val="clear" w:color="auto" w:fill="auto"/>
            <w:tcMar>
              <w:left w:w="108" w:type="dxa"/>
              <w:right w:w="108" w:type="dxa"/>
            </w:tcMar>
            <w:vAlign w:val="bottom"/>
          </w:tcPr>
          <w:p w:rsidR="00BF010F" w:rsidRPr="00EB640D" w:rsidRDefault="00BF010F" w:rsidP="00363217">
            <w:pPr>
              <w:spacing w:after="0" w:line="360" w:lineRule="auto"/>
              <w:rPr>
                <w:rFonts w:ascii="Times New Roman" w:eastAsia="Calibri" w:hAnsi="Times New Roman" w:cs="Times New Roman"/>
              </w:rPr>
            </w:pPr>
          </w:p>
        </w:tc>
        <w:tc>
          <w:tcPr>
            <w:tcW w:w="3400" w:type="dxa"/>
            <w:shd w:val="clear" w:color="auto" w:fill="auto"/>
            <w:tcMar>
              <w:left w:w="108" w:type="dxa"/>
              <w:right w:w="108" w:type="dxa"/>
            </w:tcMar>
            <w:vAlign w:val="bottom"/>
          </w:tcPr>
          <w:p w:rsidR="00BF010F" w:rsidRPr="00EB640D" w:rsidRDefault="00BF010F" w:rsidP="00363217">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Energy (net calorific value) [MJ]</w:t>
            </w:r>
          </w:p>
        </w:tc>
      </w:tr>
      <w:tr w:rsidR="000F39EA" w:rsidRPr="00EB640D" w:rsidTr="00B86672">
        <w:tc>
          <w:tcPr>
            <w:tcW w:w="3620" w:type="dxa"/>
            <w:shd w:val="clear" w:color="auto" w:fill="auto"/>
            <w:tcMar>
              <w:left w:w="108" w:type="dxa"/>
              <w:right w:w="108" w:type="dxa"/>
            </w:tcMar>
            <w:vAlign w:val="bottom"/>
          </w:tcPr>
          <w:p w:rsidR="00BF010F" w:rsidRPr="00EB640D" w:rsidRDefault="00BF010F" w:rsidP="00363217">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 xml:space="preserve">Fe-Ni  (30% Ni)(Haque) Version 2 </w:t>
            </w:r>
          </w:p>
        </w:tc>
        <w:tc>
          <w:tcPr>
            <w:tcW w:w="3400" w:type="dxa"/>
            <w:shd w:val="clear" w:color="auto" w:fill="auto"/>
            <w:tcMar>
              <w:left w:w="108" w:type="dxa"/>
              <w:right w:w="108" w:type="dxa"/>
            </w:tcMar>
            <w:vAlign w:val="bottom"/>
          </w:tcPr>
          <w:p w:rsidR="00BF010F" w:rsidRPr="00EB640D" w:rsidRDefault="00BF010F" w:rsidP="00363217">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346.23</w:t>
            </w:r>
          </w:p>
        </w:tc>
      </w:tr>
      <w:tr w:rsidR="000F39EA" w:rsidRPr="00EB640D" w:rsidTr="00B86672">
        <w:tc>
          <w:tcPr>
            <w:tcW w:w="3620" w:type="dxa"/>
            <w:shd w:val="clear" w:color="auto" w:fill="auto"/>
            <w:tcMar>
              <w:left w:w="108" w:type="dxa"/>
              <w:right w:w="108" w:type="dxa"/>
            </w:tcMar>
            <w:vAlign w:val="bottom"/>
          </w:tcPr>
          <w:p w:rsidR="00BF010F" w:rsidRPr="00EB640D" w:rsidRDefault="00BF010F" w:rsidP="00363217">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 xml:space="preserve">Fe-Ni (20 % Ni)(Eurometaux 2014) </w:t>
            </w:r>
          </w:p>
        </w:tc>
        <w:tc>
          <w:tcPr>
            <w:tcW w:w="3400" w:type="dxa"/>
            <w:shd w:val="clear" w:color="auto" w:fill="auto"/>
            <w:tcMar>
              <w:left w:w="108" w:type="dxa"/>
              <w:right w:w="108" w:type="dxa"/>
            </w:tcMar>
            <w:vAlign w:val="bottom"/>
          </w:tcPr>
          <w:p w:rsidR="00BF010F" w:rsidRPr="00EB640D" w:rsidRDefault="00BF010F" w:rsidP="00363217">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317.21</w:t>
            </w:r>
          </w:p>
        </w:tc>
      </w:tr>
      <w:tr w:rsidR="000F39EA" w:rsidRPr="00EB640D" w:rsidTr="00B86672">
        <w:tc>
          <w:tcPr>
            <w:tcW w:w="3620" w:type="dxa"/>
            <w:shd w:val="clear" w:color="auto" w:fill="auto"/>
            <w:tcMar>
              <w:left w:w="108" w:type="dxa"/>
              <w:right w:w="108" w:type="dxa"/>
            </w:tcMar>
            <w:vAlign w:val="bottom"/>
          </w:tcPr>
          <w:p w:rsidR="00BF010F" w:rsidRPr="00EB640D" w:rsidRDefault="004D2D91" w:rsidP="00363217">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GaBi</w:t>
            </w:r>
            <w:r w:rsidR="00BF010F" w:rsidRPr="00EB640D">
              <w:rPr>
                <w:rFonts w:ascii="Times New Roman" w:eastAsia="Calibri" w:hAnsi="Times New Roman" w:cs="Times New Roman"/>
                <w:color w:val="000000"/>
              </w:rPr>
              <w:t xml:space="preserve"> Fe-Ni (30% Ni)</w:t>
            </w:r>
          </w:p>
        </w:tc>
        <w:tc>
          <w:tcPr>
            <w:tcW w:w="3400" w:type="dxa"/>
            <w:shd w:val="clear" w:color="auto" w:fill="auto"/>
            <w:tcMar>
              <w:left w:w="108" w:type="dxa"/>
              <w:right w:w="108" w:type="dxa"/>
            </w:tcMar>
            <w:vAlign w:val="bottom"/>
          </w:tcPr>
          <w:p w:rsidR="00BF010F" w:rsidRPr="00EB640D" w:rsidRDefault="00BF010F" w:rsidP="00363217">
            <w:pPr>
              <w:spacing w:after="0" w:line="360" w:lineRule="auto"/>
              <w:jc w:val="center"/>
              <w:rPr>
                <w:rFonts w:ascii="Times New Roman" w:eastAsia="Calibri" w:hAnsi="Times New Roman" w:cs="Times New Roman"/>
              </w:rPr>
            </w:pPr>
            <w:r w:rsidRPr="00EB640D">
              <w:rPr>
                <w:rFonts w:ascii="Times New Roman" w:eastAsia="Calibri" w:hAnsi="Times New Roman" w:cs="Times New Roman"/>
                <w:color w:val="000000"/>
              </w:rPr>
              <w:t>250.00</w:t>
            </w:r>
          </w:p>
        </w:tc>
      </w:tr>
    </w:tbl>
    <w:p w:rsidR="00BF010F" w:rsidRPr="00EB640D" w:rsidRDefault="00BF010F" w:rsidP="00BF010F">
      <w:pPr>
        <w:spacing w:line="360" w:lineRule="auto"/>
        <w:jc w:val="both"/>
        <w:rPr>
          <w:rFonts w:ascii="Times New Roman" w:eastAsia="Calibri" w:hAnsi="Times New Roman" w:cs="Times New Roman"/>
        </w:rPr>
      </w:pPr>
    </w:p>
    <w:p w:rsidR="0095550A" w:rsidRPr="00785EBA" w:rsidRDefault="0095550A" w:rsidP="0095550A">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lastRenderedPageBreak/>
        <w:t xml:space="preserve">The significantly lower energy value for the Fe-Ni process from </w:t>
      </w:r>
      <w:r w:rsidR="004D2D91" w:rsidRPr="00785EBA">
        <w:rPr>
          <w:rFonts w:ascii="Times New Roman" w:eastAsia="Calibri" w:hAnsi="Times New Roman" w:cs="Times New Roman"/>
        </w:rPr>
        <w:t>GaBi</w:t>
      </w:r>
      <w:r w:rsidRPr="00785EBA">
        <w:rPr>
          <w:rFonts w:ascii="Times New Roman" w:eastAsia="Calibri" w:hAnsi="Times New Roman" w:cs="Times New Roman"/>
        </w:rPr>
        <w:t>, supports the suggestion of the presence of a missing country. Inclusion of China based on its fossil fuel consumption would have increased the energy output from the current value indicated.</w:t>
      </w:r>
    </w:p>
    <w:p w:rsidR="00DC42A6" w:rsidRPr="00785EBA" w:rsidRDefault="006D5A06" w:rsidP="00716891">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Apart from comparing the created models against the original data source as well as in terms of energy, further analysis was conducted using alternative literature sources. </w:t>
      </w:r>
      <w:r w:rsidR="00BF010F" w:rsidRPr="00785EBA">
        <w:rPr>
          <w:rFonts w:ascii="Times New Roman" w:eastAsia="Calibri" w:hAnsi="Times New Roman" w:cs="Times New Roman"/>
        </w:rPr>
        <w:t xml:space="preserve">Further </w:t>
      </w:r>
      <w:r w:rsidRPr="00785EBA">
        <w:rPr>
          <w:rFonts w:ascii="Times New Roman" w:eastAsia="Calibri" w:hAnsi="Times New Roman" w:cs="Times New Roman"/>
        </w:rPr>
        <w:t>comparison</w:t>
      </w:r>
      <w:r w:rsidR="00C65654" w:rsidRPr="00785EBA">
        <w:rPr>
          <w:rFonts w:ascii="Times New Roman" w:eastAsia="Calibri" w:hAnsi="Times New Roman" w:cs="Times New Roman"/>
        </w:rPr>
        <w:t>s</w:t>
      </w:r>
      <w:r w:rsidRPr="00785EBA">
        <w:rPr>
          <w:rFonts w:ascii="Times New Roman" w:eastAsia="Calibri" w:hAnsi="Times New Roman" w:cs="Times New Roman"/>
        </w:rPr>
        <w:t xml:space="preserve"> to literature revealed</w:t>
      </w:r>
      <w:r w:rsidR="00BF010F" w:rsidRPr="00785EBA">
        <w:rPr>
          <w:rFonts w:ascii="Times New Roman" w:eastAsia="Calibri" w:hAnsi="Times New Roman" w:cs="Times New Roman"/>
        </w:rPr>
        <w:t xml:space="preserve"> the influence of production route</w:t>
      </w:r>
      <w:r w:rsidR="00C65654" w:rsidRPr="00785EBA">
        <w:rPr>
          <w:rFonts w:ascii="Times New Roman" w:eastAsia="Calibri" w:hAnsi="Times New Roman" w:cs="Times New Roman"/>
        </w:rPr>
        <w:t>s</w:t>
      </w:r>
      <w:r w:rsidR="00BF010F" w:rsidRPr="00785EBA">
        <w:rPr>
          <w:rFonts w:ascii="Times New Roman" w:eastAsia="Calibri" w:hAnsi="Times New Roman" w:cs="Times New Roman"/>
        </w:rPr>
        <w:t xml:space="preserve">. </w:t>
      </w:r>
      <w:r w:rsidR="00C65654" w:rsidRPr="00785EBA">
        <w:rPr>
          <w:rFonts w:ascii="Times New Roman" w:eastAsia="Calibri" w:hAnsi="Times New Roman" w:cs="Times New Roman"/>
        </w:rPr>
        <w:t xml:space="preserve"> </w:t>
      </w:r>
    </w:p>
    <w:p w:rsidR="00716891" w:rsidRPr="00785EBA" w:rsidRDefault="00C65654" w:rsidP="00716891">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An LCA study conducted by </w:t>
      </w:r>
      <w:r w:rsidRPr="00785EBA">
        <w:rPr>
          <w:rFonts w:ascii="Times New Roman" w:eastAsia="Calibri" w:hAnsi="Times New Roman" w:cs="Times New Roman"/>
          <w:noProof/>
        </w:rPr>
        <w:t>(Norgate et al. 2004)</w:t>
      </w:r>
      <w:r w:rsidRPr="00785EBA">
        <w:rPr>
          <w:rFonts w:ascii="Times New Roman" w:eastAsia="Calibri" w:hAnsi="Times New Roman" w:cs="Times New Roman"/>
        </w:rPr>
        <w:t xml:space="preserve"> investigated alternative routes to stainless steel, where ferronickel was used as the source of nickel. From this study a GWP figure of 9.3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-Equiv was reported for Fe-Ni.</w:t>
      </w:r>
      <w:r w:rsidR="00111E54" w:rsidRPr="00785EBA">
        <w:rPr>
          <w:rFonts w:ascii="Times New Roman" w:eastAsia="Calibri" w:hAnsi="Times New Roman" w:cs="Times New Roman"/>
        </w:rPr>
        <w:t xml:space="preserve"> Within the same study, comparisons were made specifically against, the Nickel Development Institute (NDI) where Norgate noticed a much larger difference in terms of energy between the results.</w:t>
      </w:r>
      <w:r w:rsidR="00716891" w:rsidRPr="00785EBA">
        <w:rPr>
          <w:rFonts w:ascii="Times New Roman" w:eastAsia="Calibri" w:hAnsi="Times New Roman" w:cs="Times New Roman"/>
        </w:rPr>
        <w:t xml:space="preserve"> For </w:t>
      </w:r>
      <w:r w:rsidR="00BF010F" w:rsidRPr="00785EBA">
        <w:rPr>
          <w:rFonts w:ascii="Times New Roman" w:eastAsia="Calibri" w:hAnsi="Times New Roman" w:cs="Times New Roman"/>
        </w:rPr>
        <w:t xml:space="preserve">Fe-Ni, </w:t>
      </w:r>
      <w:r w:rsidR="00716891" w:rsidRPr="00785EBA">
        <w:rPr>
          <w:rFonts w:ascii="Times New Roman" w:eastAsia="Calibri" w:hAnsi="Times New Roman" w:cs="Times New Roman"/>
        </w:rPr>
        <w:t xml:space="preserve">the </w:t>
      </w:r>
      <w:r w:rsidR="00BF010F" w:rsidRPr="00785EBA">
        <w:rPr>
          <w:rFonts w:ascii="Times New Roman" w:eastAsia="Calibri" w:hAnsi="Times New Roman" w:cs="Times New Roman"/>
        </w:rPr>
        <w:t xml:space="preserve">total energy was reported as 110 MJ/kg compared to 225 MJ/kg by the NDI. </w:t>
      </w:r>
      <w:r w:rsidR="00716891" w:rsidRPr="00785EBA">
        <w:rPr>
          <w:rFonts w:ascii="Times New Roman" w:eastAsia="Calibri" w:hAnsi="Times New Roman" w:cs="Times New Roman"/>
        </w:rPr>
        <w:t xml:space="preserve">The difference between the two results was due to processing of sulphidic ores. The results produced by Norgate considered only pyrometallurgical processing of sulphidic ore. </w:t>
      </w:r>
      <w:r w:rsidR="00BF010F" w:rsidRPr="00785EBA">
        <w:rPr>
          <w:rFonts w:ascii="Times New Roman" w:eastAsia="Calibri" w:hAnsi="Times New Roman" w:cs="Times New Roman"/>
        </w:rPr>
        <w:t xml:space="preserve">Whereas the result by NDI was based on the average of both pyrometallurgical and </w:t>
      </w:r>
      <w:r w:rsidR="00716891" w:rsidRPr="00785EBA">
        <w:rPr>
          <w:rFonts w:ascii="Times New Roman" w:eastAsia="Calibri" w:hAnsi="Times New Roman" w:cs="Times New Roman"/>
        </w:rPr>
        <w:t>hydrometallurgical</w:t>
      </w:r>
      <w:r w:rsidR="00BF010F" w:rsidRPr="00785EBA">
        <w:rPr>
          <w:rFonts w:ascii="Times New Roman" w:eastAsia="Calibri" w:hAnsi="Times New Roman" w:cs="Times New Roman"/>
        </w:rPr>
        <w:t xml:space="preserve"> processing of both sulphidic and oxidic ores. It has been shown that hydromet</w:t>
      </w:r>
      <w:r w:rsidRPr="00785EBA">
        <w:rPr>
          <w:rFonts w:ascii="Times New Roman" w:eastAsia="Calibri" w:hAnsi="Times New Roman" w:cs="Times New Roman"/>
        </w:rPr>
        <w:t xml:space="preserve">allurgical processing requires </w:t>
      </w:r>
      <w:r w:rsidR="00BF010F" w:rsidRPr="00785EBA">
        <w:rPr>
          <w:rFonts w:ascii="Times New Roman" w:eastAsia="Calibri" w:hAnsi="Times New Roman" w:cs="Times New Roman"/>
        </w:rPr>
        <w:t>more energy than pyrometallurigcal. Although no GWP for Fe-Ni was stated by the NDI, based on the total energy values and explanation into production routes it can be assumed with some confidence that the value would be greater than 9.3 kg CO</w:t>
      </w:r>
      <w:r w:rsidR="00BF010F" w:rsidRPr="00785EBA">
        <w:rPr>
          <w:rFonts w:ascii="Times New Roman" w:eastAsia="Calibri" w:hAnsi="Times New Roman" w:cs="Times New Roman"/>
          <w:vertAlign w:val="subscript"/>
        </w:rPr>
        <w:t>2</w:t>
      </w:r>
      <w:r w:rsidR="00BF010F" w:rsidRPr="00785EBA">
        <w:rPr>
          <w:rFonts w:ascii="Times New Roman" w:eastAsia="Calibri" w:hAnsi="Times New Roman" w:cs="Times New Roman"/>
        </w:rPr>
        <w:t>-Equiv.</w:t>
      </w:r>
    </w:p>
    <w:p w:rsidR="00716891" w:rsidRPr="00785EBA" w:rsidRDefault="00716891" w:rsidP="00716891">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A further study by Norgate </w:t>
      </w:r>
      <w:r w:rsidRPr="00785EBA">
        <w:rPr>
          <w:rFonts w:ascii="Times New Roman" w:eastAsia="Calibri" w:hAnsi="Times New Roman" w:cs="Times New Roman"/>
          <w:noProof/>
        </w:rPr>
        <w:t>(Norgate et al. 2007)</w:t>
      </w:r>
      <w:r w:rsidRPr="00785EBA">
        <w:rPr>
          <w:rFonts w:ascii="Times New Roman" w:eastAsia="Calibri" w:hAnsi="Times New Roman" w:cs="Times New Roman"/>
        </w:rPr>
        <w:t xml:space="preserve"> investigated the energy impacts of nickel laterite processing. The study reported a GWP value of 16.1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-Equiv. This value was based on the pressure acid leaching and solvent extraction/ electro-winning (SX/EW) route for Fe-Ni production.</w:t>
      </w:r>
    </w:p>
    <w:p w:rsidR="00DC42A6" w:rsidRPr="00785EBA" w:rsidRDefault="00716891" w:rsidP="00DC42A6">
      <w:pPr>
        <w:spacing w:after="0" w:line="360" w:lineRule="auto"/>
        <w:jc w:val="both"/>
        <w:rPr>
          <w:rFonts w:ascii="Times New Roman" w:eastAsia="Calibri" w:hAnsi="Times New Roman" w:cs="Times New Roman"/>
        </w:rPr>
      </w:pPr>
      <w:r w:rsidRPr="00785EBA">
        <w:rPr>
          <w:rFonts w:ascii="Times New Roman" w:eastAsia="Calibri" w:hAnsi="Times New Roman" w:cs="Times New Roman"/>
        </w:rPr>
        <w:t>In comparison with the GWP value from the earlier study by Norgate (9.3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-Equiv)</w:t>
      </w:r>
      <w:r w:rsidR="00DC42A6" w:rsidRPr="00785EBA">
        <w:rPr>
          <w:rFonts w:ascii="Times New Roman" w:eastAsia="Calibri" w:hAnsi="Times New Roman" w:cs="Times New Roman"/>
        </w:rPr>
        <w:t xml:space="preserve"> it would be expected that both values would be similar. Both studies were cradle to gate with a functional unit based on 1kg of end product and modelled using the pyrometallurigcal process route. However one noticeable difference between the two models was the quantity of ‘ore grade’. </w:t>
      </w:r>
      <w:r w:rsidR="00BF010F" w:rsidRPr="00785EBA">
        <w:rPr>
          <w:rFonts w:ascii="Times New Roman" w:eastAsia="Calibri" w:hAnsi="Times New Roman" w:cs="Times New Roman"/>
        </w:rPr>
        <w:t>In the earlier study</w:t>
      </w:r>
      <w:r w:rsidR="00DC42A6" w:rsidRPr="00785EBA">
        <w:rPr>
          <w:rFonts w:ascii="Times New Roman" w:eastAsia="Calibri" w:hAnsi="Times New Roman" w:cs="Times New Roman"/>
        </w:rPr>
        <w:t xml:space="preserve"> </w:t>
      </w:r>
      <w:r w:rsidR="00DC42A6" w:rsidRPr="00785EBA">
        <w:rPr>
          <w:rFonts w:ascii="Times New Roman" w:eastAsia="Calibri" w:hAnsi="Times New Roman" w:cs="Times New Roman"/>
          <w:noProof/>
        </w:rPr>
        <w:t>(Norgate et al. 2004)</w:t>
      </w:r>
      <w:r w:rsidR="00BF010F" w:rsidRPr="00785EBA">
        <w:rPr>
          <w:rFonts w:ascii="Times New Roman" w:eastAsia="Calibri" w:hAnsi="Times New Roman" w:cs="Times New Roman"/>
        </w:rPr>
        <w:t>,</w:t>
      </w:r>
      <w:r w:rsidR="00DC42A6" w:rsidRPr="00785EBA">
        <w:rPr>
          <w:rFonts w:ascii="Times New Roman" w:eastAsia="Calibri" w:hAnsi="Times New Roman" w:cs="Times New Roman"/>
        </w:rPr>
        <w:t xml:space="preserve"> the feedstock was laterite ore </w:t>
      </w:r>
      <w:r w:rsidR="00BF010F" w:rsidRPr="00785EBA">
        <w:rPr>
          <w:rFonts w:ascii="Times New Roman" w:eastAsia="Calibri" w:hAnsi="Times New Roman" w:cs="Times New Roman"/>
        </w:rPr>
        <w:t>2.4% Ni, whereas in the latter study</w:t>
      </w:r>
      <w:r w:rsidR="00DC42A6" w:rsidRPr="00785EBA">
        <w:rPr>
          <w:rFonts w:ascii="Times New Roman" w:eastAsia="Calibri" w:hAnsi="Times New Roman" w:cs="Times New Roman"/>
        </w:rPr>
        <w:t xml:space="preserve"> </w:t>
      </w:r>
      <w:r w:rsidR="00DC42A6" w:rsidRPr="00785EBA">
        <w:rPr>
          <w:rFonts w:ascii="Times New Roman" w:eastAsia="Calibri" w:hAnsi="Times New Roman" w:cs="Times New Roman"/>
          <w:noProof/>
        </w:rPr>
        <w:t>(Norgate et al. 2007)</w:t>
      </w:r>
      <w:r w:rsidR="00BF010F" w:rsidRPr="00785EBA">
        <w:rPr>
          <w:rFonts w:ascii="Times New Roman" w:eastAsia="Calibri" w:hAnsi="Times New Roman" w:cs="Times New Roman"/>
        </w:rPr>
        <w:t xml:space="preserve"> it was </w:t>
      </w:r>
      <w:r w:rsidR="00DC42A6" w:rsidRPr="00785EBA">
        <w:rPr>
          <w:rFonts w:ascii="Times New Roman" w:eastAsia="Calibri" w:hAnsi="Times New Roman" w:cs="Times New Roman"/>
        </w:rPr>
        <w:t xml:space="preserve">again based on laterite ore but with a lower percentage of 1.7% Ni. </w:t>
      </w:r>
      <w:r w:rsidR="00BF010F" w:rsidRPr="00785EBA">
        <w:rPr>
          <w:rFonts w:ascii="Times New Roman" w:eastAsia="Calibri" w:hAnsi="Times New Roman" w:cs="Times New Roman"/>
        </w:rPr>
        <w:t>It is known as ore grade declines, additional energy must be consumed in the mining and mineral processing stages to move and treat the additional gangue material. The decrease in percentage ore correlates with the increase in GWP from 9.3 to 16.1 kg CO</w:t>
      </w:r>
      <w:r w:rsidR="00BF010F" w:rsidRPr="00785EBA">
        <w:rPr>
          <w:rFonts w:ascii="Times New Roman" w:eastAsia="Calibri" w:hAnsi="Times New Roman" w:cs="Times New Roman"/>
          <w:vertAlign w:val="subscript"/>
        </w:rPr>
        <w:t>2</w:t>
      </w:r>
      <w:r w:rsidR="00DC42A6" w:rsidRPr="00785EBA">
        <w:rPr>
          <w:rFonts w:ascii="Times New Roman" w:eastAsia="Calibri" w:hAnsi="Times New Roman" w:cs="Times New Roman"/>
        </w:rPr>
        <w:t xml:space="preserve">-Equiv. The noticeable change in GWP was </w:t>
      </w:r>
      <w:r w:rsidR="00BF010F" w:rsidRPr="00785EBA">
        <w:rPr>
          <w:rFonts w:ascii="Times New Roman" w:eastAsia="Calibri" w:hAnsi="Times New Roman" w:cs="Times New Roman"/>
        </w:rPr>
        <w:t>more evident with Fe-Ni as it is particularly energy intensive compared to other ferro-alloy processes.</w:t>
      </w:r>
    </w:p>
    <w:p w:rsidR="009C0963" w:rsidRPr="00EB640D" w:rsidRDefault="00972BD1" w:rsidP="009C0963">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Aside from Norgate,</w:t>
      </w:r>
      <w:r w:rsidR="00BF010F" w:rsidRPr="00785EBA">
        <w:rPr>
          <w:rFonts w:ascii="Times New Roman" w:eastAsia="Calibri" w:hAnsi="Times New Roman" w:cs="Times New Roman"/>
        </w:rPr>
        <w:t xml:space="preserve"> the Nickel Institute also conducted an LCA study in 2012 on Nickel and Fe-Ni. </w:t>
      </w:r>
      <w:r w:rsidRPr="00785EBA">
        <w:rPr>
          <w:rFonts w:ascii="Times New Roman" w:eastAsia="Calibri" w:hAnsi="Times New Roman" w:cs="Times New Roman"/>
        </w:rPr>
        <w:t>The scope of the study was comprehensive as it involved participation from 9 main nickel producers with 19 sites, accounting for 40% of the Fe-Ni market. However a notable omission was Ni production from China. The reference year for the study was 2011 and in terms of technology included all main pyrometallurgical and hydrometallurgical nickel processing technologies. The result of the study</w:t>
      </w:r>
      <w:r w:rsidR="00BF010F" w:rsidRPr="00785EBA">
        <w:rPr>
          <w:rFonts w:ascii="Times New Roman" w:eastAsia="Calibri" w:hAnsi="Times New Roman" w:cs="Times New Roman"/>
        </w:rPr>
        <w:t xml:space="preserve"> showed for 1 kg nickel in Fe-Ni a GWP value of 32 kg CO</w:t>
      </w:r>
      <w:r w:rsidR="00BF010F" w:rsidRPr="00785EBA">
        <w:rPr>
          <w:rFonts w:ascii="Times New Roman" w:eastAsia="Calibri" w:hAnsi="Times New Roman" w:cs="Times New Roman"/>
          <w:vertAlign w:val="subscript"/>
        </w:rPr>
        <w:t>2</w:t>
      </w:r>
      <w:r w:rsidR="00BF010F" w:rsidRPr="00785EBA">
        <w:rPr>
          <w:rFonts w:ascii="Times New Roman" w:eastAsia="Calibri" w:hAnsi="Times New Roman" w:cs="Times New Roman"/>
        </w:rPr>
        <w:t>-Equiv</w:t>
      </w:r>
      <w:r w:rsidR="00DC42A6" w:rsidRPr="00785EBA">
        <w:rPr>
          <w:rFonts w:ascii="Times New Roman" w:eastAsia="Calibri" w:hAnsi="Times New Roman" w:cs="Times New Roman"/>
        </w:rPr>
        <w:t xml:space="preserve"> was produced</w:t>
      </w:r>
      <w:r w:rsidR="00BF010F" w:rsidRPr="00785EBA">
        <w:rPr>
          <w:rFonts w:ascii="Times New Roman" w:eastAsia="Calibri" w:hAnsi="Times New Roman" w:cs="Times New Roman"/>
        </w:rPr>
        <w:t>.</w:t>
      </w:r>
      <w:r w:rsidRPr="00785EBA">
        <w:rPr>
          <w:rFonts w:ascii="Times New Roman" w:eastAsia="Calibri" w:hAnsi="Times New Roman" w:cs="Times New Roman"/>
        </w:rPr>
        <w:t xml:space="preserve"> Although </w:t>
      </w:r>
      <w:r w:rsidRPr="00EB640D">
        <w:rPr>
          <w:rFonts w:ascii="Times New Roman" w:eastAsia="Calibri" w:hAnsi="Times New Roman" w:cs="Times New Roman"/>
        </w:rPr>
        <w:t xml:space="preserve">50% </w:t>
      </w:r>
      <w:r w:rsidRPr="00EB640D">
        <w:rPr>
          <w:rFonts w:ascii="Times New Roman" w:eastAsia="Calibri" w:hAnsi="Times New Roman" w:cs="Times New Roman"/>
        </w:rPr>
        <w:lastRenderedPageBreak/>
        <w:t>higher than all other Fe-Ni GWP results,</w:t>
      </w:r>
      <w:r w:rsidR="00E674A8" w:rsidRPr="00EB640D">
        <w:rPr>
          <w:rFonts w:ascii="Times New Roman" w:eastAsia="Calibri" w:hAnsi="Times New Roman" w:cs="Times New Roman"/>
        </w:rPr>
        <w:t xml:space="preserve"> the actual quantities and make up behind the results were not revealed.  Including critical inputs such as source of electricity, carbon inputs and losses associated with the model. So although the study was from an international organisational body with data inventory from nickel producing sites, without access to the model, the GWP value cannot fully be relied upon.</w:t>
      </w:r>
    </w:p>
    <w:p w:rsidR="00BF010F" w:rsidRPr="00EB640D" w:rsidRDefault="00BF010F" w:rsidP="009C0963">
      <w:pPr>
        <w:spacing w:after="0" w:line="360" w:lineRule="auto"/>
        <w:ind w:firstLine="720"/>
        <w:jc w:val="both"/>
        <w:rPr>
          <w:rFonts w:ascii="Times New Roman" w:eastAsia="Calibri" w:hAnsi="Times New Roman" w:cs="Times New Roman"/>
        </w:rPr>
      </w:pPr>
      <w:r w:rsidRPr="00EB640D">
        <w:rPr>
          <w:rFonts w:ascii="Times New Roman" w:eastAsia="Calibri" w:hAnsi="Times New Roman" w:cs="Times New Roman"/>
        </w:rPr>
        <w:t>Summarising it is difficult to compare one LCA study with another</w:t>
      </w:r>
      <w:r w:rsidR="009C0963" w:rsidRPr="00EB640D">
        <w:rPr>
          <w:rFonts w:ascii="Times New Roman" w:eastAsia="Calibri" w:hAnsi="Times New Roman" w:cs="Times New Roman"/>
        </w:rPr>
        <w:t>, particular when important quantitative and qualitative data are missing</w:t>
      </w:r>
      <w:r w:rsidRPr="00EB640D">
        <w:rPr>
          <w:rFonts w:ascii="Times New Roman" w:eastAsia="Calibri" w:hAnsi="Times New Roman" w:cs="Times New Roman"/>
        </w:rPr>
        <w:t>. In order to mitigate thi</w:t>
      </w:r>
      <w:r w:rsidR="006F1B8A">
        <w:rPr>
          <w:rFonts w:ascii="Times New Roman" w:eastAsia="Calibri" w:hAnsi="Times New Roman" w:cs="Times New Roman"/>
        </w:rPr>
        <w:t>s, work conducted here has focu</w:t>
      </w:r>
      <w:r w:rsidRPr="00EB640D">
        <w:rPr>
          <w:rFonts w:ascii="Times New Roman" w:eastAsia="Calibri" w:hAnsi="Times New Roman" w:cs="Times New Roman"/>
        </w:rPr>
        <w:t>sed on understanding the key material and energy requirements and then conducting modelling with reasonably st</w:t>
      </w:r>
      <w:r w:rsidR="009C0963" w:rsidRPr="00EB640D">
        <w:rPr>
          <w:rFonts w:ascii="Times New Roman" w:eastAsia="Calibri" w:hAnsi="Times New Roman" w:cs="Times New Roman"/>
        </w:rPr>
        <w:t xml:space="preserve">ated assumptions. This has </w:t>
      </w:r>
      <w:r w:rsidRPr="00EB640D">
        <w:rPr>
          <w:rFonts w:ascii="Times New Roman" w:eastAsia="Calibri" w:hAnsi="Times New Roman" w:cs="Times New Roman"/>
        </w:rPr>
        <w:t xml:space="preserve">proved particularly </w:t>
      </w:r>
      <w:r w:rsidR="009C0963" w:rsidRPr="00EB640D">
        <w:rPr>
          <w:rFonts w:ascii="Times New Roman" w:eastAsia="Calibri" w:hAnsi="Times New Roman" w:cs="Times New Roman"/>
        </w:rPr>
        <w:t xml:space="preserve">reliable </w:t>
      </w:r>
      <w:r w:rsidRPr="00EB640D">
        <w:rPr>
          <w:rFonts w:ascii="Times New Roman" w:eastAsia="Calibri" w:hAnsi="Times New Roman" w:cs="Times New Roman"/>
        </w:rPr>
        <w:t xml:space="preserve">with Fe-Ni, where the GWP values are identical across 4 different models, excluding </w:t>
      </w:r>
      <w:r w:rsidR="004D2D91" w:rsidRPr="00EB640D">
        <w:rPr>
          <w:rFonts w:ascii="Times New Roman" w:eastAsia="Calibri" w:hAnsi="Times New Roman" w:cs="Times New Roman"/>
        </w:rPr>
        <w:t>GaBi</w:t>
      </w:r>
      <w:r w:rsidRPr="00EB640D">
        <w:rPr>
          <w:rFonts w:ascii="Times New Roman" w:eastAsia="Calibri" w:hAnsi="Times New Roman" w:cs="Times New Roman"/>
        </w:rPr>
        <w:t xml:space="preserve">, even with </w:t>
      </w:r>
      <w:r w:rsidR="009C0963" w:rsidRPr="00EB640D">
        <w:rPr>
          <w:rFonts w:ascii="Times New Roman" w:eastAsia="Calibri" w:hAnsi="Times New Roman" w:cs="Times New Roman"/>
        </w:rPr>
        <w:t>subtle differences</w:t>
      </w:r>
      <w:r w:rsidRPr="00EB640D">
        <w:rPr>
          <w:rFonts w:ascii="Times New Roman" w:eastAsia="Calibri" w:hAnsi="Times New Roman" w:cs="Times New Roman"/>
        </w:rPr>
        <w:t xml:space="preserve"> in each particular model.</w:t>
      </w:r>
    </w:p>
    <w:p w:rsidR="00BF010F" w:rsidRPr="00EB640D" w:rsidRDefault="00BF010F" w:rsidP="000209CE">
      <w:pPr>
        <w:spacing w:after="0" w:line="360" w:lineRule="auto"/>
        <w:ind w:firstLine="720"/>
        <w:jc w:val="both"/>
        <w:rPr>
          <w:rFonts w:ascii="Times New Roman" w:eastAsia="Calibri" w:hAnsi="Times New Roman" w:cs="Times New Roman"/>
        </w:rPr>
      </w:pPr>
      <w:r w:rsidRPr="00EB640D">
        <w:rPr>
          <w:rFonts w:ascii="Times New Roman" w:eastAsia="Calibri" w:hAnsi="Times New Roman" w:cs="Times New Roman"/>
        </w:rPr>
        <w:t xml:space="preserve">Based on the results and potential to investigate parameters of interest, the global Fe-Ni model below, was selected as the model of choice </w:t>
      </w:r>
      <w:r w:rsidR="00D56605">
        <w:rPr>
          <w:rFonts w:ascii="Times New Roman" w:eastAsia="Calibri" w:hAnsi="Times New Roman" w:cs="Times New Roman"/>
        </w:rPr>
        <w:t xml:space="preserve">the grades </w:t>
      </w:r>
      <w:r w:rsidRPr="00EB640D">
        <w:rPr>
          <w:rFonts w:ascii="Times New Roman" w:eastAsia="Calibri" w:hAnsi="Times New Roman" w:cs="Times New Roman"/>
        </w:rPr>
        <w:t>of steel</w:t>
      </w:r>
      <w:r w:rsidR="00D56605">
        <w:rPr>
          <w:rFonts w:ascii="Times New Roman" w:eastAsia="Calibri" w:hAnsi="Times New Roman" w:cs="Times New Roman"/>
        </w:rPr>
        <w:t xml:space="preserve"> work</w:t>
      </w:r>
      <w:r w:rsidRPr="00EB640D">
        <w:rPr>
          <w:rFonts w:ascii="Times New Roman" w:eastAsia="Calibri" w:hAnsi="Times New Roman" w:cs="Times New Roman"/>
        </w:rPr>
        <w:t>.</w:t>
      </w:r>
    </w:p>
    <w:p w:rsidR="00BF010F" w:rsidRPr="00EB640D" w:rsidRDefault="00BF010F" w:rsidP="00CF066D">
      <w:pPr>
        <w:spacing w:line="360" w:lineRule="auto"/>
        <w:jc w:val="center"/>
        <w:rPr>
          <w:rFonts w:ascii="Times New Roman" w:eastAsia="Calibri" w:hAnsi="Times New Roman" w:cs="Times New Roman"/>
        </w:rPr>
      </w:pPr>
      <w:r w:rsidRPr="00EB640D">
        <w:rPr>
          <w:noProof/>
        </w:rPr>
        <w:drawing>
          <wp:inline distT="0" distB="0" distL="0" distR="0">
            <wp:extent cx="5231958" cy="3414999"/>
            <wp:effectExtent l="0" t="0" r="6985"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srcRect l="33168" t="38230" r="21756" b="9463"/>
                    <a:stretch/>
                  </pic:blipFill>
                  <pic:spPr bwMode="auto">
                    <a:xfrm>
                      <a:off x="0" y="0"/>
                      <a:ext cx="5247742" cy="3425302"/>
                    </a:xfrm>
                    <a:prstGeom prst="rect">
                      <a:avLst/>
                    </a:prstGeom>
                    <a:ln>
                      <a:noFill/>
                    </a:ln>
                    <a:extLst>
                      <a:ext uri="{53640926-AAD7-44D8-BBD7-CCE9431645EC}">
                        <a14:shadowObscured xmlns:a14="http://schemas.microsoft.com/office/drawing/2010/main"/>
                      </a:ext>
                    </a:extLst>
                  </pic:spPr>
                </pic:pic>
              </a:graphicData>
            </a:graphic>
          </wp:inline>
        </w:drawing>
      </w:r>
    </w:p>
    <w:p w:rsidR="00BF010F" w:rsidRDefault="00BF010F" w:rsidP="00BF010F">
      <w:pPr>
        <w:rPr>
          <w:rFonts w:ascii="Times New Roman" w:eastAsia="Calibri" w:hAnsi="Times New Roman" w:cs="Times New Roman"/>
        </w:rPr>
      </w:pPr>
      <w:bookmarkStart w:id="177" w:name="_Toc495848373"/>
      <w:r w:rsidRPr="00EB640D">
        <w:rPr>
          <w:rFonts w:ascii="Times New Roman" w:hAnsi="Times New Roman" w:cs="Times New Roman"/>
        </w:rPr>
        <w:t xml:space="preserve">Figure </w:t>
      </w:r>
      <w:r w:rsidR="009A0ED7" w:rsidRPr="00EB640D">
        <w:rPr>
          <w:rFonts w:ascii="Times New Roman" w:hAnsi="Times New Roman" w:cs="Times New Roman"/>
        </w:rPr>
        <w:fldChar w:fldCharType="begin"/>
      </w:r>
      <w:r w:rsidRPr="00EB640D">
        <w:rPr>
          <w:rFonts w:ascii="Times New Roman" w:hAnsi="Times New Roman" w:cs="Times New Roman"/>
        </w:rPr>
        <w:instrText xml:space="preserve"> SEQ Figure \* ARABIC </w:instrText>
      </w:r>
      <w:r w:rsidR="009A0ED7" w:rsidRPr="00EB640D">
        <w:rPr>
          <w:rFonts w:ascii="Times New Roman" w:hAnsi="Times New Roman" w:cs="Times New Roman"/>
        </w:rPr>
        <w:fldChar w:fldCharType="separate"/>
      </w:r>
      <w:r w:rsidR="009F5483">
        <w:rPr>
          <w:rFonts w:ascii="Times New Roman" w:hAnsi="Times New Roman" w:cs="Times New Roman"/>
          <w:noProof/>
        </w:rPr>
        <w:t>40</w:t>
      </w:r>
      <w:r w:rsidR="009A0ED7" w:rsidRPr="00EB640D">
        <w:rPr>
          <w:rFonts w:ascii="Times New Roman" w:hAnsi="Times New Roman" w:cs="Times New Roman"/>
        </w:rPr>
        <w:fldChar w:fldCharType="end"/>
      </w:r>
      <w:r w:rsidRPr="00EB640D">
        <w:rPr>
          <w:rFonts w:ascii="Times New Roman" w:hAnsi="Times New Roman" w:cs="Times New Roman"/>
        </w:rPr>
        <w:t xml:space="preserve">. </w:t>
      </w:r>
      <w:r w:rsidRPr="00EB640D">
        <w:rPr>
          <w:rFonts w:ascii="Times New Roman" w:eastAsia="Calibri" w:hAnsi="Times New Roman" w:cs="Times New Roman"/>
        </w:rPr>
        <w:t>Global Fe-Ni model.</w:t>
      </w:r>
      <w:bookmarkEnd w:id="177"/>
    </w:p>
    <w:p w:rsidR="00785EBA" w:rsidRPr="00EB640D" w:rsidRDefault="00785EBA" w:rsidP="00BF010F">
      <w:pPr>
        <w:rPr>
          <w:rFonts w:ascii="Times New Roman" w:eastAsia="Calibri" w:hAnsi="Times New Roman" w:cs="Times New Roman"/>
        </w:rPr>
      </w:pPr>
    </w:p>
    <w:p w:rsidR="00785EBA" w:rsidRDefault="00785EBA" w:rsidP="00BF010F">
      <w:pPr>
        <w:spacing w:line="360" w:lineRule="auto"/>
        <w:rPr>
          <w:rFonts w:ascii="Times New Roman" w:eastAsia="Calibri" w:hAnsi="Times New Roman" w:cs="Times New Roman"/>
        </w:rPr>
        <w:sectPr w:rsidR="00785EBA" w:rsidSect="00C24042">
          <w:pgSz w:w="11906" w:h="16838"/>
          <w:pgMar w:top="1440" w:right="1440" w:bottom="1440" w:left="1440" w:header="708" w:footer="708" w:gutter="0"/>
          <w:cols w:space="708"/>
          <w:docGrid w:linePitch="360"/>
        </w:sectPr>
      </w:pPr>
    </w:p>
    <w:p w:rsidR="00BF010F" w:rsidRPr="00EB640D" w:rsidRDefault="000F272E" w:rsidP="00BF010F">
      <w:pPr>
        <w:pStyle w:val="Heading2"/>
        <w:rPr>
          <w:rFonts w:eastAsia="Calibri Light"/>
        </w:rPr>
      </w:pPr>
      <w:r w:rsidRPr="00EB640D">
        <w:rPr>
          <w:rFonts w:eastAsia="Calibri Light"/>
        </w:rPr>
        <w:lastRenderedPageBreak/>
        <w:t>7.6. Ferro-Niobium</w:t>
      </w:r>
    </w:p>
    <w:p w:rsidR="00BF010F" w:rsidRPr="00EB640D" w:rsidRDefault="00BF010F" w:rsidP="00CF066D">
      <w:pPr>
        <w:spacing w:line="360" w:lineRule="auto"/>
        <w:jc w:val="center"/>
        <w:rPr>
          <w:rFonts w:ascii="Times New Roman" w:eastAsia="Calibri" w:hAnsi="Times New Roman" w:cs="Times New Roman"/>
        </w:rPr>
      </w:pPr>
      <w:r w:rsidRPr="00EB640D">
        <w:rPr>
          <w:noProof/>
        </w:rPr>
        <w:drawing>
          <wp:inline distT="0" distB="0" distL="0" distR="0">
            <wp:extent cx="5731510" cy="2857500"/>
            <wp:effectExtent l="0" t="0" r="2540" b="0"/>
            <wp:docPr id="26"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BF010F" w:rsidRPr="00785EBA" w:rsidRDefault="00BF010F" w:rsidP="00BF010F">
      <w:pPr>
        <w:rPr>
          <w:rFonts w:ascii="Times New Roman" w:eastAsia="Calibri" w:hAnsi="Times New Roman" w:cs="Times New Roman"/>
        </w:rPr>
      </w:pPr>
      <w:bookmarkStart w:id="178" w:name="_Ref468307611"/>
      <w:bookmarkStart w:id="179" w:name="_Toc495848374"/>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41</w:t>
      </w:r>
      <w:r w:rsidR="009A0ED7" w:rsidRPr="00785EBA">
        <w:rPr>
          <w:rFonts w:ascii="Times New Roman" w:hAnsi="Times New Roman" w:cs="Times New Roman"/>
        </w:rPr>
        <w:fldChar w:fldCharType="end"/>
      </w:r>
      <w:bookmarkEnd w:id="178"/>
      <w:r w:rsidRPr="00785EBA">
        <w:rPr>
          <w:rFonts w:ascii="Times New Roman" w:hAnsi="Times New Roman" w:cs="Times New Roman"/>
        </w:rPr>
        <w:t xml:space="preserve">. </w:t>
      </w:r>
      <w:r w:rsidRPr="00785EBA">
        <w:rPr>
          <w:rFonts w:ascii="Times New Roman" w:eastAsia="Calibri" w:hAnsi="Times New Roman" w:cs="Times New Roman"/>
        </w:rPr>
        <w:t>Comparison of all literature sources for Fe-Nb production.</w:t>
      </w:r>
      <w:bookmarkEnd w:id="179"/>
    </w:p>
    <w:p w:rsidR="009E3F01" w:rsidRPr="00785EBA" w:rsidRDefault="00A6415F" w:rsidP="000209CE">
      <w:pPr>
        <w:spacing w:after="0" w:line="360" w:lineRule="auto"/>
        <w:ind w:firstLine="720"/>
        <w:jc w:val="both"/>
        <w:rPr>
          <w:rFonts w:ascii="Times New Roman" w:eastAsia="Calibri" w:hAnsi="Times New Roman" w:cs="Times New Roman"/>
        </w:rPr>
      </w:pPr>
      <w:r w:rsidRPr="00785EBA">
        <w:fldChar w:fldCharType="begin"/>
      </w:r>
      <w:r w:rsidRPr="00785EBA">
        <w:instrText xml:space="preserve"> REF _Ref468307611 \h  \* MERGEFORMAT </w:instrText>
      </w:r>
      <w:r w:rsidRPr="00785EBA">
        <w:fldChar w:fldCharType="separate"/>
      </w:r>
      <w:r w:rsidR="009F5483" w:rsidRPr="00785EBA">
        <w:rPr>
          <w:rFonts w:ascii="Times New Roman" w:hAnsi="Times New Roman" w:cs="Times New Roman"/>
        </w:rPr>
        <w:t xml:space="preserve">Figure </w:t>
      </w:r>
      <w:r w:rsidR="009F5483">
        <w:rPr>
          <w:rFonts w:ascii="Times New Roman" w:hAnsi="Times New Roman" w:cs="Times New Roman"/>
          <w:noProof/>
        </w:rPr>
        <w:t>41</w:t>
      </w:r>
      <w:r w:rsidRPr="00785EBA">
        <w:fldChar w:fldCharType="end"/>
      </w:r>
      <w:r w:rsidR="00BF010F" w:rsidRPr="00785EBA">
        <w:rPr>
          <w:rFonts w:ascii="Times New Roman" w:eastAsia="Calibri" w:hAnsi="Times New Roman" w:cs="Times New Roman"/>
        </w:rPr>
        <w:t xml:space="preserve"> illustrates</w:t>
      </w:r>
      <w:r w:rsidR="009E3F01" w:rsidRPr="00785EBA">
        <w:rPr>
          <w:rFonts w:ascii="Times New Roman" w:eastAsia="Calibri" w:hAnsi="Times New Roman" w:cs="Times New Roman"/>
        </w:rPr>
        <w:t xml:space="preserve"> the</w:t>
      </w:r>
      <w:r w:rsidR="00BF010F" w:rsidRPr="00785EBA">
        <w:rPr>
          <w:rFonts w:ascii="Times New Roman" w:eastAsia="Calibri" w:hAnsi="Times New Roman" w:cs="Times New Roman"/>
        </w:rPr>
        <w:t xml:space="preserve"> three different sources</w:t>
      </w:r>
      <w:r w:rsidR="009E3F01" w:rsidRPr="00785EBA">
        <w:rPr>
          <w:rFonts w:ascii="Times New Roman" w:eastAsia="Calibri" w:hAnsi="Times New Roman" w:cs="Times New Roman"/>
        </w:rPr>
        <w:t xml:space="preserve"> used</w:t>
      </w:r>
      <w:r w:rsidR="00BF010F" w:rsidRPr="00785EBA">
        <w:rPr>
          <w:rFonts w:ascii="Times New Roman" w:eastAsia="Calibri" w:hAnsi="Times New Roman" w:cs="Times New Roman"/>
        </w:rPr>
        <w:t xml:space="preserve"> for Fe-Nb modelling. The </w:t>
      </w:r>
      <w:r w:rsidR="009E3F01" w:rsidRPr="00785EBA">
        <w:rPr>
          <w:rFonts w:ascii="Times New Roman" w:eastAsia="Calibri" w:hAnsi="Times New Roman" w:cs="Times New Roman"/>
        </w:rPr>
        <w:t>GWP value produced from Tudor was an estimated value based on a worst case scenario</w:t>
      </w:r>
      <w:r w:rsidR="00887C30" w:rsidRPr="00785EBA">
        <w:rPr>
          <w:rFonts w:ascii="Times New Roman" w:eastAsia="Calibri" w:hAnsi="Times New Roman" w:cs="Times New Roman"/>
        </w:rPr>
        <w:t>. It was estimated</w:t>
      </w:r>
      <w:r w:rsidR="009E3F01" w:rsidRPr="00785EBA">
        <w:rPr>
          <w:rFonts w:ascii="Times New Roman" w:eastAsia="Calibri" w:hAnsi="Times New Roman" w:cs="Times New Roman"/>
        </w:rPr>
        <w:t xml:space="preserve"> based on the unique production route of Fe-Nb</w:t>
      </w:r>
      <w:r w:rsidR="00887C30" w:rsidRPr="00785EBA">
        <w:rPr>
          <w:rFonts w:ascii="Times New Roman" w:eastAsia="Calibri" w:hAnsi="Times New Roman" w:cs="Times New Roman"/>
        </w:rPr>
        <w:t xml:space="preserve"> (i.e. aluminothermic reduction)</w:t>
      </w:r>
      <w:r w:rsidR="009E3F01" w:rsidRPr="00785EBA">
        <w:rPr>
          <w:rFonts w:ascii="Times New Roman" w:eastAsia="Calibri" w:hAnsi="Times New Roman" w:cs="Times New Roman"/>
        </w:rPr>
        <w:t xml:space="preserve"> but with limited data.</w:t>
      </w:r>
    </w:p>
    <w:p w:rsidR="008E774A" w:rsidRPr="00785EBA" w:rsidRDefault="00887C30" w:rsidP="008E774A">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Actual creation of Fe-Nb models was via data from </w:t>
      </w:r>
      <w:r w:rsidRPr="00785EBA">
        <w:rPr>
          <w:rFonts w:ascii="Times New Roman" w:eastAsia="Calibri" w:hAnsi="Times New Roman" w:cs="Times New Roman"/>
          <w:noProof/>
        </w:rPr>
        <w:t>(Gasik.M 2013)</w:t>
      </w:r>
      <w:r w:rsidRPr="00785EBA">
        <w:rPr>
          <w:rFonts w:ascii="Times New Roman" w:eastAsia="Calibri" w:hAnsi="Times New Roman" w:cs="Times New Roman"/>
        </w:rPr>
        <w:t xml:space="preserve"> and </w:t>
      </w:r>
      <w:r w:rsidRPr="00785EBA">
        <w:rPr>
          <w:rFonts w:ascii="Times New Roman" w:eastAsia="Calibri" w:hAnsi="Times New Roman" w:cs="Times New Roman"/>
          <w:noProof/>
        </w:rPr>
        <w:t>(Nuss &amp; Eckelman 2014)</w:t>
      </w:r>
      <w:r w:rsidRPr="00785EBA">
        <w:rPr>
          <w:rFonts w:ascii="Times New Roman" w:eastAsia="Calibri" w:hAnsi="Times New Roman" w:cs="Times New Roman"/>
        </w:rPr>
        <w:t>. Data from these models produced GWP values of 4.39 (Gasik) and 4.83 (Nuss)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-Equiv respectively. The difference in GWP value between the models was approximately 9.54% and can be explained by breakdown of GWP in terms of CO</w:t>
      </w:r>
      <w:r w:rsidRPr="00785EBA">
        <w:rPr>
          <w:rFonts w:ascii="Times New Roman" w:eastAsia="Calibri" w:hAnsi="Times New Roman" w:cs="Times New Roman"/>
          <w:vertAlign w:val="subscript"/>
        </w:rPr>
        <w:t xml:space="preserve">2 </w:t>
      </w:r>
      <w:r w:rsidRPr="00785EBA">
        <w:rPr>
          <w:rFonts w:ascii="Times New Roman" w:eastAsia="Calibri" w:hAnsi="Times New Roman" w:cs="Times New Roman"/>
        </w:rPr>
        <w:t>contribution.</w:t>
      </w:r>
    </w:p>
    <w:p w:rsidR="00BF010F" w:rsidRPr="00785EBA" w:rsidRDefault="00BF010F" w:rsidP="008E774A">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For both Gasik and Nuss, aluminium was the main CO</w:t>
      </w:r>
      <w:r w:rsidRPr="00785EBA">
        <w:rPr>
          <w:rFonts w:ascii="Times New Roman" w:eastAsia="Calibri" w:hAnsi="Times New Roman" w:cs="Times New Roman"/>
          <w:vertAlign w:val="subscript"/>
        </w:rPr>
        <w:t xml:space="preserve">2 </w:t>
      </w:r>
      <w:r w:rsidRPr="00785EBA">
        <w:rPr>
          <w:rFonts w:ascii="Times New Roman" w:eastAsia="Calibri" w:hAnsi="Times New Roman" w:cs="Times New Roman"/>
        </w:rPr>
        <w:t>contributor with percentages of 73% (3.18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-Equiv) and 94% (4.55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-Equiv) respectively. For Gasik, magnesium contribution was also significant at 25% (1.08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-Equiv). For both models pyrochlore, contributed minutely, but contribution from Nuss (0.27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-Equiv) was twice as much as compared to Gasik (0.13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xml:space="preserve">-Equiv). Explanation of the difference in pyrochlore between Nuss and Gasik can be explained in the doubling of the amount of pyrochlore in the inventory, 1640kg for Nuss, compared to 758 kg for Gasik. </w:t>
      </w:r>
    </w:p>
    <w:p w:rsidR="005D0761" w:rsidRPr="00785EBA" w:rsidRDefault="00BF010F" w:rsidP="005D0761">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Alternatively, instead of pyrochlore, </w:t>
      </w:r>
      <w:r w:rsidR="008E774A" w:rsidRPr="00785EBA">
        <w:rPr>
          <w:rFonts w:ascii="Times New Roman" w:eastAsia="Calibri" w:hAnsi="Times New Roman" w:cs="Times New Roman"/>
        </w:rPr>
        <w:t xml:space="preserve">a </w:t>
      </w:r>
      <w:r w:rsidRPr="00785EBA">
        <w:rPr>
          <w:rFonts w:ascii="Times New Roman" w:eastAsia="Calibri" w:hAnsi="Times New Roman" w:cs="Times New Roman"/>
        </w:rPr>
        <w:t>niobium pentoxide process could have been used in the Gasik model. Howeve</w:t>
      </w:r>
      <w:r w:rsidR="008E774A" w:rsidRPr="00785EBA">
        <w:rPr>
          <w:rFonts w:ascii="Times New Roman" w:eastAsia="Calibri" w:hAnsi="Times New Roman" w:cs="Times New Roman"/>
        </w:rPr>
        <w:t>r from the results, aluminium was</w:t>
      </w:r>
      <w:r w:rsidRPr="00785EBA">
        <w:rPr>
          <w:rFonts w:ascii="Times New Roman" w:eastAsia="Calibri" w:hAnsi="Times New Roman" w:cs="Times New Roman"/>
        </w:rPr>
        <w:t xml:space="preserve"> the key variable and so including</w:t>
      </w:r>
      <w:r w:rsidR="008E774A" w:rsidRPr="00785EBA">
        <w:rPr>
          <w:rFonts w:ascii="Times New Roman" w:eastAsia="Calibri" w:hAnsi="Times New Roman" w:cs="Times New Roman"/>
        </w:rPr>
        <w:t xml:space="preserve"> the niobium pentoxide process might </w:t>
      </w:r>
      <w:r w:rsidRPr="00785EBA">
        <w:rPr>
          <w:rFonts w:ascii="Times New Roman" w:eastAsia="Calibri" w:hAnsi="Times New Roman" w:cs="Times New Roman"/>
        </w:rPr>
        <w:t xml:space="preserve">have </w:t>
      </w:r>
      <w:r w:rsidR="008E774A" w:rsidRPr="00785EBA">
        <w:rPr>
          <w:rFonts w:ascii="Times New Roman" w:eastAsia="Calibri" w:hAnsi="Times New Roman" w:cs="Times New Roman"/>
        </w:rPr>
        <w:t>affected the total amount of GWP but not the overall result. To summarise the difference in GWP between Gasik and Nuss Fe-Nb models was primarily due to the amount of aluminium with a small impact from pyrochlore.</w:t>
      </w:r>
    </w:p>
    <w:p w:rsidR="00F90612" w:rsidRPr="00785EBA" w:rsidRDefault="008E774A" w:rsidP="00F90612">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The</w:t>
      </w:r>
      <w:r w:rsidR="005D0761" w:rsidRPr="00785EBA">
        <w:rPr>
          <w:rFonts w:ascii="Times New Roman" w:eastAsia="Calibri" w:hAnsi="Times New Roman" w:cs="Times New Roman"/>
        </w:rPr>
        <w:t xml:space="preserve"> </w:t>
      </w:r>
      <w:r w:rsidRPr="00785EBA">
        <w:rPr>
          <w:rFonts w:ascii="Times New Roman" w:eastAsia="Calibri" w:hAnsi="Times New Roman" w:cs="Times New Roman"/>
        </w:rPr>
        <w:t>GWP values produced from Gasik and Nuss were also compared against reported GWP values for Fe-Nb in literature.</w:t>
      </w:r>
      <w:r w:rsidR="005D0761" w:rsidRPr="00785EBA">
        <w:rPr>
          <w:rFonts w:ascii="Times New Roman" w:eastAsia="Calibri" w:hAnsi="Times New Roman" w:cs="Times New Roman"/>
        </w:rPr>
        <w:t xml:space="preserve"> Nuss using the same data as the models above, but his own modelling procedure obtained a GWP value of 7.13 kg CO</w:t>
      </w:r>
      <w:r w:rsidR="005D0761" w:rsidRPr="00785EBA">
        <w:rPr>
          <w:rFonts w:ascii="Times New Roman" w:eastAsia="Calibri" w:hAnsi="Times New Roman" w:cs="Times New Roman"/>
          <w:vertAlign w:val="subscript"/>
        </w:rPr>
        <w:t>2</w:t>
      </w:r>
      <w:r w:rsidR="005D0761" w:rsidRPr="00785EBA">
        <w:rPr>
          <w:rFonts w:ascii="Times New Roman" w:eastAsia="Calibri" w:hAnsi="Times New Roman" w:cs="Times New Roman"/>
        </w:rPr>
        <w:t>-Equiv.</w:t>
      </w:r>
      <w:r w:rsidR="00B042CF" w:rsidRPr="00785EBA">
        <w:rPr>
          <w:rFonts w:ascii="Times New Roman" w:eastAsia="Calibri" w:hAnsi="Times New Roman" w:cs="Times New Roman"/>
        </w:rPr>
        <w:t xml:space="preserve"> </w:t>
      </w:r>
      <w:r w:rsidR="006C3DA8" w:rsidRPr="00785EBA">
        <w:rPr>
          <w:rFonts w:ascii="Times New Roman" w:eastAsia="Calibri" w:hAnsi="Times New Roman" w:cs="Times New Roman"/>
        </w:rPr>
        <w:t xml:space="preserve">This was considerable higher than the </w:t>
      </w:r>
      <w:r w:rsidR="006C3DA8" w:rsidRPr="00EB640D">
        <w:rPr>
          <w:rFonts w:ascii="Times New Roman" w:eastAsia="Calibri" w:hAnsi="Times New Roman" w:cs="Times New Roman"/>
        </w:rPr>
        <w:t xml:space="preserve">values </w:t>
      </w:r>
      <w:r w:rsidR="006C3DA8" w:rsidRPr="00785EBA">
        <w:rPr>
          <w:rFonts w:ascii="Times New Roman" w:eastAsia="Calibri" w:hAnsi="Times New Roman" w:cs="Times New Roman"/>
        </w:rPr>
        <w:lastRenderedPageBreak/>
        <w:t xml:space="preserve">obtained in </w:t>
      </w:r>
      <w:r w:rsidR="00A6415F" w:rsidRPr="00785EBA">
        <w:fldChar w:fldCharType="begin"/>
      </w:r>
      <w:r w:rsidR="00A6415F" w:rsidRPr="00785EBA">
        <w:instrText xml:space="preserve"> REF _Ref468307611 \h  \* MERGEFORMAT </w:instrText>
      </w:r>
      <w:r w:rsidR="00A6415F" w:rsidRPr="00785EBA">
        <w:fldChar w:fldCharType="separate"/>
      </w:r>
      <w:r w:rsidR="009F5483" w:rsidRPr="00785EBA">
        <w:rPr>
          <w:rFonts w:ascii="Times New Roman" w:hAnsi="Times New Roman" w:cs="Times New Roman"/>
        </w:rPr>
        <w:t xml:space="preserve">Figure </w:t>
      </w:r>
      <w:r w:rsidR="009F5483">
        <w:rPr>
          <w:rFonts w:ascii="Times New Roman" w:hAnsi="Times New Roman" w:cs="Times New Roman"/>
          <w:noProof/>
        </w:rPr>
        <w:t>41</w:t>
      </w:r>
      <w:r w:rsidR="00A6415F" w:rsidRPr="00785EBA">
        <w:fldChar w:fldCharType="end"/>
      </w:r>
      <w:r w:rsidR="006C3DA8" w:rsidRPr="00785EBA">
        <w:rPr>
          <w:rFonts w:ascii="Times New Roman" w:eastAsia="Calibri" w:hAnsi="Times New Roman" w:cs="Times New Roman"/>
        </w:rPr>
        <w:t xml:space="preserve">. </w:t>
      </w:r>
      <w:r w:rsidR="00F90612" w:rsidRPr="00785EBA">
        <w:rPr>
          <w:rFonts w:ascii="Times New Roman" w:eastAsia="Calibri" w:hAnsi="Times New Roman" w:cs="Times New Roman"/>
        </w:rPr>
        <w:t xml:space="preserve">The main </w:t>
      </w:r>
      <w:r w:rsidR="006C3DA8" w:rsidRPr="00785EBA">
        <w:rPr>
          <w:rFonts w:ascii="Times New Roman" w:eastAsia="Calibri" w:hAnsi="Times New Roman" w:cs="Times New Roman"/>
        </w:rPr>
        <w:t>reason</w:t>
      </w:r>
      <w:r w:rsidR="00F90612" w:rsidRPr="00785EBA">
        <w:rPr>
          <w:rFonts w:ascii="Times New Roman" w:eastAsia="Calibri" w:hAnsi="Times New Roman" w:cs="Times New Roman"/>
        </w:rPr>
        <w:t>s</w:t>
      </w:r>
      <w:r w:rsidR="006C3DA8" w:rsidRPr="00785EBA">
        <w:rPr>
          <w:rFonts w:ascii="Times New Roman" w:eastAsia="Calibri" w:hAnsi="Times New Roman" w:cs="Times New Roman"/>
        </w:rPr>
        <w:t xml:space="preserve"> could be the use of different software’s since LCA software </w:t>
      </w:r>
      <w:r w:rsidR="004D2D91" w:rsidRPr="00785EBA">
        <w:rPr>
          <w:rFonts w:ascii="Times New Roman" w:eastAsia="Calibri" w:hAnsi="Times New Roman" w:cs="Times New Roman"/>
        </w:rPr>
        <w:t>GaBi</w:t>
      </w:r>
      <w:r w:rsidR="006C3DA8" w:rsidRPr="00785EBA">
        <w:rPr>
          <w:rFonts w:ascii="Times New Roman" w:eastAsia="Calibri" w:hAnsi="Times New Roman" w:cs="Times New Roman"/>
        </w:rPr>
        <w:t xml:space="preserve"> was used to produce the results in </w:t>
      </w:r>
      <w:r w:rsidR="00A6415F" w:rsidRPr="00785EBA">
        <w:fldChar w:fldCharType="begin"/>
      </w:r>
      <w:r w:rsidR="00A6415F" w:rsidRPr="00785EBA">
        <w:instrText xml:space="preserve"> REF _Ref468307611 \h  \* MERGEFORMAT </w:instrText>
      </w:r>
      <w:r w:rsidR="00A6415F" w:rsidRPr="00785EBA">
        <w:fldChar w:fldCharType="separate"/>
      </w:r>
      <w:r w:rsidR="009F5483" w:rsidRPr="00785EBA">
        <w:rPr>
          <w:rFonts w:ascii="Times New Roman" w:hAnsi="Times New Roman" w:cs="Times New Roman"/>
        </w:rPr>
        <w:t xml:space="preserve">Figure </w:t>
      </w:r>
      <w:r w:rsidR="009F5483">
        <w:rPr>
          <w:rFonts w:ascii="Times New Roman" w:hAnsi="Times New Roman" w:cs="Times New Roman"/>
          <w:noProof/>
        </w:rPr>
        <w:t>41</w:t>
      </w:r>
      <w:r w:rsidR="00A6415F" w:rsidRPr="00785EBA">
        <w:fldChar w:fldCharType="end"/>
      </w:r>
      <w:r w:rsidR="006C3DA8" w:rsidRPr="00785EBA">
        <w:rPr>
          <w:rFonts w:ascii="Times New Roman" w:eastAsia="Calibri" w:hAnsi="Times New Roman" w:cs="Times New Roman"/>
        </w:rPr>
        <w:t>. Whereas Nuss made use of SimaPr</w:t>
      </w:r>
      <w:r w:rsidR="00F90612" w:rsidRPr="00785EBA">
        <w:rPr>
          <w:rFonts w:ascii="Times New Roman" w:eastAsia="Calibri" w:hAnsi="Times New Roman" w:cs="Times New Roman"/>
        </w:rPr>
        <w:t>o 8 software. Additionally, although Nuss stated the use of Eco-invent data, it is not known exactly what processes were linked to the input data. As mentioned before, multiple processes exist in the databases for one process and so selection of different processes can make a difference.</w:t>
      </w:r>
    </w:p>
    <w:p w:rsidR="00B042CF" w:rsidRPr="00785EBA" w:rsidRDefault="00E1093F" w:rsidP="00F90612">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In terms of</w:t>
      </w:r>
      <w:r w:rsidR="00F90612" w:rsidRPr="00785EBA">
        <w:rPr>
          <w:rFonts w:ascii="Times New Roman" w:eastAsia="Calibri" w:hAnsi="Times New Roman" w:cs="Times New Roman"/>
        </w:rPr>
        <w:t xml:space="preserve"> other literatur</w:t>
      </w:r>
      <w:r w:rsidR="00CF066D">
        <w:rPr>
          <w:rFonts w:ascii="Times New Roman" w:eastAsia="Calibri" w:hAnsi="Times New Roman" w:cs="Times New Roman"/>
        </w:rPr>
        <w:t>e,</w:t>
      </w:r>
      <w:r w:rsidR="00F90612" w:rsidRPr="00785EBA">
        <w:rPr>
          <w:rFonts w:ascii="Times New Roman" w:eastAsia="Calibri" w:hAnsi="Times New Roman" w:cs="Times New Roman"/>
        </w:rPr>
        <w:t xml:space="preserve"> GWP value</w:t>
      </w:r>
      <w:r w:rsidR="00CF066D">
        <w:rPr>
          <w:rFonts w:ascii="Times New Roman" w:eastAsia="Calibri" w:hAnsi="Times New Roman" w:cs="Times New Roman"/>
        </w:rPr>
        <w:t>s by Nuss</w:t>
      </w:r>
      <w:r w:rsidR="00F90612" w:rsidRPr="00785EBA">
        <w:rPr>
          <w:rFonts w:ascii="Times New Roman" w:eastAsia="Calibri" w:hAnsi="Times New Roman" w:cs="Times New Roman"/>
        </w:rPr>
        <w:t xml:space="preserve"> </w:t>
      </w:r>
      <w:r w:rsidR="00CF066D">
        <w:rPr>
          <w:rFonts w:ascii="Times New Roman" w:eastAsia="Calibri" w:hAnsi="Times New Roman" w:cs="Times New Roman"/>
        </w:rPr>
        <w:t>were</w:t>
      </w:r>
      <w:r w:rsidR="00B042CF" w:rsidRPr="00785EBA">
        <w:rPr>
          <w:rFonts w:ascii="Times New Roman" w:eastAsia="Calibri" w:hAnsi="Times New Roman" w:cs="Times New Roman"/>
        </w:rPr>
        <w:t xml:space="preserve"> appreciably</w:t>
      </w:r>
      <w:r w:rsidR="00BF010F" w:rsidRPr="00785EBA">
        <w:rPr>
          <w:rFonts w:ascii="Times New Roman" w:eastAsia="Calibri" w:hAnsi="Times New Roman" w:cs="Times New Roman"/>
        </w:rPr>
        <w:t xml:space="preserve"> higher than the 2.1 kg CO</w:t>
      </w:r>
      <w:r w:rsidR="00BF010F" w:rsidRPr="00785EBA">
        <w:rPr>
          <w:rFonts w:ascii="Times New Roman" w:eastAsia="Calibri" w:hAnsi="Times New Roman" w:cs="Times New Roman"/>
          <w:vertAlign w:val="subscript"/>
        </w:rPr>
        <w:t>2</w:t>
      </w:r>
      <w:r w:rsidR="00BF010F" w:rsidRPr="00785EBA">
        <w:rPr>
          <w:rFonts w:ascii="Times New Roman" w:eastAsia="Calibri" w:hAnsi="Times New Roman" w:cs="Times New Roman"/>
        </w:rPr>
        <w:t>-Equiv reported by IAMGOLD in Canada in their corporate sustainability report. For pure niobium (99.99%), the GWP for 100 years derived from SimaPro</w:t>
      </w:r>
      <w:r w:rsidR="00B042CF" w:rsidRPr="00785EBA">
        <w:rPr>
          <w:rFonts w:ascii="Times New Roman" w:eastAsia="Calibri" w:hAnsi="Times New Roman" w:cs="Times New Roman"/>
        </w:rPr>
        <w:t xml:space="preserve"> software</w:t>
      </w:r>
      <w:r w:rsidR="00BF010F" w:rsidRPr="00785EBA">
        <w:rPr>
          <w:rFonts w:ascii="Times New Roman" w:eastAsia="Calibri" w:hAnsi="Times New Roman" w:cs="Times New Roman"/>
        </w:rPr>
        <w:t xml:space="preserve"> was reported to be 46.6 kg CO</w:t>
      </w:r>
      <w:r w:rsidR="00BF010F" w:rsidRPr="00785EBA">
        <w:rPr>
          <w:rFonts w:ascii="Times New Roman" w:eastAsia="Calibri" w:hAnsi="Times New Roman" w:cs="Times New Roman"/>
          <w:vertAlign w:val="subscript"/>
        </w:rPr>
        <w:t>2</w:t>
      </w:r>
      <w:r w:rsidR="00BF010F" w:rsidRPr="00785EBA">
        <w:rPr>
          <w:rFonts w:ascii="Times New Roman" w:eastAsia="Calibri" w:hAnsi="Times New Roman" w:cs="Times New Roman"/>
        </w:rPr>
        <w:t xml:space="preserve">-Equiv.A higher value would be expected due to the processing of </w:t>
      </w:r>
      <w:r w:rsidR="00B042CF" w:rsidRPr="00785EBA">
        <w:rPr>
          <w:rFonts w:ascii="Times New Roman" w:eastAsia="Calibri" w:hAnsi="Times New Roman" w:cs="Times New Roman"/>
        </w:rPr>
        <w:t xml:space="preserve">pure niobium metal (99.99%) against </w:t>
      </w:r>
    </w:p>
    <w:p w:rsidR="00BF010F" w:rsidRPr="00785EBA" w:rsidRDefault="00B042CF" w:rsidP="00B042CF">
      <w:pPr>
        <w:spacing w:after="0" w:line="360" w:lineRule="auto"/>
        <w:jc w:val="both"/>
        <w:rPr>
          <w:rFonts w:ascii="Times New Roman" w:eastAsia="Calibri" w:hAnsi="Times New Roman" w:cs="Times New Roman"/>
        </w:rPr>
      </w:pPr>
      <w:r w:rsidRPr="00785EBA">
        <w:rPr>
          <w:rFonts w:ascii="Times New Roman" w:eastAsia="Calibri" w:hAnsi="Times New Roman" w:cs="Times New Roman"/>
        </w:rPr>
        <w:t>Fe-Nb (65%Nb).</w:t>
      </w:r>
    </w:p>
    <w:p w:rsidR="00B042CF" w:rsidRPr="00785EBA" w:rsidRDefault="00B042CF" w:rsidP="00B042CF">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To summarise, although the GWP values from Gasik and Nuss appear to be on the low side they have been calculated using numerical data, as opposed to being estimated by Tudor. A plausible explanation for the low GWP values could be the fact that system-wide GWP associated with aluminium provision (the major contributor to GWP) might not be included in the process. However as illustrated by literature the GWP values of Fe-Nb vary and depend on the modelling software as well as inventory data used to create the model. Another possible reason could be the input pyrochlore, which potentially could require further investigation. </w:t>
      </w:r>
    </w:p>
    <w:p w:rsidR="000209CE" w:rsidRPr="00785EBA" w:rsidRDefault="00BF010F" w:rsidP="00B042CF">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However as illustrated by literature the GWP values of Fe-Nb vary and depend on the modelling software as well as inventory</w:t>
      </w:r>
      <w:r w:rsidR="000209CE" w:rsidRPr="00785EBA">
        <w:rPr>
          <w:rFonts w:ascii="Times New Roman" w:eastAsia="Calibri" w:hAnsi="Times New Roman" w:cs="Times New Roman"/>
        </w:rPr>
        <w:t xml:space="preserve"> data used to create the model.</w:t>
      </w:r>
      <w:r w:rsidR="00B042CF" w:rsidRPr="00785EBA">
        <w:rPr>
          <w:rFonts w:ascii="Times New Roman" w:eastAsia="Calibri" w:hAnsi="Times New Roman" w:cs="Times New Roman"/>
        </w:rPr>
        <w:t xml:space="preserve"> In addition Fe-Nb is not as widely investigated as Fe-Ni, and therefore </w:t>
      </w:r>
      <w:r w:rsidR="006C3DA8" w:rsidRPr="00785EBA">
        <w:rPr>
          <w:rFonts w:ascii="Times New Roman" w:eastAsia="Calibri" w:hAnsi="Times New Roman" w:cs="Times New Roman"/>
        </w:rPr>
        <w:t>future studies will assist in better understanding its processes and subsequent results.</w:t>
      </w:r>
    </w:p>
    <w:p w:rsidR="00BF010F" w:rsidRPr="00785EBA" w:rsidRDefault="00BF010F" w:rsidP="000209CE">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From the data used and the results generated, the pr</w:t>
      </w:r>
      <w:r w:rsidR="006C3DA8" w:rsidRPr="00785EBA">
        <w:rPr>
          <w:rFonts w:ascii="Times New Roman" w:eastAsia="Calibri" w:hAnsi="Times New Roman" w:cs="Times New Roman"/>
        </w:rPr>
        <w:t xml:space="preserve">ocess depicted by </w:t>
      </w:r>
      <w:r w:rsidR="00A6415F" w:rsidRPr="00785EBA">
        <w:fldChar w:fldCharType="begin"/>
      </w:r>
      <w:r w:rsidR="00A6415F" w:rsidRPr="00785EBA">
        <w:instrText xml:space="preserve"> REF _Ref474411237 \h  \* MERGEFORMAT </w:instrText>
      </w:r>
      <w:r w:rsidR="00A6415F" w:rsidRPr="00785EBA">
        <w:fldChar w:fldCharType="separate"/>
      </w:r>
      <w:r w:rsidR="009F5483" w:rsidRPr="00EB640D">
        <w:rPr>
          <w:rFonts w:ascii="Times New Roman" w:hAnsi="Times New Roman" w:cs="Times New Roman"/>
        </w:rPr>
        <w:t xml:space="preserve">Figure </w:t>
      </w:r>
      <w:r w:rsidR="009F5483">
        <w:rPr>
          <w:rFonts w:ascii="Times New Roman" w:hAnsi="Times New Roman" w:cs="Times New Roman"/>
          <w:noProof/>
        </w:rPr>
        <w:t>42</w:t>
      </w:r>
      <w:r w:rsidR="00A6415F" w:rsidRPr="00785EBA">
        <w:fldChar w:fldCharType="end"/>
      </w:r>
      <w:r w:rsidRPr="00785EBA">
        <w:rPr>
          <w:rFonts w:ascii="Times New Roman" w:eastAsia="Calibri" w:hAnsi="Times New Roman" w:cs="Times New Roman"/>
        </w:rPr>
        <w:t xml:space="preserve"> i.e. Fe-Nb (Nuss) was selected for use in application of steel g</w:t>
      </w:r>
      <w:r w:rsidR="006C3DA8" w:rsidRPr="00785EBA">
        <w:rPr>
          <w:rFonts w:ascii="Times New Roman" w:eastAsia="Calibri" w:hAnsi="Times New Roman" w:cs="Times New Roman"/>
        </w:rPr>
        <w:t>rades. Although the GWP value was higher, the data from Nuss was</w:t>
      </w:r>
      <w:r w:rsidRPr="00785EBA">
        <w:rPr>
          <w:rFonts w:ascii="Times New Roman" w:eastAsia="Calibri" w:hAnsi="Times New Roman" w:cs="Times New Roman"/>
        </w:rPr>
        <w:t xml:space="preserve"> more current and included the data to model pyrochlore, thus retaining </w:t>
      </w:r>
      <w:r w:rsidR="006C3DA8" w:rsidRPr="00785EBA">
        <w:rPr>
          <w:rFonts w:ascii="Times New Roman" w:eastAsia="Calibri" w:hAnsi="Times New Roman" w:cs="Times New Roman"/>
        </w:rPr>
        <w:t>a semblance of accuracy</w:t>
      </w:r>
      <w:r w:rsidRPr="00785EBA">
        <w:rPr>
          <w:rFonts w:ascii="Times New Roman" w:eastAsia="Calibri" w:hAnsi="Times New Roman" w:cs="Times New Roman"/>
        </w:rPr>
        <w:t xml:space="preserve"> across the model.</w:t>
      </w:r>
    </w:p>
    <w:p w:rsidR="00BF010F" w:rsidRPr="00EB640D" w:rsidRDefault="00BF010F" w:rsidP="00BF010F">
      <w:pPr>
        <w:spacing w:line="360" w:lineRule="auto"/>
        <w:jc w:val="center"/>
        <w:rPr>
          <w:rFonts w:ascii="Times New Roman" w:eastAsia="Calibri" w:hAnsi="Times New Roman" w:cs="Times New Roman"/>
        </w:rPr>
      </w:pPr>
      <w:r w:rsidRPr="00EB640D">
        <w:rPr>
          <w:noProof/>
        </w:rPr>
        <w:drawing>
          <wp:inline distT="0" distB="0" distL="0" distR="0">
            <wp:extent cx="5248406" cy="219473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srcRect l="33020" t="36749" r="23837" b="31170"/>
                    <a:stretch/>
                  </pic:blipFill>
                  <pic:spPr bwMode="auto">
                    <a:xfrm>
                      <a:off x="0" y="0"/>
                      <a:ext cx="5257422" cy="2198508"/>
                    </a:xfrm>
                    <a:prstGeom prst="rect">
                      <a:avLst/>
                    </a:prstGeom>
                    <a:ln>
                      <a:noFill/>
                    </a:ln>
                    <a:extLst>
                      <a:ext uri="{53640926-AAD7-44D8-BBD7-CCE9431645EC}">
                        <a14:shadowObscured xmlns:a14="http://schemas.microsoft.com/office/drawing/2010/main"/>
                      </a:ext>
                    </a:extLst>
                  </pic:spPr>
                </pic:pic>
              </a:graphicData>
            </a:graphic>
          </wp:inline>
        </w:drawing>
      </w:r>
    </w:p>
    <w:p w:rsidR="00785EBA" w:rsidRDefault="00BF010F" w:rsidP="00004756">
      <w:pPr>
        <w:rPr>
          <w:rFonts w:ascii="Times New Roman" w:eastAsia="Calibri" w:hAnsi="Times New Roman" w:cs="Times New Roman"/>
        </w:rPr>
      </w:pPr>
      <w:bookmarkStart w:id="180" w:name="_Ref474411237"/>
      <w:bookmarkStart w:id="181" w:name="_Toc495848375"/>
      <w:r w:rsidRPr="00EB640D">
        <w:rPr>
          <w:rFonts w:ascii="Times New Roman" w:hAnsi="Times New Roman" w:cs="Times New Roman"/>
        </w:rPr>
        <w:t xml:space="preserve">Figure </w:t>
      </w:r>
      <w:r w:rsidR="009A0ED7" w:rsidRPr="00EB640D">
        <w:rPr>
          <w:rFonts w:ascii="Times New Roman" w:hAnsi="Times New Roman" w:cs="Times New Roman"/>
        </w:rPr>
        <w:fldChar w:fldCharType="begin"/>
      </w:r>
      <w:r w:rsidRPr="00EB640D">
        <w:rPr>
          <w:rFonts w:ascii="Times New Roman" w:hAnsi="Times New Roman" w:cs="Times New Roman"/>
        </w:rPr>
        <w:instrText xml:space="preserve"> SEQ Figure \* ARABIC </w:instrText>
      </w:r>
      <w:r w:rsidR="009A0ED7" w:rsidRPr="00EB640D">
        <w:rPr>
          <w:rFonts w:ascii="Times New Roman" w:hAnsi="Times New Roman" w:cs="Times New Roman"/>
        </w:rPr>
        <w:fldChar w:fldCharType="separate"/>
      </w:r>
      <w:r w:rsidR="009F5483">
        <w:rPr>
          <w:rFonts w:ascii="Times New Roman" w:hAnsi="Times New Roman" w:cs="Times New Roman"/>
          <w:noProof/>
        </w:rPr>
        <w:t>42</w:t>
      </w:r>
      <w:r w:rsidR="009A0ED7" w:rsidRPr="00EB640D">
        <w:rPr>
          <w:rFonts w:ascii="Times New Roman" w:hAnsi="Times New Roman" w:cs="Times New Roman"/>
        </w:rPr>
        <w:fldChar w:fldCharType="end"/>
      </w:r>
      <w:bookmarkEnd w:id="180"/>
      <w:r w:rsidRPr="00EB640D">
        <w:rPr>
          <w:rFonts w:ascii="Times New Roman" w:hAnsi="Times New Roman" w:cs="Times New Roman"/>
        </w:rPr>
        <w:t xml:space="preserve">. </w:t>
      </w:r>
      <w:r w:rsidRPr="00EB640D">
        <w:rPr>
          <w:rFonts w:ascii="Times New Roman" w:eastAsia="Calibri" w:hAnsi="Times New Roman" w:cs="Times New Roman"/>
        </w:rPr>
        <w:t>Fe-Nb production from data source Nuss.</w:t>
      </w:r>
      <w:bookmarkEnd w:id="181"/>
    </w:p>
    <w:p w:rsidR="00785EBA" w:rsidRDefault="00785EBA" w:rsidP="00004756">
      <w:pPr>
        <w:rPr>
          <w:rFonts w:ascii="Times New Roman" w:eastAsia="Calibri" w:hAnsi="Times New Roman" w:cs="Times New Roman"/>
        </w:rPr>
      </w:pPr>
    </w:p>
    <w:p w:rsidR="00785EBA" w:rsidRDefault="00785EBA" w:rsidP="00004756">
      <w:pPr>
        <w:rPr>
          <w:rFonts w:ascii="Times New Roman" w:eastAsia="Calibri" w:hAnsi="Times New Roman" w:cs="Times New Roman"/>
        </w:rPr>
        <w:sectPr w:rsidR="00785EBA" w:rsidSect="00C24042">
          <w:pgSz w:w="11906" w:h="16838"/>
          <w:pgMar w:top="1440" w:right="1440" w:bottom="1440" w:left="1440" w:header="708" w:footer="708" w:gutter="0"/>
          <w:cols w:space="708"/>
          <w:docGrid w:linePitch="360"/>
        </w:sectPr>
      </w:pPr>
    </w:p>
    <w:p w:rsidR="00BF010F" w:rsidRPr="00EB640D" w:rsidRDefault="000F272E" w:rsidP="00BF010F">
      <w:pPr>
        <w:pStyle w:val="Heading2"/>
        <w:rPr>
          <w:rFonts w:eastAsia="Calibri Light"/>
        </w:rPr>
      </w:pPr>
      <w:r w:rsidRPr="00EB640D">
        <w:rPr>
          <w:rFonts w:eastAsia="Calibri Light"/>
        </w:rPr>
        <w:lastRenderedPageBreak/>
        <w:t xml:space="preserve">7.7. Ferro-Silicon </w:t>
      </w:r>
    </w:p>
    <w:p w:rsidR="00BF010F" w:rsidRPr="00EB640D" w:rsidRDefault="00BF010F" w:rsidP="00CF066D">
      <w:pPr>
        <w:spacing w:line="360" w:lineRule="auto"/>
        <w:jc w:val="center"/>
        <w:rPr>
          <w:rFonts w:ascii="Times New Roman" w:eastAsia="Calibri" w:hAnsi="Times New Roman" w:cs="Times New Roman"/>
        </w:rPr>
      </w:pPr>
      <w:r w:rsidRPr="00EB640D">
        <w:rPr>
          <w:noProof/>
        </w:rPr>
        <w:drawing>
          <wp:inline distT="0" distB="0" distL="0" distR="0">
            <wp:extent cx="6082239" cy="3507288"/>
            <wp:effectExtent l="0" t="0" r="13970" b="17145"/>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BF010F" w:rsidRPr="00785EBA" w:rsidRDefault="00BF010F" w:rsidP="00BF010F">
      <w:pPr>
        <w:rPr>
          <w:rFonts w:ascii="Times New Roman" w:eastAsia="Calibri" w:hAnsi="Times New Roman" w:cs="Times New Roman"/>
        </w:rPr>
      </w:pPr>
      <w:bookmarkStart w:id="182" w:name="_Ref474417928"/>
      <w:bookmarkStart w:id="183" w:name="_Toc495848376"/>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43</w:t>
      </w:r>
      <w:r w:rsidR="009A0ED7" w:rsidRPr="00785EBA">
        <w:rPr>
          <w:rFonts w:ascii="Times New Roman" w:hAnsi="Times New Roman" w:cs="Times New Roman"/>
        </w:rPr>
        <w:fldChar w:fldCharType="end"/>
      </w:r>
      <w:bookmarkEnd w:id="182"/>
      <w:r w:rsidRPr="00785EBA">
        <w:rPr>
          <w:rFonts w:ascii="Times New Roman" w:hAnsi="Times New Roman" w:cs="Times New Roman"/>
        </w:rPr>
        <w:t xml:space="preserve">. </w:t>
      </w:r>
      <w:r w:rsidRPr="00785EBA">
        <w:rPr>
          <w:rFonts w:ascii="Times New Roman" w:eastAsia="Calibri" w:hAnsi="Times New Roman" w:cs="Times New Roman"/>
        </w:rPr>
        <w:t>Comparison of all literature sources for Fe-Si production.</w:t>
      </w:r>
      <w:bookmarkEnd w:id="183"/>
    </w:p>
    <w:p w:rsidR="009D72B4" w:rsidRPr="00785EBA" w:rsidRDefault="00A6415F" w:rsidP="009D72B4">
      <w:pPr>
        <w:spacing w:after="0" w:line="360" w:lineRule="auto"/>
        <w:ind w:firstLine="720"/>
        <w:jc w:val="both"/>
        <w:rPr>
          <w:rFonts w:ascii="Times New Roman" w:eastAsia="Calibri" w:hAnsi="Times New Roman" w:cs="Times New Roman"/>
        </w:rPr>
      </w:pPr>
      <w:r w:rsidRPr="00785EBA">
        <w:fldChar w:fldCharType="begin"/>
      </w:r>
      <w:r w:rsidRPr="00785EBA">
        <w:instrText xml:space="preserve"> REF _Ref474417928 \h  \* MERGEFORMAT </w:instrText>
      </w:r>
      <w:r w:rsidRPr="00785EBA">
        <w:fldChar w:fldCharType="separate"/>
      </w:r>
      <w:r w:rsidR="009F5483" w:rsidRPr="00785EBA">
        <w:rPr>
          <w:rFonts w:ascii="Times New Roman" w:hAnsi="Times New Roman" w:cs="Times New Roman"/>
        </w:rPr>
        <w:t xml:space="preserve">Figure </w:t>
      </w:r>
      <w:r w:rsidR="009F5483">
        <w:rPr>
          <w:rFonts w:ascii="Times New Roman" w:hAnsi="Times New Roman" w:cs="Times New Roman"/>
          <w:noProof/>
        </w:rPr>
        <w:t>43</w:t>
      </w:r>
      <w:r w:rsidRPr="00785EBA">
        <w:fldChar w:fldCharType="end"/>
      </w:r>
      <w:r w:rsidR="00EB667D" w:rsidRPr="00785EBA">
        <w:rPr>
          <w:rFonts w:ascii="Times New Roman" w:eastAsia="Calibri" w:hAnsi="Times New Roman" w:cs="Times New Roman"/>
        </w:rPr>
        <w:t xml:space="preserve"> utilises a colour key to differentiate between the multiple sources of literature used to model Fe-</w:t>
      </w:r>
      <w:r w:rsidR="009A0E3E" w:rsidRPr="00785EBA">
        <w:rPr>
          <w:rFonts w:ascii="Times New Roman" w:eastAsia="Calibri" w:hAnsi="Times New Roman" w:cs="Times New Roman"/>
        </w:rPr>
        <w:t>S</w:t>
      </w:r>
      <w:r w:rsidR="00EB667D" w:rsidRPr="00785EBA">
        <w:rPr>
          <w:rFonts w:ascii="Times New Roman" w:eastAsia="Calibri" w:hAnsi="Times New Roman" w:cs="Times New Roman"/>
        </w:rPr>
        <w:t xml:space="preserve">i production. </w:t>
      </w:r>
      <w:r w:rsidR="009A0E3E" w:rsidRPr="00785EBA">
        <w:rPr>
          <w:rFonts w:ascii="Times New Roman" w:eastAsia="Calibri" w:hAnsi="Times New Roman" w:cs="Times New Roman"/>
        </w:rPr>
        <w:t>Interestingly, o</w:t>
      </w:r>
      <w:r w:rsidR="00BB35E0" w:rsidRPr="00785EBA">
        <w:rPr>
          <w:rFonts w:ascii="Times New Roman" w:eastAsia="Calibri" w:hAnsi="Times New Roman" w:cs="Times New Roman"/>
        </w:rPr>
        <w:t>ut of all the ferro-alloys with more than a single</w:t>
      </w:r>
      <w:r w:rsidR="00BF010F" w:rsidRPr="00785EBA">
        <w:rPr>
          <w:rFonts w:ascii="Times New Roman" w:eastAsia="Calibri" w:hAnsi="Times New Roman" w:cs="Times New Roman"/>
        </w:rPr>
        <w:t xml:space="preserve"> model, Fe-Si had the closest grouping of results</w:t>
      </w:r>
      <w:r w:rsidR="009D72B4" w:rsidRPr="00785EBA">
        <w:rPr>
          <w:rFonts w:ascii="Times New Roman" w:eastAsia="Calibri" w:hAnsi="Times New Roman" w:cs="Times New Roman"/>
        </w:rPr>
        <w:t>.</w:t>
      </w:r>
      <w:r w:rsidR="00BF010F" w:rsidRPr="00785EBA">
        <w:rPr>
          <w:rFonts w:ascii="Times New Roman" w:eastAsia="Calibri" w:hAnsi="Times New Roman" w:cs="Times New Roman"/>
        </w:rPr>
        <w:t xml:space="preserve"> </w:t>
      </w:r>
      <w:r w:rsidR="009D72B4" w:rsidRPr="00785EBA">
        <w:rPr>
          <w:rFonts w:ascii="Times New Roman" w:eastAsia="Calibri" w:hAnsi="Times New Roman" w:cs="Times New Roman"/>
        </w:rPr>
        <w:t>Excluding Fe-Si (Tasmania energy) the results across all models were close to 12.00 kg CO</w:t>
      </w:r>
      <w:r w:rsidR="009D72B4" w:rsidRPr="00785EBA">
        <w:rPr>
          <w:rFonts w:ascii="Times New Roman" w:eastAsia="Calibri" w:hAnsi="Times New Roman" w:cs="Times New Roman"/>
          <w:vertAlign w:val="subscript"/>
        </w:rPr>
        <w:t>2</w:t>
      </w:r>
      <w:r w:rsidR="009D72B4" w:rsidRPr="00785EBA">
        <w:rPr>
          <w:rFonts w:ascii="Times New Roman" w:eastAsia="Calibri" w:hAnsi="Times New Roman" w:cs="Times New Roman"/>
        </w:rPr>
        <w:t>-Equiv. apart from Fe-Si (Eurometaux), which stood out with a GWP value of 14.19 kg CO</w:t>
      </w:r>
      <w:r w:rsidR="009D72B4" w:rsidRPr="00785EBA">
        <w:rPr>
          <w:rFonts w:ascii="Times New Roman" w:eastAsia="Calibri" w:hAnsi="Times New Roman" w:cs="Times New Roman"/>
          <w:vertAlign w:val="subscript"/>
        </w:rPr>
        <w:t>2</w:t>
      </w:r>
      <w:r w:rsidR="009D72B4" w:rsidRPr="00785EBA">
        <w:rPr>
          <w:rFonts w:ascii="Times New Roman" w:eastAsia="Calibri" w:hAnsi="Times New Roman" w:cs="Times New Roman"/>
        </w:rPr>
        <w:t>-Equiv.</w:t>
      </w:r>
    </w:p>
    <w:p w:rsidR="00BF010F" w:rsidRPr="00785EBA" w:rsidRDefault="00BB35E0" w:rsidP="009D72B4">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In terms of the original results, the difference in GWP value</w:t>
      </w:r>
      <w:r w:rsidR="009D72B4" w:rsidRPr="00785EBA">
        <w:rPr>
          <w:rFonts w:ascii="Times New Roman" w:eastAsia="Calibri" w:hAnsi="Times New Roman" w:cs="Times New Roman"/>
        </w:rPr>
        <w:t>s</w:t>
      </w:r>
      <w:r w:rsidRPr="00785EBA">
        <w:rPr>
          <w:rFonts w:ascii="Times New Roman" w:eastAsia="Calibri" w:hAnsi="Times New Roman" w:cs="Times New Roman"/>
        </w:rPr>
        <w:t xml:space="preserve"> </w:t>
      </w:r>
      <w:r w:rsidR="00EF67CF" w:rsidRPr="00785EBA">
        <w:rPr>
          <w:rFonts w:ascii="Times New Roman" w:eastAsia="Calibri" w:hAnsi="Times New Roman" w:cs="Times New Roman"/>
        </w:rPr>
        <w:t>between Tasmanian</w:t>
      </w:r>
      <w:r w:rsidRPr="00785EBA">
        <w:rPr>
          <w:rFonts w:ascii="Times New Roman" w:eastAsia="Calibri" w:hAnsi="Times New Roman" w:cs="Times New Roman"/>
        </w:rPr>
        <w:t xml:space="preserve"> and Australian electricity grid mixes was about quadruple, compared to previously mentioned ferro-alloy</w:t>
      </w:r>
      <w:r w:rsidR="00005478" w:rsidRPr="00785EBA">
        <w:rPr>
          <w:rFonts w:ascii="Times New Roman" w:eastAsia="Calibri" w:hAnsi="Times New Roman" w:cs="Times New Roman"/>
        </w:rPr>
        <w:t xml:space="preserve">s (i.e. </w:t>
      </w:r>
      <w:r w:rsidRPr="00785EBA">
        <w:rPr>
          <w:rFonts w:ascii="Times New Roman" w:eastAsia="Calibri" w:hAnsi="Times New Roman" w:cs="Times New Roman"/>
        </w:rPr>
        <w:t>Fe-Cr, Fe-Mn) w</w:t>
      </w:r>
      <w:r w:rsidR="00005478" w:rsidRPr="00785EBA">
        <w:rPr>
          <w:rFonts w:ascii="Times New Roman" w:eastAsia="Calibri" w:hAnsi="Times New Roman" w:cs="Times New Roman"/>
        </w:rPr>
        <w:t>h</w:t>
      </w:r>
      <w:r w:rsidRPr="00785EBA">
        <w:rPr>
          <w:rFonts w:ascii="Times New Roman" w:eastAsia="Calibri" w:hAnsi="Times New Roman" w:cs="Times New Roman"/>
        </w:rPr>
        <w:t>ere it was double</w:t>
      </w:r>
      <w:r w:rsidR="00005478" w:rsidRPr="00785EBA">
        <w:rPr>
          <w:rFonts w:ascii="Times New Roman" w:eastAsia="Calibri" w:hAnsi="Times New Roman" w:cs="Times New Roman"/>
        </w:rPr>
        <w:t xml:space="preserve"> the difference. The difference in GWP values can be explained</w:t>
      </w:r>
      <w:r w:rsidR="00EF67CF" w:rsidRPr="00785EBA">
        <w:rPr>
          <w:rFonts w:ascii="Times New Roman" w:eastAsia="Calibri" w:hAnsi="Times New Roman" w:cs="Times New Roman"/>
        </w:rPr>
        <w:t xml:space="preserve"> by analysing the contribution of carbon emissions from the various components of each ferro-alloy production.</w:t>
      </w:r>
      <w:r w:rsidR="009D72B4" w:rsidRPr="00785EBA">
        <w:rPr>
          <w:rFonts w:ascii="Times New Roman" w:eastAsia="Calibri" w:hAnsi="Times New Roman" w:cs="Times New Roman"/>
        </w:rPr>
        <w:t xml:space="preserve"> </w:t>
      </w:r>
      <w:r w:rsidR="00BF010F" w:rsidRPr="00785EBA">
        <w:rPr>
          <w:rFonts w:ascii="Times New Roman" w:eastAsia="Calibri" w:hAnsi="Times New Roman" w:cs="Times New Roman"/>
        </w:rPr>
        <w:t xml:space="preserve">For the </w:t>
      </w:r>
      <w:r w:rsidR="009D72B4" w:rsidRPr="00785EBA">
        <w:rPr>
          <w:rFonts w:ascii="Times New Roman" w:eastAsia="Calibri" w:hAnsi="Times New Roman" w:cs="Times New Roman"/>
        </w:rPr>
        <w:t>majority of ferro-alloys there wa</w:t>
      </w:r>
      <w:r w:rsidR="00BF010F" w:rsidRPr="00785EBA">
        <w:rPr>
          <w:rFonts w:ascii="Times New Roman" w:eastAsia="Calibri" w:hAnsi="Times New Roman" w:cs="Times New Roman"/>
        </w:rPr>
        <w:t xml:space="preserve">s one significant contributor (coal or coke). However in the case of Fe-Si, equal contributions </w:t>
      </w:r>
      <w:r w:rsidR="009D72B4" w:rsidRPr="00785EBA">
        <w:rPr>
          <w:rFonts w:ascii="Times New Roman" w:eastAsia="Calibri" w:hAnsi="Times New Roman" w:cs="Times New Roman"/>
        </w:rPr>
        <w:t>were made</w:t>
      </w:r>
      <w:r w:rsidR="00BF010F" w:rsidRPr="00785EBA">
        <w:rPr>
          <w:rFonts w:ascii="Times New Roman" w:eastAsia="Calibri" w:hAnsi="Times New Roman" w:cs="Times New Roman"/>
        </w:rPr>
        <w:t xml:space="preserve"> from coal, coke and electricity. Thus explaining why Fe-Si (Australian </w:t>
      </w:r>
      <w:r w:rsidR="009D72B4" w:rsidRPr="00785EBA">
        <w:rPr>
          <w:rFonts w:ascii="Times New Roman" w:eastAsia="Calibri" w:hAnsi="Times New Roman" w:cs="Times New Roman"/>
        </w:rPr>
        <w:t>energy) might have a higher GWP. Resulting in a</w:t>
      </w:r>
      <w:r w:rsidR="00BF010F" w:rsidRPr="00785EBA">
        <w:rPr>
          <w:rFonts w:ascii="Times New Roman" w:eastAsia="Calibri" w:hAnsi="Times New Roman" w:cs="Times New Roman"/>
        </w:rPr>
        <w:t xml:space="preserve"> larger difference</w:t>
      </w:r>
      <w:r w:rsidR="009D72B4" w:rsidRPr="00785EBA">
        <w:rPr>
          <w:rFonts w:ascii="Times New Roman" w:eastAsia="Calibri" w:hAnsi="Times New Roman" w:cs="Times New Roman"/>
        </w:rPr>
        <w:t xml:space="preserve"> in GWP values</w:t>
      </w:r>
      <w:r w:rsidR="00BF010F" w:rsidRPr="00785EBA">
        <w:rPr>
          <w:rFonts w:ascii="Times New Roman" w:eastAsia="Calibri" w:hAnsi="Times New Roman" w:cs="Times New Roman"/>
        </w:rPr>
        <w:t xml:space="preserve"> between Fe-Si (Tasmanian energy) and Fe-Si (Australian energy).</w:t>
      </w:r>
    </w:p>
    <w:p w:rsidR="001C4F98" w:rsidRPr="00785EBA" w:rsidRDefault="001C4F98" w:rsidP="001C4F98">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In regards to Haque Version 2, which </w:t>
      </w:r>
      <w:r w:rsidR="00BF010F" w:rsidRPr="00785EBA">
        <w:rPr>
          <w:rFonts w:ascii="Times New Roman" w:eastAsia="Calibri" w:hAnsi="Times New Roman" w:cs="Times New Roman"/>
        </w:rPr>
        <w:t>was modelled to replicate the original results, the p</w:t>
      </w:r>
      <w:r w:rsidRPr="00785EBA">
        <w:rPr>
          <w:rFonts w:ascii="Times New Roman" w:eastAsia="Calibri" w:hAnsi="Times New Roman" w:cs="Times New Roman"/>
        </w:rPr>
        <w:t>ercentage difference between this and the original model was 2.69%. Furthermore, Haque version 2 in comparison with global Fe-Si model, had a greater percentage difference of 7.77%. This difference can be explained by comparing and contrasting the two models.</w:t>
      </w:r>
    </w:p>
    <w:p w:rsidR="00BF010F" w:rsidRPr="00785EBA" w:rsidRDefault="00BF010F" w:rsidP="001C4F98">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The fu</w:t>
      </w:r>
      <w:r w:rsidR="001C4F98" w:rsidRPr="00785EBA">
        <w:rPr>
          <w:rFonts w:ascii="Times New Roman" w:eastAsia="Calibri" w:hAnsi="Times New Roman" w:cs="Times New Roman"/>
        </w:rPr>
        <w:t>ndamental differences between Haque V</w:t>
      </w:r>
      <w:r w:rsidRPr="00785EBA">
        <w:rPr>
          <w:rFonts w:ascii="Times New Roman" w:eastAsia="Calibri" w:hAnsi="Times New Roman" w:cs="Times New Roman"/>
        </w:rPr>
        <w:t xml:space="preserve">ersion 2 and global Fe-Si were </w:t>
      </w:r>
      <w:r w:rsidR="001C4F98" w:rsidRPr="00785EBA">
        <w:rPr>
          <w:rFonts w:ascii="Times New Roman" w:eastAsia="Calibri" w:hAnsi="Times New Roman" w:cs="Times New Roman"/>
        </w:rPr>
        <w:t xml:space="preserve">the use </w:t>
      </w:r>
      <w:r w:rsidRPr="00785EBA">
        <w:rPr>
          <w:rFonts w:ascii="Times New Roman" w:eastAsia="Calibri" w:hAnsi="Times New Roman" w:cs="Times New Roman"/>
        </w:rPr>
        <w:t>of the following</w:t>
      </w:r>
      <w:r w:rsidR="001C4F98" w:rsidRPr="00785EBA">
        <w:rPr>
          <w:rFonts w:ascii="Times New Roman" w:eastAsia="Calibri" w:hAnsi="Times New Roman" w:cs="Times New Roman"/>
        </w:rPr>
        <w:t xml:space="preserve"> three</w:t>
      </w:r>
      <w:r w:rsidRPr="00785EBA">
        <w:rPr>
          <w:rFonts w:ascii="Times New Roman" w:eastAsia="Calibri" w:hAnsi="Times New Roman" w:cs="Times New Roman"/>
        </w:rPr>
        <w:t xml:space="preserve"> processes – thermal energy from </w:t>
      </w:r>
      <w:r w:rsidR="001C4F98" w:rsidRPr="00785EBA">
        <w:rPr>
          <w:rFonts w:ascii="Times New Roman" w:eastAsia="Calibri" w:hAnsi="Times New Roman" w:cs="Times New Roman"/>
        </w:rPr>
        <w:t xml:space="preserve">natural gas, hard coal </w:t>
      </w:r>
      <w:r w:rsidRPr="00785EBA">
        <w:rPr>
          <w:rFonts w:ascii="Times New Roman" w:eastAsia="Calibri" w:hAnsi="Times New Roman" w:cs="Times New Roman"/>
        </w:rPr>
        <w:t>mix an e</w:t>
      </w:r>
      <w:r w:rsidR="001C4F98" w:rsidRPr="00785EBA">
        <w:rPr>
          <w:rFonts w:ascii="Times New Roman" w:eastAsia="Calibri" w:hAnsi="Times New Roman" w:cs="Times New Roman"/>
        </w:rPr>
        <w:t xml:space="preserve">lectricity grid mix. For </w:t>
      </w:r>
      <w:r w:rsidR="001C4F98" w:rsidRPr="00785EBA">
        <w:rPr>
          <w:rFonts w:ascii="Times New Roman" w:eastAsia="Calibri" w:hAnsi="Times New Roman" w:cs="Times New Roman"/>
        </w:rPr>
        <w:lastRenderedPageBreak/>
        <w:t>Haque V</w:t>
      </w:r>
      <w:r w:rsidRPr="00785EBA">
        <w:rPr>
          <w:rFonts w:ascii="Times New Roman" w:eastAsia="Calibri" w:hAnsi="Times New Roman" w:cs="Times New Roman"/>
        </w:rPr>
        <w:t>ersion 2, these were all modelled using Australia as the source country. For global Fe-Si, thermal energy from natural gas and hard coal mix were modelled using China. For electricity grid mix, an average based on glob</w:t>
      </w:r>
      <w:r w:rsidR="001C4F98" w:rsidRPr="00785EBA">
        <w:rPr>
          <w:rFonts w:ascii="Times New Roman" w:eastAsia="Calibri" w:hAnsi="Times New Roman" w:cs="Times New Roman"/>
        </w:rPr>
        <w:t>al Fe-Si production was utilised.</w:t>
      </w:r>
    </w:p>
    <w:p w:rsidR="004361A3" w:rsidRPr="00785EBA" w:rsidRDefault="00BF010F" w:rsidP="004361A3">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Calculation</w:t>
      </w:r>
      <w:r w:rsidR="004361A3" w:rsidRPr="00785EBA">
        <w:rPr>
          <w:rFonts w:ascii="Times New Roman" w:eastAsia="Calibri" w:hAnsi="Times New Roman" w:cs="Times New Roman"/>
        </w:rPr>
        <w:t>s</w:t>
      </w:r>
      <w:r w:rsidRPr="00785EBA">
        <w:rPr>
          <w:rFonts w:ascii="Times New Roman" w:eastAsia="Calibri" w:hAnsi="Times New Roman" w:cs="Times New Roman"/>
        </w:rPr>
        <w:t xml:space="preserve"> of GWP based on 1 MJ of product</w:t>
      </w:r>
      <w:r w:rsidR="004361A3" w:rsidRPr="00785EBA">
        <w:rPr>
          <w:rFonts w:ascii="Times New Roman" w:eastAsia="Calibri" w:hAnsi="Times New Roman" w:cs="Times New Roman"/>
        </w:rPr>
        <w:t>,</w:t>
      </w:r>
      <w:r w:rsidRPr="00785EBA">
        <w:rPr>
          <w:rFonts w:ascii="Times New Roman" w:eastAsia="Calibri" w:hAnsi="Times New Roman" w:cs="Times New Roman"/>
        </w:rPr>
        <w:t xml:space="preserve"> </w:t>
      </w:r>
      <w:r w:rsidR="004361A3" w:rsidRPr="00785EBA">
        <w:rPr>
          <w:rFonts w:ascii="Times New Roman" w:eastAsia="Calibri" w:hAnsi="Times New Roman" w:cs="Times New Roman"/>
        </w:rPr>
        <w:t xml:space="preserve">revealed for thermal energy values of </w:t>
      </w:r>
      <w:r w:rsidRPr="00785EBA">
        <w:rPr>
          <w:rFonts w:ascii="Times New Roman" w:eastAsia="Calibri" w:hAnsi="Times New Roman" w:cs="Times New Roman"/>
        </w:rPr>
        <w:t>0.0657 kg-CO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-Equiv for Australia and 0.0705 kg-CO</w:t>
      </w:r>
      <w:r w:rsidRPr="00785EBA">
        <w:rPr>
          <w:rFonts w:ascii="Times New Roman" w:eastAsia="Calibri" w:hAnsi="Times New Roman" w:cs="Times New Roman"/>
          <w:vertAlign w:val="subscript"/>
        </w:rPr>
        <w:t>2</w:t>
      </w:r>
      <w:r w:rsidR="004361A3" w:rsidRPr="00785EBA">
        <w:rPr>
          <w:rFonts w:ascii="Times New Roman" w:eastAsia="Calibri" w:hAnsi="Times New Roman" w:cs="Times New Roman"/>
        </w:rPr>
        <w:t>-Equiv for China. A difference equating to 7.05%. With regards to hard coal mix, the percentage difference was 50.00% has mentioned previously with Fe-Cr, Fe-Mn and Fe-Ni. For the contribution of 1 MJ of electricity the values were 0.249 kg /CO</w:t>
      </w:r>
      <w:r w:rsidR="004361A3" w:rsidRPr="00785EBA">
        <w:rPr>
          <w:rFonts w:ascii="Times New Roman" w:eastAsia="Calibri" w:hAnsi="Times New Roman" w:cs="Times New Roman"/>
          <w:vertAlign w:val="subscript"/>
        </w:rPr>
        <w:t>2</w:t>
      </w:r>
      <w:r w:rsidR="004361A3" w:rsidRPr="00785EBA">
        <w:rPr>
          <w:rFonts w:ascii="Times New Roman" w:eastAsia="Calibri" w:hAnsi="Times New Roman" w:cs="Times New Roman"/>
        </w:rPr>
        <w:t xml:space="preserve"> for global Fe-Si and 0.279 kg /CO</w:t>
      </w:r>
      <w:r w:rsidR="004361A3" w:rsidRPr="00785EBA">
        <w:rPr>
          <w:rFonts w:ascii="Times New Roman" w:eastAsia="Calibri" w:hAnsi="Times New Roman" w:cs="Times New Roman"/>
          <w:vertAlign w:val="subscript"/>
        </w:rPr>
        <w:t>2</w:t>
      </w:r>
      <w:r w:rsidR="004361A3" w:rsidRPr="00785EBA">
        <w:rPr>
          <w:rFonts w:ascii="Times New Roman" w:eastAsia="Calibri" w:hAnsi="Times New Roman" w:cs="Times New Roman"/>
        </w:rPr>
        <w:t xml:space="preserve"> for Australia. Equating to a percentage difference of 11.36% between the GWP values.</w:t>
      </w:r>
    </w:p>
    <w:p w:rsidR="004361A3" w:rsidRPr="00785EBA" w:rsidRDefault="00BF010F" w:rsidP="004361A3">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Although the percentage difference values are high, particularly for hard coal, they have to be taken into context especially in relation to their</w:t>
      </w:r>
      <w:r w:rsidR="004361A3" w:rsidRPr="00785EBA">
        <w:rPr>
          <w:rFonts w:ascii="Times New Roman" w:eastAsia="Calibri" w:hAnsi="Times New Roman" w:cs="Times New Roman"/>
        </w:rPr>
        <w:t xml:space="preserve"> total impact on </w:t>
      </w:r>
      <w:r w:rsidRPr="00785EBA">
        <w:rPr>
          <w:rFonts w:ascii="Times New Roman" w:eastAsia="Calibri" w:hAnsi="Times New Roman" w:cs="Times New Roman"/>
        </w:rPr>
        <w:t>GWP. Breakdown of individual contribution</w:t>
      </w:r>
      <w:r w:rsidR="004361A3" w:rsidRPr="00785EBA">
        <w:rPr>
          <w:rFonts w:ascii="Times New Roman" w:eastAsia="Calibri" w:hAnsi="Times New Roman" w:cs="Times New Roman"/>
        </w:rPr>
        <w:t>s</w:t>
      </w:r>
      <w:r w:rsidRPr="00785EBA">
        <w:rPr>
          <w:rFonts w:ascii="Times New Roman" w:eastAsia="Calibri" w:hAnsi="Times New Roman" w:cs="Times New Roman"/>
        </w:rPr>
        <w:t xml:space="preserve"> of total GWP by process, reveals electricity from grid mix accounted for 68.4%, hard coal mix 0.80% and thermal energy from natural gas 0.10%.</w:t>
      </w:r>
    </w:p>
    <w:p w:rsidR="004361A3" w:rsidRPr="00785EBA" w:rsidRDefault="00BF010F" w:rsidP="004361A3">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The difference in GWP can also be accounted for by the countries comprising</w:t>
      </w:r>
      <w:r w:rsidR="004361A3" w:rsidRPr="00785EBA">
        <w:rPr>
          <w:rFonts w:ascii="Times New Roman" w:eastAsia="Calibri" w:hAnsi="Times New Roman" w:cs="Times New Roman"/>
        </w:rPr>
        <w:t xml:space="preserve"> the</w:t>
      </w:r>
      <w:r w:rsidRPr="00785EBA">
        <w:rPr>
          <w:rFonts w:ascii="Times New Roman" w:eastAsia="Calibri" w:hAnsi="Times New Roman" w:cs="Times New Roman"/>
        </w:rPr>
        <w:t xml:space="preserve"> global Fe-Si model, which primarily included China, Russia and Norway. The largest contribution came from China which contributed (0.230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w:t>
      </w:r>
      <w:r w:rsidR="009D72B4" w:rsidRPr="00785EBA">
        <w:rPr>
          <w:rFonts w:ascii="Times New Roman" w:eastAsia="Calibri" w:hAnsi="Times New Roman" w:cs="Times New Roman"/>
        </w:rPr>
        <w:t xml:space="preserve"> </w:t>
      </w:r>
      <w:r w:rsidRPr="00785EBA">
        <w:rPr>
          <w:rFonts w:ascii="Times New Roman" w:eastAsia="Calibri" w:hAnsi="Times New Roman" w:cs="Times New Roman"/>
        </w:rPr>
        <w:t>from a total of 0.249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Large contributions were not expected from Russia (natural gas) and Norway (hydroelectricity)</w:t>
      </w:r>
      <w:r w:rsidR="004361A3" w:rsidRPr="00785EBA">
        <w:rPr>
          <w:rFonts w:ascii="Times New Roman" w:eastAsia="Calibri" w:hAnsi="Times New Roman" w:cs="Times New Roman"/>
        </w:rPr>
        <w:t xml:space="preserve"> whose primary fuel sources were</w:t>
      </w:r>
      <w:r w:rsidRPr="00785EBA">
        <w:rPr>
          <w:rFonts w:ascii="Times New Roman" w:eastAsia="Calibri" w:hAnsi="Times New Roman" w:cs="Times New Roman"/>
        </w:rPr>
        <w:t xml:space="preserve"> low carbon emitters. Thus the total GWP was not expected to be </w:t>
      </w:r>
      <w:r w:rsidR="004361A3" w:rsidRPr="00785EBA">
        <w:rPr>
          <w:rFonts w:ascii="Times New Roman" w:eastAsia="Calibri" w:hAnsi="Times New Roman" w:cs="Times New Roman"/>
        </w:rPr>
        <w:t>higher than the original result</w:t>
      </w:r>
      <w:r w:rsidRPr="00785EBA">
        <w:rPr>
          <w:rFonts w:ascii="Times New Roman" w:eastAsia="Calibri" w:hAnsi="Times New Roman" w:cs="Times New Roman"/>
        </w:rPr>
        <w:t xml:space="preserve"> and is further supported by the value of 0.279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xml:space="preserve"> corresponding to 1MJ of energy from Australian electricity grid mix. This should be and is higher than the corresponding value of 0.249 kg /CO</w:t>
      </w:r>
      <w:r w:rsidRPr="00785EBA">
        <w:rPr>
          <w:rFonts w:ascii="Times New Roman" w:eastAsia="Calibri" w:hAnsi="Times New Roman" w:cs="Times New Roman"/>
          <w:vertAlign w:val="subscript"/>
        </w:rPr>
        <w:t>2</w:t>
      </w:r>
      <w:r w:rsidR="004361A3" w:rsidRPr="00785EBA">
        <w:rPr>
          <w:rFonts w:ascii="Times New Roman" w:eastAsia="Calibri" w:hAnsi="Times New Roman" w:cs="Times New Roman"/>
        </w:rPr>
        <w:t xml:space="preserve"> for global Fe-Si model.</w:t>
      </w:r>
    </w:p>
    <w:p w:rsidR="004361A3" w:rsidRPr="00785EBA" w:rsidRDefault="00BF010F" w:rsidP="004361A3">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Related to electricity, apart from</w:t>
      </w:r>
      <w:r w:rsidR="004361A3" w:rsidRPr="00785EBA">
        <w:rPr>
          <w:rFonts w:ascii="Times New Roman" w:eastAsia="Calibri" w:hAnsi="Times New Roman" w:cs="Times New Roman"/>
        </w:rPr>
        <w:t xml:space="preserve"> two models (i.e. </w:t>
      </w:r>
      <w:r w:rsidRPr="00785EBA">
        <w:rPr>
          <w:rFonts w:ascii="Times New Roman" w:eastAsia="Calibri" w:hAnsi="Times New Roman" w:cs="Times New Roman"/>
        </w:rPr>
        <w:t xml:space="preserve">global Fe-Si model and </w:t>
      </w:r>
      <w:r w:rsidR="004D2D91" w:rsidRPr="00785EBA">
        <w:rPr>
          <w:rFonts w:ascii="Times New Roman" w:eastAsia="Calibri" w:hAnsi="Times New Roman" w:cs="Times New Roman"/>
        </w:rPr>
        <w:t>GaBi</w:t>
      </w:r>
      <w:r w:rsidR="004361A3" w:rsidRPr="00785EBA">
        <w:rPr>
          <w:rFonts w:ascii="Times New Roman" w:eastAsia="Calibri" w:hAnsi="Times New Roman" w:cs="Times New Roman"/>
        </w:rPr>
        <w:t>)</w:t>
      </w:r>
      <w:r w:rsidRPr="00785EBA">
        <w:rPr>
          <w:rFonts w:ascii="Times New Roman" w:eastAsia="Calibri" w:hAnsi="Times New Roman" w:cs="Times New Roman"/>
        </w:rPr>
        <w:t>, the remaining</w:t>
      </w:r>
      <w:r w:rsidR="004361A3" w:rsidRPr="00785EBA">
        <w:rPr>
          <w:rFonts w:ascii="Times New Roman" w:eastAsia="Calibri" w:hAnsi="Times New Roman" w:cs="Times New Roman"/>
        </w:rPr>
        <w:t xml:space="preserve"> Fe-Si</w:t>
      </w:r>
      <w:r w:rsidRPr="00785EBA">
        <w:rPr>
          <w:rFonts w:ascii="Times New Roman" w:eastAsia="Calibri" w:hAnsi="Times New Roman" w:cs="Times New Roman"/>
        </w:rPr>
        <w:t xml:space="preserve"> models utilised</w:t>
      </w:r>
      <w:r w:rsidR="004361A3" w:rsidRPr="00785EBA">
        <w:rPr>
          <w:rFonts w:ascii="Times New Roman" w:eastAsia="Calibri" w:hAnsi="Times New Roman" w:cs="Times New Roman"/>
        </w:rPr>
        <w:t xml:space="preserve"> Australia as the main source of </w:t>
      </w:r>
      <w:r w:rsidRPr="00785EBA">
        <w:rPr>
          <w:rFonts w:ascii="Times New Roman" w:eastAsia="Calibri" w:hAnsi="Times New Roman" w:cs="Times New Roman"/>
        </w:rPr>
        <w:t>electricity grid mix</w:t>
      </w:r>
      <w:r w:rsidR="004361A3" w:rsidRPr="00785EBA">
        <w:rPr>
          <w:rFonts w:ascii="Times New Roman" w:eastAsia="Calibri" w:hAnsi="Times New Roman" w:cs="Times New Roman"/>
        </w:rPr>
        <w:t xml:space="preserve">. </w:t>
      </w:r>
      <w:r w:rsidRPr="00785EBA">
        <w:rPr>
          <w:rFonts w:ascii="Times New Roman" w:eastAsia="Calibri" w:hAnsi="Times New Roman" w:cs="Times New Roman"/>
        </w:rPr>
        <w:t xml:space="preserve">The global Fe-Si model was based on global production of Fe-Si. However, for the </w:t>
      </w:r>
      <w:r w:rsidR="004D2D91" w:rsidRPr="00785EBA">
        <w:rPr>
          <w:rFonts w:ascii="Times New Roman" w:eastAsia="Calibri" w:hAnsi="Times New Roman" w:cs="Times New Roman"/>
        </w:rPr>
        <w:t>GaBi</w:t>
      </w:r>
      <w:r w:rsidRPr="00785EBA">
        <w:rPr>
          <w:rFonts w:ascii="Times New Roman" w:eastAsia="Calibri" w:hAnsi="Times New Roman" w:cs="Times New Roman"/>
        </w:rPr>
        <w:t xml:space="preserve"> model, electricity grid mix was from EU-27 and Germany. The EU on average does not have a high percentage of electricity from coal as compared to Australia. So it would be expected that Fe-Si (</w:t>
      </w:r>
      <w:r w:rsidR="004D2D91" w:rsidRPr="00785EBA">
        <w:rPr>
          <w:rFonts w:ascii="Times New Roman" w:eastAsia="Calibri" w:hAnsi="Times New Roman" w:cs="Times New Roman"/>
        </w:rPr>
        <w:t>GaBi</w:t>
      </w:r>
      <w:r w:rsidRPr="00785EBA">
        <w:rPr>
          <w:rFonts w:ascii="Times New Roman" w:eastAsia="Calibri" w:hAnsi="Times New Roman" w:cs="Times New Roman"/>
        </w:rPr>
        <w:t>) would have a lower GWP value than 12.10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However this could have been offset by the percentage of Si in Fe-Si (91% in this case), since getting to this percentage requires more refining and thus more electricity. Therefore more electricity could have been used for this model, but due to electricity grid mix, being based on EU, the overall effect of usage would have been negated and the current GWP value obtained.</w:t>
      </w:r>
    </w:p>
    <w:p w:rsidR="004361A3" w:rsidRPr="00785EBA" w:rsidRDefault="004361A3" w:rsidP="004361A3">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Finally analysis of Fe-Si (Eurometaux) inputs, reveal this model to have the largest electricity contribution (9000 kWh/t) out</w:t>
      </w:r>
      <w:r w:rsidR="00266321">
        <w:rPr>
          <w:rFonts w:ascii="Times New Roman" w:eastAsia="Calibri" w:hAnsi="Times New Roman" w:cs="Times New Roman"/>
        </w:rPr>
        <w:t xml:space="preserve"> of</w:t>
      </w:r>
      <w:r w:rsidRPr="00785EBA">
        <w:rPr>
          <w:rFonts w:ascii="Times New Roman" w:eastAsia="Calibri" w:hAnsi="Times New Roman" w:cs="Times New Roman"/>
        </w:rPr>
        <w:t xml:space="preserve"> all Fe-Si models. Additionally the input ‘woodchips’ was also present, thus both inputs would have increased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xml:space="preserve"> emissions leading to a greater GWP value. Without these additional inputs, Fe-Si (Eurometaux) GWP would have been identical to the rest of the models.</w:t>
      </w:r>
    </w:p>
    <w:p w:rsidR="004361A3" w:rsidRPr="00785EBA" w:rsidRDefault="004361A3" w:rsidP="004361A3">
      <w:pPr>
        <w:spacing w:after="0" w:line="360" w:lineRule="auto"/>
        <w:ind w:firstLine="720"/>
        <w:jc w:val="both"/>
        <w:rPr>
          <w:rFonts w:ascii="Times New Roman" w:eastAsia="Calibri" w:hAnsi="Times New Roman" w:cs="Times New Roman"/>
        </w:rPr>
      </w:pPr>
    </w:p>
    <w:p w:rsidR="004361A3" w:rsidRPr="00785EBA" w:rsidRDefault="004361A3" w:rsidP="004361A3">
      <w:pPr>
        <w:spacing w:after="0" w:line="360" w:lineRule="auto"/>
        <w:ind w:firstLine="720"/>
        <w:jc w:val="both"/>
        <w:rPr>
          <w:rFonts w:ascii="Times New Roman" w:eastAsia="Calibri" w:hAnsi="Times New Roman" w:cs="Times New Roman"/>
        </w:rPr>
      </w:pPr>
    </w:p>
    <w:p w:rsidR="004361A3" w:rsidRPr="00785EBA" w:rsidRDefault="004361A3" w:rsidP="004361A3">
      <w:pPr>
        <w:spacing w:after="0" w:line="360" w:lineRule="auto"/>
        <w:ind w:firstLine="720"/>
        <w:jc w:val="both"/>
        <w:rPr>
          <w:rFonts w:ascii="Times New Roman" w:eastAsia="Calibri" w:hAnsi="Times New Roman" w:cs="Times New Roman"/>
        </w:rPr>
      </w:pPr>
    </w:p>
    <w:p w:rsidR="00BF010F" w:rsidRPr="00785EBA" w:rsidRDefault="00BF010F" w:rsidP="00BF010F">
      <w:pPr>
        <w:spacing w:line="360" w:lineRule="auto"/>
        <w:ind w:firstLine="720"/>
        <w:jc w:val="both"/>
        <w:rPr>
          <w:rFonts w:ascii="Times New Roman" w:eastAsia="Calibri" w:hAnsi="Times New Roman" w:cs="Times New Roman"/>
        </w:rPr>
      </w:pPr>
      <w:r w:rsidRPr="00785EBA">
        <w:rPr>
          <w:rFonts w:ascii="Times New Roman" w:eastAsia="Calibri" w:hAnsi="Times New Roman" w:cs="Times New Roman"/>
        </w:rPr>
        <w:lastRenderedPageBreak/>
        <w:t>In terms of l</w:t>
      </w:r>
      <w:r w:rsidR="003E48DC" w:rsidRPr="00785EBA">
        <w:rPr>
          <w:rFonts w:ascii="Times New Roman" w:eastAsia="Calibri" w:hAnsi="Times New Roman" w:cs="Times New Roman"/>
        </w:rPr>
        <w:t xml:space="preserve">iterature, according to </w:t>
      </w:r>
      <w:r w:rsidR="003E48DC" w:rsidRPr="00785EBA">
        <w:rPr>
          <w:rFonts w:ascii="Times New Roman" w:eastAsia="Calibri" w:hAnsi="Times New Roman" w:cs="Times New Roman"/>
          <w:noProof/>
        </w:rPr>
        <w:t>(Lindstad et al. 1998)</w:t>
      </w:r>
      <w:r w:rsidR="00893D5C" w:rsidRPr="00785EBA">
        <w:rPr>
          <w:rFonts w:ascii="Times New Roman" w:eastAsia="Calibri" w:hAnsi="Times New Roman" w:cs="Times New Roman"/>
        </w:rPr>
        <w:t>, the emission factor for</w:t>
      </w:r>
      <w:r w:rsidRPr="00785EBA">
        <w:rPr>
          <w:rFonts w:ascii="Times New Roman" w:eastAsia="Calibri" w:hAnsi="Times New Roman" w:cs="Times New Roman"/>
        </w:rPr>
        <w:t xml:space="preserve"> Fe-Si production from Norway for the year 2006 was approximately 5.56. This was calculated by dividing global Fe-Si production (4,080,000 Mt) by greenhouse gas emissions from Norway for Fe-Si production (733,000 Ton-CO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xml:space="preserve"> Equiv/year).  Comparing this to the 2006 IPCC Guidelines for National Greenhouse Gas Inventor</w:t>
      </w:r>
      <w:r w:rsidR="00893D5C" w:rsidRPr="00785EBA">
        <w:rPr>
          <w:rFonts w:ascii="Times New Roman" w:eastAsia="Calibri" w:hAnsi="Times New Roman" w:cs="Times New Roman"/>
        </w:rPr>
        <w:t>ies, the emission factor 5.56 was</w:t>
      </w:r>
      <w:r w:rsidRPr="00785EBA">
        <w:rPr>
          <w:rFonts w:ascii="Times New Roman" w:eastAsia="Calibri" w:hAnsi="Times New Roman" w:cs="Times New Roman"/>
        </w:rPr>
        <w:t xml:space="preserve"> higher than 4.0</w:t>
      </w:r>
      <w:r w:rsidR="00893D5C" w:rsidRPr="00785EBA">
        <w:rPr>
          <w:rFonts w:ascii="Times New Roman" w:eastAsia="Calibri" w:hAnsi="Times New Roman" w:cs="Times New Roman"/>
        </w:rPr>
        <w:t>0</w:t>
      </w:r>
      <w:r w:rsidRPr="00785EBA">
        <w:rPr>
          <w:rFonts w:ascii="Times New Roman" w:eastAsia="Calibri" w:hAnsi="Times New Roman" w:cs="Times New Roman"/>
        </w:rPr>
        <w:t xml:space="preserve"> and 4.8</w:t>
      </w:r>
      <w:r w:rsidR="00893D5C" w:rsidRPr="00785EBA">
        <w:rPr>
          <w:rFonts w:ascii="Times New Roman" w:eastAsia="Calibri" w:hAnsi="Times New Roman" w:cs="Times New Roman"/>
        </w:rPr>
        <w:t>0</w:t>
      </w:r>
      <w:r w:rsidRPr="00785EBA">
        <w:rPr>
          <w:rFonts w:ascii="Times New Roman" w:eastAsia="Calibri" w:hAnsi="Times New Roman" w:cs="Times New Roman"/>
        </w:rPr>
        <w:t xml:space="preserve"> calculated for Fe-Si (75% and 90% Si) variations. The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xml:space="preserve"> emissions from the Norwegian ferro-alloys production account for about 4 % of the Norwegian emissions. The results above cannot be directly compared unless data similar to that stated in the previous paragraph is located particularly for China, which is the major global CO</w:t>
      </w:r>
      <w:r w:rsidRPr="00785EBA">
        <w:rPr>
          <w:rFonts w:ascii="Times New Roman" w:eastAsia="Calibri" w:hAnsi="Times New Roman" w:cs="Times New Roman"/>
          <w:vertAlign w:val="subscript"/>
        </w:rPr>
        <w:t xml:space="preserve">2 </w:t>
      </w:r>
      <w:r w:rsidRPr="00785EBA">
        <w:rPr>
          <w:rFonts w:ascii="Times New Roman" w:eastAsia="Calibri" w:hAnsi="Times New Roman" w:cs="Times New Roman"/>
        </w:rPr>
        <w:t>emitter primary producer of a lot of the important ferro-alloys.</w:t>
      </w:r>
    </w:p>
    <w:p w:rsidR="00BF010F" w:rsidRPr="00785EBA" w:rsidRDefault="00BF010F" w:rsidP="00BF010F">
      <w:pPr>
        <w:spacing w:line="360" w:lineRule="auto"/>
        <w:jc w:val="center"/>
        <w:rPr>
          <w:rFonts w:ascii="Times New Roman" w:eastAsia="Calibri" w:hAnsi="Times New Roman" w:cs="Times New Roman"/>
        </w:rPr>
      </w:pPr>
      <w:r w:rsidRPr="00785EBA">
        <w:rPr>
          <w:noProof/>
        </w:rPr>
        <w:drawing>
          <wp:inline distT="0" distB="0" distL="0" distR="0">
            <wp:extent cx="4667534" cy="4509305"/>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srcRect l="38436" t="18992" r="20904" b="11171"/>
                    <a:stretch/>
                  </pic:blipFill>
                  <pic:spPr bwMode="auto">
                    <a:xfrm>
                      <a:off x="0" y="0"/>
                      <a:ext cx="4691531" cy="4532489"/>
                    </a:xfrm>
                    <a:prstGeom prst="rect">
                      <a:avLst/>
                    </a:prstGeom>
                    <a:ln>
                      <a:noFill/>
                    </a:ln>
                    <a:extLst>
                      <a:ext uri="{53640926-AAD7-44D8-BBD7-CCE9431645EC}">
                        <a14:shadowObscured xmlns:a14="http://schemas.microsoft.com/office/drawing/2010/main"/>
                      </a:ext>
                    </a:extLst>
                  </pic:spPr>
                </pic:pic>
              </a:graphicData>
            </a:graphic>
          </wp:inline>
        </w:drawing>
      </w:r>
    </w:p>
    <w:p w:rsidR="00BF010F" w:rsidRPr="00785EBA" w:rsidRDefault="00BF010F" w:rsidP="00BF010F">
      <w:pPr>
        <w:rPr>
          <w:rFonts w:ascii="Times New Roman" w:eastAsia="Calibri" w:hAnsi="Times New Roman" w:cs="Times New Roman"/>
        </w:rPr>
      </w:pPr>
      <w:bookmarkStart w:id="184" w:name="_Ref474431743"/>
      <w:bookmarkStart w:id="185" w:name="_Toc495848377"/>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44</w:t>
      </w:r>
      <w:r w:rsidR="009A0ED7" w:rsidRPr="00785EBA">
        <w:rPr>
          <w:rFonts w:ascii="Times New Roman" w:hAnsi="Times New Roman" w:cs="Times New Roman"/>
        </w:rPr>
        <w:fldChar w:fldCharType="end"/>
      </w:r>
      <w:bookmarkEnd w:id="184"/>
      <w:r w:rsidRPr="00785EBA">
        <w:rPr>
          <w:rFonts w:ascii="Times New Roman" w:hAnsi="Times New Roman" w:cs="Times New Roman"/>
        </w:rPr>
        <w:t xml:space="preserve">. </w:t>
      </w:r>
      <w:r w:rsidRPr="00785EBA">
        <w:rPr>
          <w:rFonts w:ascii="Times New Roman" w:eastAsia="Calibri" w:hAnsi="Times New Roman" w:cs="Times New Roman"/>
        </w:rPr>
        <w:t>Global Fe-Si model.</w:t>
      </w:r>
      <w:bookmarkEnd w:id="185"/>
    </w:p>
    <w:p w:rsidR="00785EBA" w:rsidRDefault="00BF010F" w:rsidP="00785EBA">
      <w:pPr>
        <w:spacing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From evaluating all the models and results, the global Fe-Si </w:t>
      </w:r>
      <w:r w:rsidR="00893D5C" w:rsidRPr="00785EBA">
        <w:rPr>
          <w:rFonts w:ascii="Times New Roman" w:eastAsia="Calibri" w:hAnsi="Times New Roman" w:cs="Times New Roman"/>
        </w:rPr>
        <w:t>model a</w:t>
      </w:r>
      <w:r w:rsidRPr="00785EBA">
        <w:rPr>
          <w:rFonts w:ascii="Times New Roman" w:eastAsia="Calibri" w:hAnsi="Times New Roman" w:cs="Times New Roman"/>
        </w:rPr>
        <w:t>bove</w:t>
      </w:r>
      <w:r w:rsidR="00893D5C" w:rsidRPr="00785EBA">
        <w:rPr>
          <w:rFonts w:ascii="Times New Roman" w:eastAsia="Calibri" w:hAnsi="Times New Roman" w:cs="Times New Roman"/>
        </w:rPr>
        <w:t xml:space="preserve"> (</w:t>
      </w:r>
      <w:r w:rsidR="00A6415F" w:rsidRPr="00785EBA">
        <w:fldChar w:fldCharType="begin"/>
      </w:r>
      <w:r w:rsidR="00A6415F" w:rsidRPr="00785EBA">
        <w:instrText xml:space="preserve"> REF _Ref474431743 \h  \* MERGEFORMAT </w:instrText>
      </w:r>
      <w:r w:rsidR="00A6415F" w:rsidRPr="00785EBA">
        <w:fldChar w:fldCharType="separate"/>
      </w:r>
      <w:r w:rsidR="009F5483" w:rsidRPr="00785EBA">
        <w:rPr>
          <w:rFonts w:ascii="Times New Roman" w:hAnsi="Times New Roman" w:cs="Times New Roman"/>
        </w:rPr>
        <w:t xml:space="preserve">Figure </w:t>
      </w:r>
      <w:r w:rsidR="009F5483">
        <w:rPr>
          <w:rFonts w:ascii="Times New Roman" w:hAnsi="Times New Roman" w:cs="Times New Roman"/>
          <w:noProof/>
        </w:rPr>
        <w:t>44</w:t>
      </w:r>
      <w:r w:rsidR="00A6415F" w:rsidRPr="00785EBA">
        <w:fldChar w:fldCharType="end"/>
      </w:r>
      <w:r w:rsidR="00893D5C" w:rsidRPr="00785EBA">
        <w:rPr>
          <w:rFonts w:ascii="Times New Roman" w:eastAsia="Calibri" w:hAnsi="Times New Roman" w:cs="Times New Roman"/>
        </w:rPr>
        <w:t>)</w:t>
      </w:r>
      <w:r w:rsidRPr="00785EBA">
        <w:rPr>
          <w:rFonts w:ascii="Times New Roman" w:eastAsia="Calibri" w:hAnsi="Times New Roman" w:cs="Times New Roman"/>
        </w:rPr>
        <w:t>, was selected as the process re</w:t>
      </w:r>
      <w:r w:rsidR="00893D5C" w:rsidRPr="00785EBA">
        <w:rPr>
          <w:rFonts w:ascii="Times New Roman" w:eastAsia="Calibri" w:hAnsi="Times New Roman" w:cs="Times New Roman"/>
        </w:rPr>
        <w:t>presenting Fe-Si. This model was also selected to be</w:t>
      </w:r>
      <w:r w:rsidRPr="00785EBA">
        <w:rPr>
          <w:rFonts w:ascii="Times New Roman" w:eastAsia="Calibri" w:hAnsi="Times New Roman" w:cs="Times New Roman"/>
        </w:rPr>
        <w:t xml:space="preserve"> utilised in work associated with application in grades </w:t>
      </w:r>
      <w:r w:rsidRPr="00EB640D">
        <w:rPr>
          <w:rFonts w:ascii="Times New Roman" w:eastAsia="Calibri" w:hAnsi="Times New Roman" w:cs="Times New Roman"/>
        </w:rPr>
        <w:t>of steel.</w:t>
      </w:r>
    </w:p>
    <w:p w:rsidR="00785EBA" w:rsidRDefault="00785EBA" w:rsidP="00785EBA">
      <w:pPr>
        <w:spacing w:line="360" w:lineRule="auto"/>
        <w:jc w:val="both"/>
        <w:rPr>
          <w:rFonts w:ascii="Times New Roman" w:eastAsia="Calibri" w:hAnsi="Times New Roman" w:cs="Times New Roman"/>
        </w:rPr>
      </w:pPr>
    </w:p>
    <w:p w:rsidR="00785EBA" w:rsidRDefault="00785EBA" w:rsidP="00BF010F">
      <w:pPr>
        <w:spacing w:line="360" w:lineRule="auto"/>
        <w:ind w:firstLine="720"/>
        <w:jc w:val="both"/>
        <w:rPr>
          <w:rFonts w:ascii="Times New Roman" w:eastAsia="Calibri" w:hAnsi="Times New Roman" w:cs="Times New Roman"/>
        </w:rPr>
        <w:sectPr w:rsidR="00785EBA" w:rsidSect="00C24042">
          <w:pgSz w:w="11906" w:h="16838"/>
          <w:pgMar w:top="1440" w:right="1440" w:bottom="1440" w:left="1440" w:header="708" w:footer="708" w:gutter="0"/>
          <w:cols w:space="708"/>
          <w:docGrid w:linePitch="360"/>
        </w:sectPr>
      </w:pPr>
    </w:p>
    <w:p w:rsidR="00BF010F" w:rsidRPr="00EB640D" w:rsidRDefault="000F272E" w:rsidP="00BF010F">
      <w:pPr>
        <w:pStyle w:val="Heading2"/>
        <w:rPr>
          <w:rFonts w:eastAsia="Calibri Light"/>
        </w:rPr>
      </w:pPr>
      <w:r w:rsidRPr="00EB640D">
        <w:rPr>
          <w:rFonts w:eastAsia="Calibri Light"/>
        </w:rPr>
        <w:lastRenderedPageBreak/>
        <w:t>7.8. Ferro-Titanium</w:t>
      </w:r>
    </w:p>
    <w:p w:rsidR="00BF010F" w:rsidRPr="00EB640D" w:rsidRDefault="00BF010F" w:rsidP="00CF066D">
      <w:pPr>
        <w:spacing w:line="360" w:lineRule="auto"/>
        <w:jc w:val="center"/>
        <w:rPr>
          <w:rFonts w:ascii="Times New Roman" w:eastAsia="Calibri" w:hAnsi="Times New Roman" w:cs="Times New Roman"/>
        </w:rPr>
      </w:pPr>
      <w:r w:rsidRPr="00EB640D">
        <w:rPr>
          <w:noProof/>
        </w:rPr>
        <w:drawing>
          <wp:inline distT="0" distB="0" distL="0" distR="0">
            <wp:extent cx="4610100" cy="2305050"/>
            <wp:effectExtent l="0" t="0" r="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BF010F" w:rsidRPr="00785EBA" w:rsidRDefault="00BF010F" w:rsidP="00BF010F">
      <w:pPr>
        <w:rPr>
          <w:rFonts w:ascii="Times New Roman" w:eastAsia="Calibri" w:hAnsi="Times New Roman" w:cs="Times New Roman"/>
        </w:rPr>
      </w:pPr>
      <w:bookmarkStart w:id="186" w:name="_Toc495848378"/>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45</w:t>
      </w:r>
      <w:r w:rsidR="009A0ED7" w:rsidRPr="00785EBA">
        <w:rPr>
          <w:rFonts w:ascii="Times New Roman" w:hAnsi="Times New Roman" w:cs="Times New Roman"/>
        </w:rPr>
        <w:fldChar w:fldCharType="end"/>
      </w:r>
      <w:r w:rsidRPr="00785EBA">
        <w:rPr>
          <w:rFonts w:ascii="Times New Roman" w:hAnsi="Times New Roman" w:cs="Times New Roman"/>
        </w:rPr>
        <w:t xml:space="preserve">. </w:t>
      </w:r>
      <w:r w:rsidRPr="00785EBA">
        <w:rPr>
          <w:rFonts w:ascii="Times New Roman" w:eastAsia="Calibri" w:hAnsi="Times New Roman" w:cs="Times New Roman"/>
        </w:rPr>
        <w:t>Comparison of GWP results for Fe-Ti production.</w:t>
      </w:r>
      <w:bookmarkEnd w:id="186"/>
    </w:p>
    <w:p w:rsidR="00BF010F" w:rsidRPr="00785EBA" w:rsidRDefault="0009250D" w:rsidP="0009250D">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Analysis of the Fe-Ti results compared</w:t>
      </w:r>
      <w:r w:rsidR="00BF010F" w:rsidRPr="00785EBA">
        <w:rPr>
          <w:rFonts w:ascii="Times New Roman" w:eastAsia="Calibri" w:hAnsi="Times New Roman" w:cs="Times New Roman"/>
        </w:rPr>
        <w:t xml:space="preserve"> models created </w:t>
      </w:r>
      <w:r w:rsidRPr="00785EBA">
        <w:rPr>
          <w:rFonts w:ascii="Times New Roman" w:eastAsia="Calibri" w:hAnsi="Times New Roman" w:cs="Times New Roman"/>
        </w:rPr>
        <w:t xml:space="preserve">from Tudor and Gasik. </w:t>
      </w:r>
      <w:r w:rsidR="00BF010F" w:rsidRPr="00785EBA">
        <w:rPr>
          <w:rFonts w:ascii="Times New Roman" w:eastAsia="Calibri" w:hAnsi="Times New Roman" w:cs="Times New Roman"/>
        </w:rPr>
        <w:t xml:space="preserve">Tudors </w:t>
      </w:r>
      <w:r w:rsidRPr="00785EBA">
        <w:rPr>
          <w:rFonts w:ascii="Times New Roman" w:eastAsia="Calibri" w:hAnsi="Times New Roman" w:cs="Times New Roman"/>
        </w:rPr>
        <w:t xml:space="preserve">estimated GWP </w:t>
      </w:r>
      <w:r w:rsidR="00BF010F" w:rsidRPr="00785EBA">
        <w:rPr>
          <w:rFonts w:ascii="Times New Roman" w:eastAsia="Calibri" w:hAnsi="Times New Roman" w:cs="Times New Roman"/>
        </w:rPr>
        <w:t>value was based on the carbothermic reduction route. To produce Fe-Ti from this route, scrap titanium is melted along with Fe</w:t>
      </w:r>
      <w:r w:rsidR="00BF010F" w:rsidRPr="00785EBA">
        <w:rPr>
          <w:rFonts w:ascii="Times New Roman" w:eastAsia="Calibri" w:hAnsi="Times New Roman" w:cs="Times New Roman"/>
          <w:vertAlign w:val="subscript"/>
        </w:rPr>
        <w:t>2</w:t>
      </w:r>
      <w:r w:rsidR="00BF010F" w:rsidRPr="00785EBA">
        <w:rPr>
          <w:rFonts w:ascii="Times New Roman" w:eastAsia="Calibri" w:hAnsi="Times New Roman" w:cs="Times New Roman"/>
        </w:rPr>
        <w:t>O</w:t>
      </w:r>
      <w:r w:rsidR="00BF010F" w:rsidRPr="00785EBA">
        <w:rPr>
          <w:rFonts w:ascii="Times New Roman" w:eastAsia="Calibri" w:hAnsi="Times New Roman" w:cs="Times New Roman"/>
          <w:vertAlign w:val="subscript"/>
        </w:rPr>
        <w:t>3</w:t>
      </w:r>
      <w:r w:rsidR="00BF010F" w:rsidRPr="00785EBA">
        <w:rPr>
          <w:rFonts w:ascii="Times New Roman" w:eastAsia="Calibri" w:hAnsi="Times New Roman" w:cs="Times New Roman"/>
        </w:rPr>
        <w:t xml:space="preserve"> and coke in an EAF, producing Fe-Ti with a Ti level of 70%. Since there was no information on Fe-Ti within </w:t>
      </w:r>
      <w:r w:rsidR="004D2D91" w:rsidRPr="00785EBA">
        <w:rPr>
          <w:rFonts w:ascii="Times New Roman" w:eastAsia="Calibri" w:hAnsi="Times New Roman" w:cs="Times New Roman"/>
        </w:rPr>
        <w:t>GaBi</w:t>
      </w:r>
      <w:r w:rsidR="00BF010F" w:rsidRPr="00785EBA">
        <w:rPr>
          <w:rFonts w:ascii="Times New Roman" w:eastAsia="Calibri" w:hAnsi="Times New Roman" w:cs="Times New Roman"/>
        </w:rPr>
        <w:t xml:space="preserve"> databases, the GWP value estimated by Tudor, was based on the CO</w:t>
      </w:r>
      <w:r w:rsidR="00BF010F" w:rsidRPr="00785EBA">
        <w:rPr>
          <w:rFonts w:ascii="Times New Roman" w:eastAsia="Calibri" w:hAnsi="Times New Roman" w:cs="Times New Roman"/>
          <w:vertAlign w:val="subscript"/>
        </w:rPr>
        <w:t>2</w:t>
      </w:r>
      <w:r w:rsidR="00BF010F" w:rsidRPr="00785EBA">
        <w:rPr>
          <w:rFonts w:ascii="Times New Roman" w:eastAsia="Calibri" w:hAnsi="Times New Roman" w:cs="Times New Roman"/>
        </w:rPr>
        <w:t xml:space="preserve"> value for the production of Ti which was, 16.6kg of CO</w:t>
      </w:r>
      <w:r w:rsidR="00BF010F" w:rsidRPr="00785EBA">
        <w:rPr>
          <w:rFonts w:ascii="Times New Roman" w:eastAsia="Calibri" w:hAnsi="Times New Roman" w:cs="Times New Roman"/>
          <w:vertAlign w:val="subscript"/>
        </w:rPr>
        <w:t>2</w:t>
      </w:r>
      <w:r w:rsidR="00BF010F" w:rsidRPr="00785EBA">
        <w:rPr>
          <w:rFonts w:ascii="Times New Roman" w:eastAsia="Calibri" w:hAnsi="Times New Roman" w:cs="Times New Roman"/>
        </w:rPr>
        <w:t xml:space="preserve"> per kg of Ti. As the process uses scrap Ti, the figure for the production of Ti was used to determine 70% of the Fe-Ti CO</w:t>
      </w:r>
      <w:r w:rsidR="00BF010F" w:rsidRPr="00785EBA">
        <w:rPr>
          <w:rFonts w:ascii="Times New Roman" w:eastAsia="Calibri" w:hAnsi="Times New Roman" w:cs="Times New Roman"/>
          <w:vertAlign w:val="subscript"/>
        </w:rPr>
        <w:t>2</w:t>
      </w:r>
      <w:r w:rsidR="00BF010F" w:rsidRPr="00785EBA">
        <w:rPr>
          <w:rFonts w:ascii="Times New Roman" w:eastAsia="Calibri" w:hAnsi="Times New Roman" w:cs="Times New Roman"/>
        </w:rPr>
        <w:t xml:space="preserve"> figur</w:t>
      </w:r>
      <w:r w:rsidRPr="00785EBA">
        <w:rPr>
          <w:rFonts w:ascii="Times New Roman" w:eastAsia="Calibri" w:hAnsi="Times New Roman" w:cs="Times New Roman"/>
        </w:rPr>
        <w:t>e:</w:t>
      </w:r>
    </w:p>
    <w:p w:rsidR="00D56605" w:rsidRPr="00785EBA" w:rsidRDefault="00D56605" w:rsidP="00D56605">
      <w:pPr>
        <w:spacing w:after="0" w:line="360" w:lineRule="auto"/>
        <w:jc w:val="both"/>
        <w:rPr>
          <w:rFonts w:ascii="Times New Roman" w:eastAsia="Calibri" w:hAnsi="Times New Roman" w:cs="Times New Roman"/>
        </w:rPr>
      </w:pPr>
    </w:p>
    <w:p w:rsidR="00BF010F" w:rsidRPr="00785EBA" w:rsidRDefault="00686E18" w:rsidP="00EE7761">
      <w:pPr>
        <w:pStyle w:val="ListParagraph"/>
        <w:numPr>
          <w:ilvl w:val="0"/>
          <w:numId w:val="24"/>
        </w:numPr>
        <w:spacing w:after="0" w:line="360" w:lineRule="auto"/>
        <w:jc w:val="both"/>
        <w:rPr>
          <w:rFonts w:ascii="Times New Roman" w:eastAsia="Calibri" w:hAnsi="Times New Roman" w:cs="Times New Roman"/>
          <w:vertAlign w:val="subscript"/>
        </w:rPr>
      </w:pPr>
      <w:r>
        <w:rPr>
          <w:rFonts w:ascii="Times New Roman" w:eastAsia="Calibri" w:hAnsi="Times New Roman" w:cs="Times New Roman"/>
        </w:rPr>
        <w:t>70% of Fe-Ti is Ti = 0.70 ×</w:t>
      </w:r>
      <w:r w:rsidR="00BF010F" w:rsidRPr="00785EBA">
        <w:rPr>
          <w:rFonts w:ascii="Times New Roman" w:eastAsia="Calibri" w:hAnsi="Times New Roman" w:cs="Times New Roman"/>
        </w:rPr>
        <w:t xml:space="preserve"> 16.6kg = 11.62kg of CO</w:t>
      </w:r>
      <w:r w:rsidR="00BF010F" w:rsidRPr="00785EBA">
        <w:rPr>
          <w:rFonts w:ascii="Times New Roman" w:eastAsia="Calibri" w:hAnsi="Times New Roman" w:cs="Times New Roman"/>
          <w:vertAlign w:val="subscript"/>
        </w:rPr>
        <w:t>2</w:t>
      </w:r>
    </w:p>
    <w:p w:rsidR="0009250D" w:rsidRPr="00785EBA" w:rsidRDefault="0009250D" w:rsidP="000209CE">
      <w:pPr>
        <w:spacing w:after="0" w:line="360" w:lineRule="auto"/>
        <w:ind w:firstLine="720"/>
        <w:jc w:val="both"/>
        <w:rPr>
          <w:rFonts w:ascii="Times New Roman" w:eastAsia="Calibri" w:hAnsi="Times New Roman" w:cs="Times New Roman"/>
        </w:rPr>
      </w:pPr>
    </w:p>
    <w:p w:rsidR="0009250D" w:rsidRPr="00785EBA" w:rsidRDefault="00BF010F" w:rsidP="0009250D">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The remaining 30% of Fe-Ti was calculated taking the worst case scenario from similar carbothermic reduction processes i.e. Fe-Cr or Fe-Mn. Taking the GWP for LC Fe-Cr (7.99kg of CO</w:t>
      </w:r>
      <w:r w:rsidRPr="00785EBA">
        <w:rPr>
          <w:rFonts w:ascii="Times New Roman" w:eastAsia="Calibri" w:hAnsi="Times New Roman" w:cs="Times New Roman"/>
          <w:vertAlign w:val="subscript"/>
        </w:rPr>
        <w:t xml:space="preserve">2 </w:t>
      </w:r>
      <w:r w:rsidRPr="00785EBA">
        <w:rPr>
          <w:rFonts w:ascii="Times New Roman" w:eastAsia="Calibri" w:hAnsi="Times New Roman" w:cs="Times New Roman"/>
        </w:rPr>
        <w:t xml:space="preserve">per kg) the remaining 30% </w:t>
      </w:r>
      <w:r w:rsidR="0009250D" w:rsidRPr="00785EBA">
        <w:rPr>
          <w:rFonts w:ascii="Times New Roman" w:eastAsia="Calibri" w:hAnsi="Times New Roman" w:cs="Times New Roman"/>
        </w:rPr>
        <w:t xml:space="preserve">of </w:t>
      </w:r>
      <w:r w:rsidRPr="00785EBA">
        <w:rPr>
          <w:rFonts w:ascii="Times New Roman" w:eastAsia="Calibri" w:hAnsi="Times New Roman" w:cs="Times New Roman"/>
        </w:rPr>
        <w:t>Fe-Ti came to 2.397kg of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.This would equate to a total value of 14.017kg of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xml:space="preserve"> per kg of Fe-Ti.</w:t>
      </w:r>
    </w:p>
    <w:p w:rsidR="00BF010F" w:rsidRPr="00785EBA" w:rsidRDefault="00BF010F" w:rsidP="0009250D">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On the other </w:t>
      </w:r>
      <w:r w:rsidR="0009250D" w:rsidRPr="00785EBA">
        <w:rPr>
          <w:rFonts w:ascii="Times New Roman" w:eastAsia="Calibri" w:hAnsi="Times New Roman" w:cs="Times New Roman"/>
        </w:rPr>
        <w:t xml:space="preserve">hand, the process from Gasik was created </w:t>
      </w:r>
      <w:r w:rsidRPr="00785EBA">
        <w:rPr>
          <w:rFonts w:ascii="Times New Roman" w:eastAsia="Calibri" w:hAnsi="Times New Roman" w:cs="Times New Roman"/>
        </w:rPr>
        <w:t>based</w:t>
      </w:r>
      <w:r w:rsidR="0009250D" w:rsidRPr="00785EBA">
        <w:rPr>
          <w:rFonts w:ascii="Times New Roman" w:eastAsia="Calibri" w:hAnsi="Times New Roman" w:cs="Times New Roman"/>
        </w:rPr>
        <w:t xml:space="preserve"> </w:t>
      </w:r>
      <w:r w:rsidRPr="00785EBA">
        <w:rPr>
          <w:rFonts w:ascii="Times New Roman" w:eastAsia="Calibri" w:hAnsi="Times New Roman" w:cs="Times New Roman"/>
        </w:rPr>
        <w:t>on</w:t>
      </w:r>
      <w:r w:rsidR="0009250D" w:rsidRPr="00785EBA">
        <w:rPr>
          <w:rFonts w:ascii="Times New Roman" w:eastAsia="Calibri" w:hAnsi="Times New Roman" w:cs="Times New Roman"/>
        </w:rPr>
        <w:t xml:space="preserve"> inputs for</w:t>
      </w:r>
      <w:r w:rsidRPr="00785EBA">
        <w:rPr>
          <w:rFonts w:ascii="Times New Roman" w:eastAsia="Calibri" w:hAnsi="Times New Roman" w:cs="Times New Roman"/>
        </w:rPr>
        <w:t xml:space="preserve"> aluminothermic reduction in an electric arc furnace. The input aluminium contributed approximately 85%of the overall GWP value of Fe-Ti.</w:t>
      </w:r>
    </w:p>
    <w:p w:rsidR="00BF010F" w:rsidRPr="00785EBA" w:rsidRDefault="00BF010F" w:rsidP="0009250D">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Comparison of the t</w:t>
      </w:r>
      <w:r w:rsidR="0009250D" w:rsidRPr="00785EBA">
        <w:rPr>
          <w:rFonts w:ascii="Times New Roman" w:eastAsia="Calibri" w:hAnsi="Times New Roman" w:cs="Times New Roman"/>
        </w:rPr>
        <w:t xml:space="preserve">wo values against one another was not </w:t>
      </w:r>
      <w:r w:rsidRPr="00785EBA">
        <w:rPr>
          <w:rFonts w:ascii="Times New Roman" w:eastAsia="Calibri" w:hAnsi="Times New Roman" w:cs="Times New Roman"/>
        </w:rPr>
        <w:t xml:space="preserve">accurate, since the method by Tudor was based on little or no data and estimations using worst case scenarios. In addition, </w:t>
      </w:r>
      <w:r w:rsidR="0009250D" w:rsidRPr="00785EBA">
        <w:rPr>
          <w:rFonts w:ascii="Times New Roman" w:eastAsia="Calibri" w:hAnsi="Times New Roman" w:cs="Times New Roman"/>
        </w:rPr>
        <w:t xml:space="preserve">the </w:t>
      </w:r>
      <w:r w:rsidRPr="00785EBA">
        <w:rPr>
          <w:rFonts w:ascii="Times New Roman" w:eastAsia="Calibri" w:hAnsi="Times New Roman" w:cs="Times New Roman"/>
        </w:rPr>
        <w:t xml:space="preserve">current literature indicates Fe-Ti is manufactured using metallothermic reduction and not carbothermic reduction due to minimising </w:t>
      </w:r>
      <w:r w:rsidR="0009250D" w:rsidRPr="00785EBA">
        <w:rPr>
          <w:rFonts w:ascii="Times New Roman" w:eastAsia="Calibri" w:hAnsi="Times New Roman" w:cs="Times New Roman"/>
        </w:rPr>
        <w:t xml:space="preserve">carbon content in Fe-Ti alloys. </w:t>
      </w:r>
      <w:r w:rsidRPr="00785EBA">
        <w:rPr>
          <w:rFonts w:ascii="Times New Roman" w:eastAsia="Calibri" w:hAnsi="Times New Roman" w:cs="Times New Roman"/>
        </w:rPr>
        <w:t>However a low GWP value for Fe-Ti (Gasik) may be due to a number of factors:</w:t>
      </w:r>
    </w:p>
    <w:p w:rsidR="00BF010F" w:rsidRPr="00785EBA" w:rsidRDefault="00BF010F" w:rsidP="00EE7761">
      <w:pPr>
        <w:numPr>
          <w:ilvl w:val="0"/>
          <w:numId w:val="6"/>
        </w:numPr>
        <w:spacing w:after="0" w:line="360" w:lineRule="auto"/>
        <w:ind w:left="720" w:hanging="360"/>
        <w:jc w:val="both"/>
        <w:rPr>
          <w:rFonts w:ascii="Times New Roman" w:eastAsia="Calibri" w:hAnsi="Times New Roman" w:cs="Times New Roman"/>
        </w:rPr>
      </w:pPr>
      <w:r w:rsidRPr="00785EBA">
        <w:rPr>
          <w:rFonts w:ascii="Times New Roman" w:eastAsia="Calibri" w:hAnsi="Times New Roman" w:cs="Times New Roman"/>
        </w:rPr>
        <w:t>Similarly to Fe-Nb, system-wide GWP associated with aluminium provision (the major contributor to GWP) might not be included in the process.</w:t>
      </w:r>
    </w:p>
    <w:p w:rsidR="00BF010F" w:rsidRPr="00785EBA" w:rsidRDefault="00BF010F" w:rsidP="00EE7761">
      <w:pPr>
        <w:numPr>
          <w:ilvl w:val="0"/>
          <w:numId w:val="6"/>
        </w:numPr>
        <w:spacing w:after="0" w:line="360" w:lineRule="auto"/>
        <w:ind w:left="720" w:hanging="360"/>
        <w:jc w:val="both"/>
        <w:rPr>
          <w:rFonts w:ascii="Times New Roman" w:eastAsia="Calibri" w:hAnsi="Times New Roman" w:cs="Times New Roman"/>
        </w:rPr>
      </w:pPr>
      <w:r w:rsidRPr="00785EBA">
        <w:rPr>
          <w:rFonts w:ascii="Times New Roman" w:eastAsia="Calibri" w:hAnsi="Times New Roman" w:cs="Times New Roman"/>
        </w:rPr>
        <w:lastRenderedPageBreak/>
        <w:t>In recent years, secondary scrap has become more important in producing Fe-Ti, thus decreasing the carbon footprint.</w:t>
      </w:r>
    </w:p>
    <w:p w:rsidR="00BF010F" w:rsidRPr="00785EBA" w:rsidRDefault="00BF010F" w:rsidP="00EE7761">
      <w:pPr>
        <w:numPr>
          <w:ilvl w:val="0"/>
          <w:numId w:val="6"/>
        </w:numPr>
        <w:spacing w:after="0" w:line="360" w:lineRule="auto"/>
        <w:ind w:left="720" w:hanging="360"/>
        <w:jc w:val="both"/>
        <w:rPr>
          <w:rFonts w:ascii="Times New Roman" w:eastAsia="Calibri" w:hAnsi="Times New Roman" w:cs="Times New Roman"/>
        </w:rPr>
      </w:pPr>
      <w:r w:rsidRPr="00785EBA">
        <w:rPr>
          <w:rFonts w:ascii="Times New Roman" w:eastAsia="Calibri" w:hAnsi="Times New Roman" w:cs="Times New Roman"/>
        </w:rPr>
        <w:t>Iron used in the process is assumed to be low carbon iron scrap, thus minimising carbon emissions.</w:t>
      </w:r>
    </w:p>
    <w:p w:rsidR="00BF010F" w:rsidRPr="00785EBA" w:rsidRDefault="00BF010F" w:rsidP="00F91BED">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Co</w:t>
      </w:r>
      <w:r w:rsidR="0009250D" w:rsidRPr="00785EBA">
        <w:rPr>
          <w:rFonts w:ascii="Times New Roman" w:eastAsia="Calibri" w:hAnsi="Times New Roman" w:cs="Times New Roman"/>
        </w:rPr>
        <w:t>mparisons against literature was</w:t>
      </w:r>
      <w:r w:rsidRPr="00785EBA">
        <w:rPr>
          <w:rFonts w:ascii="Times New Roman" w:eastAsia="Calibri" w:hAnsi="Times New Roman" w:cs="Times New Roman"/>
        </w:rPr>
        <w:t xml:space="preserve"> difficult due to minimal information on</w:t>
      </w:r>
      <w:r w:rsidR="0009250D" w:rsidRPr="00785EBA">
        <w:rPr>
          <w:rFonts w:ascii="Times New Roman" w:eastAsia="Calibri" w:hAnsi="Times New Roman" w:cs="Times New Roman"/>
        </w:rPr>
        <w:t xml:space="preserve"> actual Fe-Ti created processes. As well as data sources used to create Fe-Ti models.</w:t>
      </w:r>
      <w:r w:rsidR="00F91BED" w:rsidRPr="00785EBA">
        <w:rPr>
          <w:rFonts w:ascii="Times New Roman" w:eastAsia="Calibri" w:hAnsi="Times New Roman" w:cs="Times New Roman"/>
        </w:rPr>
        <w:t xml:space="preserve"> </w:t>
      </w:r>
      <w:r w:rsidRPr="00785EBA">
        <w:rPr>
          <w:rFonts w:ascii="Times New Roman" w:eastAsia="Calibri" w:hAnsi="Times New Roman" w:cs="Times New Roman"/>
        </w:rPr>
        <w:t>In this case comparisons were made between Fe-B, Fe-Nb and Fe-Ti since all three routes were based on aluminothermic reduction in an electric arc furnace.</w:t>
      </w:r>
    </w:p>
    <w:p w:rsidR="00BF010F" w:rsidRPr="00785EBA" w:rsidRDefault="00BF010F" w:rsidP="00BF010F">
      <w:pPr>
        <w:rPr>
          <w:rFonts w:ascii="Times New Roman" w:eastAsia="Calibri" w:hAnsi="Times New Roman" w:cs="Times New Roman"/>
        </w:rPr>
      </w:pPr>
      <w:bookmarkStart w:id="187" w:name="_Toc474486536"/>
      <w:bookmarkStart w:id="188" w:name="_Toc495852706"/>
      <w:r w:rsidRPr="00785EBA">
        <w:rPr>
          <w:rFonts w:ascii="Times New Roman" w:hAnsi="Times New Roman" w:cs="Times New Roman"/>
        </w:rPr>
        <w:t xml:space="preserve">Table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Table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28</w:t>
      </w:r>
      <w:r w:rsidR="009A0ED7" w:rsidRPr="00785EBA">
        <w:rPr>
          <w:rFonts w:ascii="Times New Roman" w:hAnsi="Times New Roman" w:cs="Times New Roman"/>
        </w:rPr>
        <w:fldChar w:fldCharType="end"/>
      </w:r>
      <w:r w:rsidRPr="00785EBA">
        <w:rPr>
          <w:rFonts w:ascii="Times New Roman" w:hAnsi="Times New Roman" w:cs="Times New Roman"/>
        </w:rPr>
        <w:t xml:space="preserve">. </w:t>
      </w:r>
      <w:r w:rsidRPr="00785EBA">
        <w:rPr>
          <w:rFonts w:ascii="Times New Roman" w:eastAsia="Calibri" w:hAnsi="Times New Roman" w:cs="Times New Roman"/>
        </w:rPr>
        <w:t>Comparison of ferro-alloys utilising aluminothermic reduction production routes.</w:t>
      </w:r>
      <w:bookmarkEnd w:id="187"/>
      <w:bookmarkEnd w:id="1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167"/>
        <w:gridCol w:w="1617"/>
        <w:gridCol w:w="1616"/>
        <w:gridCol w:w="1616"/>
      </w:tblGrid>
      <w:tr w:rsidR="000F39EA" w:rsidRPr="00785EBA" w:rsidTr="00F91BED">
        <w:trPr>
          <w:trHeight w:val="574"/>
        </w:trPr>
        <w:tc>
          <w:tcPr>
            <w:tcW w:w="2311" w:type="pct"/>
            <w:shd w:val="clear" w:color="auto" w:fill="auto"/>
            <w:tcMar>
              <w:left w:w="108" w:type="dxa"/>
              <w:right w:w="108" w:type="dxa"/>
            </w:tcMar>
            <w:vAlign w:val="center"/>
          </w:tcPr>
          <w:p w:rsidR="00BF010F" w:rsidRPr="00785EBA" w:rsidRDefault="00BF010F" w:rsidP="00F91BED">
            <w:pPr>
              <w:spacing w:after="0" w:line="360" w:lineRule="auto"/>
              <w:ind w:firstLine="720"/>
              <w:jc w:val="center"/>
              <w:rPr>
                <w:rFonts w:ascii="Times New Roman" w:eastAsia="Calibri" w:hAnsi="Times New Roman" w:cs="Times New Roman"/>
              </w:rPr>
            </w:pPr>
          </w:p>
        </w:tc>
        <w:tc>
          <w:tcPr>
            <w:tcW w:w="897" w:type="pct"/>
            <w:shd w:val="clear" w:color="auto" w:fill="auto"/>
            <w:tcMar>
              <w:left w:w="108" w:type="dxa"/>
              <w:right w:w="108" w:type="dxa"/>
            </w:tcMar>
            <w:vAlign w:val="center"/>
          </w:tcPr>
          <w:p w:rsidR="00BF010F" w:rsidRPr="00785EBA" w:rsidRDefault="00BF010F" w:rsidP="00F91BED">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Ferro Boron (Borates)</w:t>
            </w:r>
          </w:p>
        </w:tc>
        <w:tc>
          <w:tcPr>
            <w:tcW w:w="896" w:type="pct"/>
            <w:shd w:val="clear" w:color="000000" w:fill="FFFFFF"/>
            <w:tcMar>
              <w:left w:w="108" w:type="dxa"/>
              <w:right w:w="108" w:type="dxa"/>
            </w:tcMar>
            <w:vAlign w:val="center"/>
          </w:tcPr>
          <w:p w:rsidR="00BF010F" w:rsidRPr="00785EBA" w:rsidRDefault="00BF010F" w:rsidP="00F91BED">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Ferro-Niobium (Nuss)</w:t>
            </w:r>
          </w:p>
        </w:tc>
        <w:tc>
          <w:tcPr>
            <w:tcW w:w="896" w:type="pct"/>
            <w:shd w:val="clear" w:color="000000" w:fill="FFFFFF"/>
            <w:tcMar>
              <w:left w:w="108" w:type="dxa"/>
              <w:right w:w="108" w:type="dxa"/>
            </w:tcMar>
            <w:vAlign w:val="center"/>
          </w:tcPr>
          <w:p w:rsidR="00BF010F" w:rsidRPr="00785EBA" w:rsidRDefault="00BF010F" w:rsidP="00F91BED">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Ferro-Titanium (Gasik)</w:t>
            </w:r>
          </w:p>
        </w:tc>
      </w:tr>
      <w:tr w:rsidR="000F39EA" w:rsidRPr="00785EBA" w:rsidTr="00D56605">
        <w:tc>
          <w:tcPr>
            <w:tcW w:w="2311" w:type="pct"/>
            <w:shd w:val="clear" w:color="auto" w:fill="auto"/>
            <w:tcMar>
              <w:left w:w="108" w:type="dxa"/>
              <w:right w:w="108" w:type="dxa"/>
            </w:tcMar>
            <w:vAlign w:val="center"/>
          </w:tcPr>
          <w:p w:rsidR="00BF010F" w:rsidRPr="00785EBA" w:rsidRDefault="00BF010F" w:rsidP="00D56605">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CML2001 - Apr. 2013, Global Warming Potential (GWP 100 years) [kg CO2-Equiv.]</w:t>
            </w:r>
          </w:p>
        </w:tc>
        <w:tc>
          <w:tcPr>
            <w:tcW w:w="897" w:type="pct"/>
            <w:shd w:val="clear" w:color="000000" w:fill="FFFFFF"/>
            <w:tcMar>
              <w:left w:w="108" w:type="dxa"/>
              <w:right w:w="108" w:type="dxa"/>
            </w:tcMar>
            <w:vAlign w:val="center"/>
          </w:tcPr>
          <w:p w:rsidR="00BF010F" w:rsidRPr="00785EBA" w:rsidRDefault="00BF010F" w:rsidP="00F91BED">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19.87</w:t>
            </w:r>
          </w:p>
        </w:tc>
        <w:tc>
          <w:tcPr>
            <w:tcW w:w="896" w:type="pct"/>
            <w:shd w:val="clear" w:color="000000" w:fill="FFFFFF"/>
            <w:tcMar>
              <w:left w:w="108" w:type="dxa"/>
              <w:right w:w="108" w:type="dxa"/>
            </w:tcMar>
            <w:vAlign w:val="center"/>
          </w:tcPr>
          <w:p w:rsidR="00BF010F" w:rsidRPr="00785EBA" w:rsidRDefault="00BF010F" w:rsidP="00F91BED">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4.83</w:t>
            </w:r>
          </w:p>
        </w:tc>
        <w:tc>
          <w:tcPr>
            <w:tcW w:w="896" w:type="pct"/>
            <w:shd w:val="clear" w:color="000000" w:fill="FFFFFF"/>
            <w:tcMar>
              <w:left w:w="108" w:type="dxa"/>
              <w:right w:w="108" w:type="dxa"/>
            </w:tcMar>
            <w:vAlign w:val="center"/>
          </w:tcPr>
          <w:p w:rsidR="00BF010F" w:rsidRPr="00785EBA" w:rsidRDefault="00BF010F" w:rsidP="00F91BED">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4.30</w:t>
            </w:r>
          </w:p>
        </w:tc>
      </w:tr>
      <w:tr w:rsidR="000F39EA" w:rsidRPr="00785EBA" w:rsidTr="00D56605">
        <w:tc>
          <w:tcPr>
            <w:tcW w:w="2311" w:type="pct"/>
            <w:shd w:val="clear" w:color="auto" w:fill="auto"/>
            <w:tcMar>
              <w:left w:w="108" w:type="dxa"/>
              <w:right w:w="108" w:type="dxa"/>
            </w:tcMar>
            <w:vAlign w:val="center"/>
          </w:tcPr>
          <w:p w:rsidR="00BF010F" w:rsidRPr="00785EBA" w:rsidRDefault="00BF010F" w:rsidP="00D56605">
            <w:pPr>
              <w:spacing w:after="0" w:line="360" w:lineRule="auto"/>
              <w:ind w:firstLine="720"/>
              <w:jc w:val="center"/>
              <w:rPr>
                <w:rFonts w:ascii="Times New Roman" w:eastAsia="Calibri" w:hAnsi="Times New Roman" w:cs="Times New Roman"/>
              </w:rPr>
            </w:pPr>
            <w:r w:rsidRPr="00785EBA">
              <w:rPr>
                <w:rFonts w:ascii="Times New Roman" w:eastAsia="Calibri" w:hAnsi="Times New Roman" w:cs="Times New Roman"/>
              </w:rPr>
              <w:t>Energy (net calorific value) [MJ]</w:t>
            </w:r>
          </w:p>
        </w:tc>
        <w:tc>
          <w:tcPr>
            <w:tcW w:w="897" w:type="pct"/>
            <w:shd w:val="clear" w:color="000000" w:fill="FFFFFF"/>
            <w:tcMar>
              <w:left w:w="108" w:type="dxa"/>
              <w:right w:w="108" w:type="dxa"/>
            </w:tcMar>
            <w:vAlign w:val="center"/>
          </w:tcPr>
          <w:p w:rsidR="00BF010F" w:rsidRPr="00785EBA" w:rsidRDefault="00BF010F" w:rsidP="00F91BED">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384.49</w:t>
            </w:r>
          </w:p>
        </w:tc>
        <w:tc>
          <w:tcPr>
            <w:tcW w:w="896" w:type="pct"/>
            <w:shd w:val="clear" w:color="000000" w:fill="FFFFFF"/>
            <w:tcMar>
              <w:left w:w="108" w:type="dxa"/>
              <w:right w:w="108" w:type="dxa"/>
            </w:tcMar>
            <w:vAlign w:val="center"/>
          </w:tcPr>
          <w:p w:rsidR="00BF010F" w:rsidRPr="00785EBA" w:rsidRDefault="00BF010F" w:rsidP="00F91BED">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97.56</w:t>
            </w:r>
          </w:p>
        </w:tc>
        <w:tc>
          <w:tcPr>
            <w:tcW w:w="896" w:type="pct"/>
            <w:shd w:val="clear" w:color="000000" w:fill="FFFFFF"/>
            <w:tcMar>
              <w:left w:w="108" w:type="dxa"/>
              <w:right w:w="108" w:type="dxa"/>
            </w:tcMar>
            <w:vAlign w:val="center"/>
          </w:tcPr>
          <w:p w:rsidR="00BF010F" w:rsidRPr="00785EBA" w:rsidRDefault="00BF010F" w:rsidP="00F91BED">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103.10</w:t>
            </w:r>
          </w:p>
        </w:tc>
      </w:tr>
    </w:tbl>
    <w:p w:rsidR="00BF010F" w:rsidRPr="00785EBA" w:rsidRDefault="00BF010F" w:rsidP="000209CE">
      <w:pPr>
        <w:spacing w:after="0" w:line="360" w:lineRule="auto"/>
        <w:ind w:firstLine="720"/>
        <w:jc w:val="both"/>
        <w:rPr>
          <w:rFonts w:ascii="Times New Roman" w:eastAsia="Calibri" w:hAnsi="Times New Roman" w:cs="Times New Roman"/>
        </w:rPr>
      </w:pPr>
    </w:p>
    <w:p w:rsidR="00BF010F" w:rsidRPr="00785EBA" w:rsidRDefault="00BF010F" w:rsidP="00F91BED">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Aluminium was the main contributor in all 3 processes with the addition of magnesium in Fe-B being significant. This explains why across the two categories of GWP and energy</w:t>
      </w:r>
      <w:r w:rsidR="00F91BED" w:rsidRPr="00785EBA">
        <w:rPr>
          <w:rFonts w:ascii="Times New Roman" w:eastAsia="Calibri" w:hAnsi="Times New Roman" w:cs="Times New Roman"/>
        </w:rPr>
        <w:t>,</w:t>
      </w:r>
      <w:r w:rsidRPr="00785EBA">
        <w:rPr>
          <w:rFonts w:ascii="Times New Roman" w:eastAsia="Calibri" w:hAnsi="Times New Roman" w:cs="Times New Roman"/>
        </w:rPr>
        <w:t xml:space="preserve"> Fe-B had the highest impact. </w:t>
      </w:r>
      <w:r w:rsidR="00F91BED" w:rsidRPr="00785EBA">
        <w:rPr>
          <w:rFonts w:ascii="Times New Roman" w:eastAsia="Calibri" w:hAnsi="Times New Roman" w:cs="Times New Roman"/>
        </w:rPr>
        <w:t xml:space="preserve">In terms of </w:t>
      </w:r>
      <w:r w:rsidRPr="00785EBA">
        <w:rPr>
          <w:rFonts w:ascii="Times New Roman" w:eastAsia="Calibri" w:hAnsi="Times New Roman" w:cs="Times New Roman"/>
        </w:rPr>
        <w:t>Fe-Nb and Fe-Ti</w:t>
      </w:r>
      <w:r w:rsidR="00F91BED" w:rsidRPr="00785EBA">
        <w:rPr>
          <w:rFonts w:ascii="Times New Roman" w:eastAsia="Calibri" w:hAnsi="Times New Roman" w:cs="Times New Roman"/>
        </w:rPr>
        <w:t>, these</w:t>
      </w:r>
      <w:r w:rsidRPr="00785EBA">
        <w:rPr>
          <w:rFonts w:ascii="Times New Roman" w:eastAsia="Calibri" w:hAnsi="Times New Roman" w:cs="Times New Roman"/>
        </w:rPr>
        <w:t xml:space="preserve"> were similar due to the similar quantity of aluminium present in each process. For all 3 processes, the specific ore for each process contributed little to the total GWP.</w:t>
      </w:r>
    </w:p>
    <w:p w:rsidR="00BF010F" w:rsidRPr="00785EBA" w:rsidRDefault="00BF010F" w:rsidP="00F91BED">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In terms of GWP values in literature to compare against, there</w:t>
      </w:r>
      <w:r w:rsidR="00F91BED" w:rsidRPr="00785EBA">
        <w:rPr>
          <w:rFonts w:ascii="Times New Roman" w:eastAsia="Calibri" w:hAnsi="Times New Roman" w:cs="Times New Roman"/>
        </w:rPr>
        <w:t xml:space="preserve"> was</w:t>
      </w:r>
      <w:r w:rsidRPr="00785EBA">
        <w:rPr>
          <w:rFonts w:ascii="Times New Roman" w:eastAsia="Calibri" w:hAnsi="Times New Roman" w:cs="Times New Roman"/>
        </w:rPr>
        <w:t xml:space="preserve"> little or no data available for Fe-Ti.</w:t>
      </w:r>
    </w:p>
    <w:p w:rsidR="00BF010F" w:rsidRPr="00785EBA" w:rsidRDefault="00BF010F" w:rsidP="00F91BED">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Since a single process was created as depicted by</w:t>
      </w:r>
      <w:r w:rsidR="00F91BED" w:rsidRPr="00785EBA">
        <w:rPr>
          <w:rFonts w:ascii="Times New Roman" w:eastAsia="Calibri" w:hAnsi="Times New Roman" w:cs="Times New Roman"/>
        </w:rPr>
        <w:t xml:space="preserve"> </w:t>
      </w:r>
      <w:r w:rsidR="00A6415F" w:rsidRPr="00785EBA">
        <w:fldChar w:fldCharType="begin"/>
      </w:r>
      <w:r w:rsidR="00A6415F" w:rsidRPr="00785EBA">
        <w:instrText xml:space="preserve"> REF _Ref474432417 \h  \* MERGEFORMAT </w:instrText>
      </w:r>
      <w:r w:rsidR="00A6415F" w:rsidRPr="00785EBA">
        <w:fldChar w:fldCharType="separate"/>
      </w:r>
      <w:r w:rsidR="009F5483" w:rsidRPr="00785EBA">
        <w:rPr>
          <w:rFonts w:ascii="Times New Roman" w:hAnsi="Times New Roman" w:cs="Times New Roman"/>
        </w:rPr>
        <w:t xml:space="preserve">Figure </w:t>
      </w:r>
      <w:r w:rsidR="009F5483">
        <w:rPr>
          <w:rFonts w:ascii="Times New Roman" w:hAnsi="Times New Roman" w:cs="Times New Roman"/>
          <w:noProof/>
        </w:rPr>
        <w:t>46</w:t>
      </w:r>
      <w:r w:rsidR="00A6415F" w:rsidRPr="00785EBA">
        <w:fldChar w:fldCharType="end"/>
      </w:r>
      <w:r w:rsidR="00F91BED" w:rsidRPr="00785EBA">
        <w:rPr>
          <w:rFonts w:ascii="Times New Roman" w:eastAsia="Calibri" w:hAnsi="Times New Roman" w:cs="Times New Roman"/>
        </w:rPr>
        <w:t>, this was</w:t>
      </w:r>
      <w:r w:rsidRPr="00785EBA">
        <w:rPr>
          <w:rFonts w:ascii="Times New Roman" w:eastAsia="Calibri" w:hAnsi="Times New Roman" w:cs="Times New Roman"/>
        </w:rPr>
        <w:t xml:space="preserve"> utilised in work associated with application in grades of steel.</w:t>
      </w:r>
    </w:p>
    <w:p w:rsidR="00BF010F" w:rsidRPr="00785EBA" w:rsidRDefault="00BF010F" w:rsidP="00CF066D">
      <w:pPr>
        <w:jc w:val="center"/>
        <w:rPr>
          <w:rFonts w:ascii="Times New Roman" w:eastAsia="Calibri" w:hAnsi="Times New Roman" w:cs="Times New Roman"/>
        </w:rPr>
      </w:pPr>
      <w:r w:rsidRPr="00785EBA">
        <w:rPr>
          <w:noProof/>
        </w:rPr>
        <w:drawing>
          <wp:inline distT="0" distB="0" distL="0" distR="0">
            <wp:extent cx="4245334" cy="2405083"/>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srcRect l="41381" t="37818" r="19898" b="23183"/>
                    <a:stretch/>
                  </pic:blipFill>
                  <pic:spPr bwMode="auto">
                    <a:xfrm>
                      <a:off x="0" y="0"/>
                      <a:ext cx="4278675" cy="2423972"/>
                    </a:xfrm>
                    <a:prstGeom prst="rect">
                      <a:avLst/>
                    </a:prstGeom>
                    <a:ln>
                      <a:noFill/>
                    </a:ln>
                    <a:extLst>
                      <a:ext uri="{53640926-AAD7-44D8-BBD7-CCE9431645EC}">
                        <a14:shadowObscured xmlns:a14="http://schemas.microsoft.com/office/drawing/2010/main"/>
                      </a:ext>
                    </a:extLst>
                  </pic:spPr>
                </pic:pic>
              </a:graphicData>
            </a:graphic>
          </wp:inline>
        </w:drawing>
      </w:r>
    </w:p>
    <w:p w:rsidR="00BF010F" w:rsidRDefault="00BF010F" w:rsidP="00BF010F">
      <w:pPr>
        <w:rPr>
          <w:rFonts w:ascii="Times New Roman" w:eastAsia="Calibri" w:hAnsi="Times New Roman" w:cs="Times New Roman"/>
        </w:rPr>
      </w:pPr>
      <w:bookmarkStart w:id="189" w:name="_Ref474432417"/>
      <w:bookmarkStart w:id="190" w:name="_Toc495848379"/>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46</w:t>
      </w:r>
      <w:r w:rsidR="009A0ED7" w:rsidRPr="00785EBA">
        <w:rPr>
          <w:rFonts w:ascii="Times New Roman" w:hAnsi="Times New Roman" w:cs="Times New Roman"/>
        </w:rPr>
        <w:fldChar w:fldCharType="end"/>
      </w:r>
      <w:bookmarkEnd w:id="189"/>
      <w:r w:rsidRPr="00785EBA">
        <w:rPr>
          <w:rFonts w:ascii="Times New Roman" w:hAnsi="Times New Roman" w:cs="Times New Roman"/>
        </w:rPr>
        <w:t xml:space="preserve">. </w:t>
      </w:r>
      <w:r w:rsidRPr="00785EBA">
        <w:rPr>
          <w:rFonts w:ascii="Times New Roman" w:eastAsia="Calibri" w:hAnsi="Times New Roman" w:cs="Times New Roman"/>
        </w:rPr>
        <w:t>Fe-Ti p</w:t>
      </w:r>
      <w:r w:rsidR="000209CE" w:rsidRPr="00785EBA">
        <w:rPr>
          <w:rFonts w:ascii="Times New Roman" w:eastAsia="Calibri" w:hAnsi="Times New Roman" w:cs="Times New Roman"/>
        </w:rPr>
        <w:t>roduction via Gasik data sourc</w:t>
      </w:r>
      <w:r w:rsidR="00EF67CF" w:rsidRPr="00785EBA">
        <w:rPr>
          <w:rFonts w:ascii="Times New Roman" w:eastAsia="Calibri" w:hAnsi="Times New Roman" w:cs="Times New Roman"/>
        </w:rPr>
        <w:t>e.</w:t>
      </w:r>
      <w:bookmarkEnd w:id="190"/>
    </w:p>
    <w:p w:rsidR="00785EBA" w:rsidRDefault="00785EBA" w:rsidP="00BF010F">
      <w:pPr>
        <w:rPr>
          <w:rFonts w:ascii="Times New Roman" w:eastAsia="Calibri" w:hAnsi="Times New Roman" w:cs="Times New Roman"/>
        </w:rPr>
      </w:pPr>
    </w:p>
    <w:p w:rsidR="00785EBA" w:rsidRDefault="00785EBA" w:rsidP="00BF010F">
      <w:pPr>
        <w:rPr>
          <w:rFonts w:ascii="Times New Roman" w:eastAsia="Calibri" w:hAnsi="Times New Roman" w:cs="Times New Roman"/>
        </w:rPr>
        <w:sectPr w:rsidR="00785EBA" w:rsidSect="00C24042">
          <w:pgSz w:w="11906" w:h="16838"/>
          <w:pgMar w:top="1440" w:right="1440" w:bottom="1440" w:left="1440" w:header="708" w:footer="708" w:gutter="0"/>
          <w:cols w:space="708"/>
          <w:docGrid w:linePitch="360"/>
        </w:sectPr>
      </w:pPr>
    </w:p>
    <w:p w:rsidR="00A30BF4" w:rsidRPr="00EB640D" w:rsidRDefault="000F272E" w:rsidP="00A30BF4">
      <w:pPr>
        <w:pStyle w:val="Heading2"/>
        <w:rPr>
          <w:rFonts w:eastAsia="Calibri Light"/>
        </w:rPr>
      </w:pPr>
      <w:r w:rsidRPr="00EB640D">
        <w:rPr>
          <w:rFonts w:eastAsia="Calibri Light"/>
        </w:rPr>
        <w:lastRenderedPageBreak/>
        <w:t xml:space="preserve">7.9. Ferro-Vanadium </w:t>
      </w:r>
    </w:p>
    <w:p w:rsidR="00A30BF4" w:rsidRPr="00EB640D" w:rsidRDefault="00A30BF4" w:rsidP="00CF066D">
      <w:pPr>
        <w:spacing w:line="360" w:lineRule="auto"/>
        <w:jc w:val="center"/>
        <w:rPr>
          <w:rFonts w:ascii="Times New Roman" w:eastAsia="Calibri" w:hAnsi="Times New Roman" w:cs="Times New Roman"/>
        </w:rPr>
      </w:pPr>
      <w:r w:rsidRPr="00EB640D">
        <w:rPr>
          <w:noProof/>
        </w:rPr>
        <w:drawing>
          <wp:inline distT="0" distB="0" distL="0" distR="0">
            <wp:extent cx="4181475" cy="2438400"/>
            <wp:effectExtent l="0" t="0" r="9525" b="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A30BF4" w:rsidRPr="00785EBA" w:rsidRDefault="00A30BF4" w:rsidP="00A30BF4">
      <w:pPr>
        <w:rPr>
          <w:rFonts w:ascii="Times New Roman" w:eastAsia="Calibri" w:hAnsi="Times New Roman" w:cs="Times New Roman"/>
        </w:rPr>
      </w:pPr>
      <w:bookmarkStart w:id="191" w:name="_Toc495848380"/>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47</w:t>
      </w:r>
      <w:r w:rsidR="009A0ED7" w:rsidRPr="00785EBA">
        <w:rPr>
          <w:rFonts w:ascii="Times New Roman" w:hAnsi="Times New Roman" w:cs="Times New Roman"/>
        </w:rPr>
        <w:fldChar w:fldCharType="end"/>
      </w:r>
      <w:r w:rsidRPr="00785EBA">
        <w:rPr>
          <w:rFonts w:ascii="Times New Roman" w:hAnsi="Times New Roman" w:cs="Times New Roman"/>
        </w:rPr>
        <w:t xml:space="preserve">. </w:t>
      </w:r>
      <w:r w:rsidRPr="00785EBA">
        <w:rPr>
          <w:rFonts w:ascii="Times New Roman" w:eastAsia="Calibri" w:hAnsi="Times New Roman" w:cs="Times New Roman"/>
        </w:rPr>
        <w:t>GWP value for Fe-V.</w:t>
      </w:r>
      <w:bookmarkEnd w:id="191"/>
    </w:p>
    <w:p w:rsidR="00CB3C12" w:rsidRPr="00785EBA" w:rsidRDefault="00C02D0C" w:rsidP="00C02D0C">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For Fe-V, a </w:t>
      </w:r>
      <w:r w:rsidR="00A30BF4" w:rsidRPr="00785EBA">
        <w:rPr>
          <w:rFonts w:ascii="Times New Roman" w:eastAsia="Calibri" w:hAnsi="Times New Roman" w:cs="Times New Roman"/>
        </w:rPr>
        <w:t>single GWP value of 84.10 kg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 xml:space="preserve">-Equiv was </w:t>
      </w:r>
      <w:r w:rsidRPr="00785EBA">
        <w:rPr>
          <w:rFonts w:ascii="Times New Roman" w:eastAsia="Calibri" w:hAnsi="Times New Roman" w:cs="Times New Roman"/>
        </w:rPr>
        <w:t xml:space="preserve">calculated based on the process from </w:t>
      </w:r>
      <w:r w:rsidR="004D2D91" w:rsidRPr="00785EBA">
        <w:rPr>
          <w:rFonts w:ascii="Times New Roman" w:eastAsia="Calibri" w:hAnsi="Times New Roman" w:cs="Times New Roman"/>
        </w:rPr>
        <w:t>GaBi</w:t>
      </w:r>
      <w:r w:rsidRPr="00785EBA">
        <w:rPr>
          <w:rFonts w:ascii="Times New Roman" w:eastAsia="Calibri" w:hAnsi="Times New Roman" w:cs="Times New Roman"/>
        </w:rPr>
        <w:t>. As mentioned in the ferro-alloy methodology, quantitative data was obtained on how to produce 1 metric ton of 80 % ferrovanadium. But with the process ‘vanadium pentoxide’ missing and with little or no data to create this, no other Fe-V model could be created to compare and contrast with.</w:t>
      </w:r>
      <w:r w:rsidR="00CB3C12" w:rsidRPr="00785EBA">
        <w:rPr>
          <w:rFonts w:ascii="Times New Roman" w:eastAsia="Calibri" w:hAnsi="Times New Roman" w:cs="Times New Roman"/>
        </w:rPr>
        <w:t xml:space="preserve"> </w:t>
      </w:r>
    </w:p>
    <w:p w:rsidR="00C02D0C" w:rsidRPr="00785EBA" w:rsidRDefault="00CB3C12" w:rsidP="00C02D0C">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The lack of openly available data was also reflected in little or no literature to compare the GWP value against. Although Fe-V models might exist in-house within companies and organisational bodies. For the results from this study it was difficult to obtain something relevant to compare against.</w:t>
      </w:r>
    </w:p>
    <w:p w:rsidR="00C02D0C" w:rsidRPr="00CF066D" w:rsidRDefault="00C02D0C" w:rsidP="00CF066D">
      <w:pPr>
        <w:spacing w:after="0" w:line="360" w:lineRule="auto"/>
        <w:ind w:firstLine="720"/>
        <w:jc w:val="both"/>
        <w:rPr>
          <w:rFonts w:ascii="Times New Roman" w:hAnsi="Times New Roman" w:cs="Times New Roman"/>
        </w:rPr>
      </w:pPr>
      <w:r w:rsidRPr="00785EBA">
        <w:rPr>
          <w:rFonts w:ascii="Times New Roman" w:eastAsia="Calibri" w:hAnsi="Times New Roman" w:cs="Times New Roman"/>
        </w:rPr>
        <w:t>Contact was made with World Steel Association in order to model Fe-V, via steel making slag, but proved unsuccessful. However, with a Fe-V model set-up,</w:t>
      </w:r>
      <w:r w:rsidR="00CB3C12" w:rsidRPr="00785EBA">
        <w:rPr>
          <w:rFonts w:ascii="Times New Roman" w:eastAsia="Calibri" w:hAnsi="Times New Roman" w:cs="Times New Roman"/>
        </w:rPr>
        <w:t xml:space="preserve"> as shown by </w:t>
      </w:r>
      <w:r w:rsidR="00A6415F" w:rsidRPr="00785EBA">
        <w:fldChar w:fldCharType="begin"/>
      </w:r>
      <w:r w:rsidR="00A6415F" w:rsidRPr="00785EBA">
        <w:instrText xml:space="preserve"> REF _Ref474442486 \h  \* MERGEFORMAT </w:instrText>
      </w:r>
      <w:r w:rsidR="00A6415F" w:rsidRPr="00785EBA">
        <w:fldChar w:fldCharType="separate"/>
      </w:r>
      <w:r w:rsidR="009F5483" w:rsidRPr="00EB640D">
        <w:rPr>
          <w:rFonts w:ascii="Times New Roman" w:hAnsi="Times New Roman" w:cs="Times New Roman"/>
        </w:rPr>
        <w:t>Figure</w:t>
      </w:r>
      <w:r w:rsidR="009F5483" w:rsidRPr="00EB640D">
        <w:rPr>
          <w:rFonts w:ascii="Times New Roman" w:hAnsi="Times New Roman" w:cs="Times New Roman"/>
          <w:noProof/>
        </w:rPr>
        <w:t xml:space="preserve"> </w:t>
      </w:r>
      <w:r w:rsidR="009F5483">
        <w:rPr>
          <w:rFonts w:ascii="Times New Roman" w:hAnsi="Times New Roman" w:cs="Times New Roman"/>
          <w:noProof/>
        </w:rPr>
        <w:t>48</w:t>
      </w:r>
      <w:r w:rsidR="00A6415F" w:rsidRPr="00785EBA">
        <w:fldChar w:fldCharType="end"/>
      </w:r>
      <w:r w:rsidRPr="00785EBA">
        <w:rPr>
          <w:rFonts w:ascii="Times New Roman" w:eastAsia="Calibri" w:hAnsi="Times New Roman" w:cs="Times New Roman"/>
        </w:rPr>
        <w:t xml:space="preserve"> appropriate data when available can be inserted and the results analysed.</w:t>
      </w:r>
    </w:p>
    <w:p w:rsidR="00785EBA" w:rsidRDefault="00A30BF4" w:rsidP="00CF066D">
      <w:pPr>
        <w:spacing w:line="360" w:lineRule="auto"/>
        <w:jc w:val="center"/>
        <w:rPr>
          <w:rFonts w:ascii="Times New Roman" w:eastAsia="Calibri" w:hAnsi="Times New Roman" w:cs="Times New Roman"/>
        </w:rPr>
      </w:pPr>
      <w:r w:rsidRPr="00EB640D">
        <w:rPr>
          <w:noProof/>
        </w:rPr>
        <w:drawing>
          <wp:inline distT="0" distB="0" distL="0" distR="0">
            <wp:extent cx="4747364" cy="2528073"/>
            <wp:effectExtent l="0" t="0" r="0" b="571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srcRect l="12022" t="28752" r="47756" b="33169"/>
                    <a:stretch/>
                  </pic:blipFill>
                  <pic:spPr bwMode="auto">
                    <a:xfrm>
                      <a:off x="0" y="0"/>
                      <a:ext cx="4766005" cy="2538000"/>
                    </a:xfrm>
                    <a:prstGeom prst="rect">
                      <a:avLst/>
                    </a:prstGeom>
                    <a:ln>
                      <a:noFill/>
                    </a:ln>
                    <a:extLst>
                      <a:ext uri="{53640926-AAD7-44D8-BBD7-CCE9431645EC}">
                        <a14:shadowObscured xmlns:a14="http://schemas.microsoft.com/office/drawing/2010/main"/>
                      </a:ext>
                    </a:extLst>
                  </pic:spPr>
                </pic:pic>
              </a:graphicData>
            </a:graphic>
          </wp:inline>
        </w:drawing>
      </w:r>
      <w:bookmarkStart w:id="192" w:name="_Ref474442486"/>
    </w:p>
    <w:p w:rsidR="00A30BF4" w:rsidRDefault="00A30BF4" w:rsidP="00785EBA">
      <w:pPr>
        <w:spacing w:line="360" w:lineRule="auto"/>
        <w:jc w:val="both"/>
        <w:rPr>
          <w:rFonts w:ascii="Times New Roman" w:eastAsia="Calibri" w:hAnsi="Times New Roman" w:cs="Times New Roman"/>
        </w:rPr>
      </w:pPr>
      <w:bookmarkStart w:id="193" w:name="_Toc495848381"/>
      <w:r w:rsidRPr="00EB640D">
        <w:rPr>
          <w:rFonts w:ascii="Times New Roman" w:hAnsi="Times New Roman" w:cs="Times New Roman"/>
        </w:rPr>
        <w:t xml:space="preserve">Figure </w:t>
      </w:r>
      <w:r w:rsidR="009A0ED7" w:rsidRPr="00EB640D">
        <w:rPr>
          <w:rFonts w:ascii="Times New Roman" w:hAnsi="Times New Roman" w:cs="Times New Roman"/>
        </w:rPr>
        <w:fldChar w:fldCharType="begin"/>
      </w:r>
      <w:r w:rsidRPr="00EB640D">
        <w:rPr>
          <w:rFonts w:ascii="Times New Roman" w:hAnsi="Times New Roman" w:cs="Times New Roman"/>
        </w:rPr>
        <w:instrText xml:space="preserve"> SEQ Figure \* ARABIC </w:instrText>
      </w:r>
      <w:r w:rsidR="009A0ED7" w:rsidRPr="00EB640D">
        <w:rPr>
          <w:rFonts w:ascii="Times New Roman" w:hAnsi="Times New Roman" w:cs="Times New Roman"/>
        </w:rPr>
        <w:fldChar w:fldCharType="separate"/>
      </w:r>
      <w:r w:rsidR="009F5483">
        <w:rPr>
          <w:rFonts w:ascii="Times New Roman" w:hAnsi="Times New Roman" w:cs="Times New Roman"/>
          <w:noProof/>
        </w:rPr>
        <w:t>48</w:t>
      </w:r>
      <w:r w:rsidR="009A0ED7" w:rsidRPr="00EB640D">
        <w:rPr>
          <w:rFonts w:ascii="Times New Roman" w:hAnsi="Times New Roman" w:cs="Times New Roman"/>
        </w:rPr>
        <w:fldChar w:fldCharType="end"/>
      </w:r>
      <w:bookmarkEnd w:id="192"/>
      <w:r w:rsidRPr="00EB640D">
        <w:rPr>
          <w:rFonts w:ascii="Times New Roman" w:hAnsi="Times New Roman" w:cs="Times New Roman"/>
        </w:rPr>
        <w:t xml:space="preserve">. </w:t>
      </w:r>
      <w:r w:rsidRPr="00EB640D">
        <w:rPr>
          <w:rFonts w:ascii="Times New Roman" w:eastAsia="Calibri" w:hAnsi="Times New Roman" w:cs="Times New Roman"/>
        </w:rPr>
        <w:t>Incomplete Fe-V model utilising data from Vanitec.</w:t>
      </w:r>
      <w:bookmarkEnd w:id="193"/>
    </w:p>
    <w:p w:rsidR="00785EBA" w:rsidRDefault="00785EBA" w:rsidP="00785EBA">
      <w:pPr>
        <w:spacing w:line="360" w:lineRule="auto"/>
        <w:jc w:val="both"/>
        <w:rPr>
          <w:rFonts w:ascii="Times New Roman" w:eastAsia="Calibri" w:hAnsi="Times New Roman" w:cs="Times New Roman"/>
        </w:rPr>
      </w:pPr>
    </w:p>
    <w:p w:rsidR="00785EBA" w:rsidRDefault="00785EBA" w:rsidP="00785EBA">
      <w:pPr>
        <w:spacing w:line="360" w:lineRule="auto"/>
        <w:jc w:val="both"/>
        <w:rPr>
          <w:rFonts w:ascii="Times New Roman" w:eastAsia="Calibri" w:hAnsi="Times New Roman" w:cs="Times New Roman"/>
        </w:rPr>
        <w:sectPr w:rsidR="00785EBA" w:rsidSect="00C24042">
          <w:pgSz w:w="11906" w:h="16838"/>
          <w:pgMar w:top="1440" w:right="1440" w:bottom="1440" w:left="1440" w:header="708" w:footer="708" w:gutter="0"/>
          <w:cols w:space="708"/>
          <w:docGrid w:linePitch="360"/>
        </w:sectPr>
      </w:pPr>
    </w:p>
    <w:p w:rsidR="00A30BF4" w:rsidRPr="00EB640D" w:rsidRDefault="000F272E" w:rsidP="00A30BF4">
      <w:pPr>
        <w:pStyle w:val="Heading2"/>
        <w:rPr>
          <w:rFonts w:eastAsia="Calibri Light"/>
          <w:color w:val="FF0000"/>
        </w:rPr>
      </w:pPr>
      <w:r w:rsidRPr="00EB640D">
        <w:rPr>
          <w:rFonts w:eastAsia="Calibri Light"/>
        </w:rPr>
        <w:lastRenderedPageBreak/>
        <w:t xml:space="preserve">7.10. Silica-Manganese </w:t>
      </w:r>
    </w:p>
    <w:p w:rsidR="00A30BF4" w:rsidRPr="00EB640D" w:rsidRDefault="00A30BF4" w:rsidP="00A30BF4">
      <w:pPr>
        <w:spacing w:line="360" w:lineRule="auto"/>
        <w:rPr>
          <w:rFonts w:ascii="Times New Roman" w:eastAsia="Calibri" w:hAnsi="Times New Roman" w:cs="Times New Roman"/>
        </w:rPr>
      </w:pPr>
      <w:r w:rsidRPr="00EB640D">
        <w:rPr>
          <w:noProof/>
        </w:rPr>
        <w:drawing>
          <wp:inline distT="0" distB="0" distL="0" distR="0">
            <wp:extent cx="5731510" cy="3412490"/>
            <wp:effectExtent l="0" t="0" r="2540" b="1651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A30BF4" w:rsidRPr="00785EBA" w:rsidRDefault="00A30BF4" w:rsidP="00A30BF4">
      <w:pPr>
        <w:rPr>
          <w:rFonts w:ascii="Times New Roman" w:eastAsia="Calibri" w:hAnsi="Times New Roman" w:cs="Times New Roman"/>
        </w:rPr>
      </w:pPr>
      <w:bookmarkStart w:id="194" w:name="_Ref468308357"/>
      <w:bookmarkStart w:id="195" w:name="_Toc495848382"/>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49</w:t>
      </w:r>
      <w:r w:rsidR="009A0ED7" w:rsidRPr="00785EBA">
        <w:rPr>
          <w:rFonts w:ascii="Times New Roman" w:hAnsi="Times New Roman" w:cs="Times New Roman"/>
        </w:rPr>
        <w:fldChar w:fldCharType="end"/>
      </w:r>
      <w:bookmarkEnd w:id="194"/>
      <w:r w:rsidRPr="00785EBA">
        <w:rPr>
          <w:rFonts w:ascii="Times New Roman" w:hAnsi="Times New Roman" w:cs="Times New Roman"/>
        </w:rPr>
        <w:t xml:space="preserve">. </w:t>
      </w:r>
      <w:r w:rsidRPr="00785EBA">
        <w:rPr>
          <w:rFonts w:ascii="Times New Roman" w:eastAsia="Calibri" w:hAnsi="Times New Roman" w:cs="Times New Roman"/>
        </w:rPr>
        <w:t>Comparison of all literature sources for Si-Mn production.</w:t>
      </w:r>
      <w:bookmarkEnd w:id="195"/>
    </w:p>
    <w:p w:rsidR="00CB3C12" w:rsidRPr="00785EBA" w:rsidRDefault="00A6415F" w:rsidP="00EC2691">
      <w:pPr>
        <w:spacing w:after="0" w:line="360" w:lineRule="auto"/>
        <w:ind w:firstLine="720"/>
        <w:jc w:val="both"/>
        <w:rPr>
          <w:rFonts w:ascii="Times New Roman" w:eastAsia="Calibri" w:hAnsi="Times New Roman" w:cs="Times New Roman"/>
        </w:rPr>
      </w:pPr>
      <w:r w:rsidRPr="00785EBA">
        <w:fldChar w:fldCharType="begin"/>
      </w:r>
      <w:r w:rsidRPr="00785EBA">
        <w:instrText xml:space="preserve"> REF _Ref468308357 \h  \* MERGEFORMAT </w:instrText>
      </w:r>
      <w:r w:rsidRPr="00785EBA">
        <w:fldChar w:fldCharType="separate"/>
      </w:r>
      <w:r w:rsidR="009F5483" w:rsidRPr="00785EBA">
        <w:rPr>
          <w:rFonts w:ascii="Times New Roman" w:hAnsi="Times New Roman" w:cs="Times New Roman"/>
        </w:rPr>
        <w:t xml:space="preserve">Figure </w:t>
      </w:r>
      <w:r w:rsidR="009F5483">
        <w:rPr>
          <w:rFonts w:ascii="Times New Roman" w:hAnsi="Times New Roman" w:cs="Times New Roman"/>
          <w:noProof/>
        </w:rPr>
        <w:t>49</w:t>
      </w:r>
      <w:r w:rsidRPr="00785EBA">
        <w:fldChar w:fldCharType="end"/>
      </w:r>
      <w:r w:rsidR="00CB3C12" w:rsidRPr="00785EBA">
        <w:rPr>
          <w:rFonts w:ascii="Times New Roman" w:eastAsia="Calibri" w:hAnsi="Times New Roman" w:cs="Times New Roman"/>
        </w:rPr>
        <w:t xml:space="preserve"> utilises a colour key to differentiate between the multiple sources of literature used to model </w:t>
      </w:r>
      <w:r w:rsidR="00EC2691" w:rsidRPr="00785EBA">
        <w:rPr>
          <w:rFonts w:ascii="Times New Roman" w:eastAsia="Calibri" w:hAnsi="Times New Roman" w:cs="Times New Roman"/>
        </w:rPr>
        <w:t>Si-Mn</w:t>
      </w:r>
      <w:r w:rsidR="00CB3C12" w:rsidRPr="00785EBA">
        <w:rPr>
          <w:rFonts w:ascii="Times New Roman" w:eastAsia="Calibri" w:hAnsi="Times New Roman" w:cs="Times New Roman"/>
        </w:rPr>
        <w:t xml:space="preserve"> production. </w:t>
      </w:r>
      <w:r w:rsidR="00EC2691" w:rsidRPr="00785EBA">
        <w:rPr>
          <w:rFonts w:ascii="Times New Roman" w:eastAsia="Calibri" w:hAnsi="Times New Roman" w:cs="Times New Roman"/>
        </w:rPr>
        <w:t>The majority of models developed had greater GWP values than the original mode</w:t>
      </w:r>
      <w:r w:rsidR="00CB3C12" w:rsidRPr="00785EBA">
        <w:rPr>
          <w:rFonts w:ascii="Times New Roman" w:eastAsia="Calibri" w:hAnsi="Times New Roman" w:cs="Times New Roman"/>
        </w:rPr>
        <w:t>.</w:t>
      </w:r>
      <w:r w:rsidR="00EC2691" w:rsidRPr="00785EBA">
        <w:rPr>
          <w:rFonts w:ascii="Times New Roman" w:eastAsia="Calibri" w:hAnsi="Times New Roman" w:cs="Times New Roman"/>
        </w:rPr>
        <w:t xml:space="preserve"> A more detailed explanation of the results from each model are detailed in the paragraphs below.</w:t>
      </w:r>
    </w:p>
    <w:p w:rsidR="00EC2691" w:rsidRPr="00785EBA" w:rsidRDefault="00EC2691" w:rsidP="00EC2691">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As expected Haque’s original data shows a strong correlation between source of electricity and GWP value. The value from Tasmanian energy was considerably lower when compared to Australian energy. However this would be expected due to the contribution of non-renewable energy (hydro-electricity) in Tasmania and Australian energy being predominantly fossil fuel heavy. </w:t>
      </w:r>
    </w:p>
    <w:p w:rsidR="00EC2691" w:rsidRPr="00785EBA" w:rsidRDefault="00EC2691" w:rsidP="00EC2691">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Following the same trend as Fe-Mn, Si-Mn (Haque) Version 2 had a larger GWP value (7.60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-Equiv) than global Si-Mn (7.17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-Equiv). In terms of the global Si-Mn model, the percentage difference in GWP values in comparison to Haque Version 2, which characterised the original data source, was 5.82%.</w:t>
      </w:r>
    </w:p>
    <w:p w:rsidR="00A30BF4" w:rsidRPr="00785EBA" w:rsidRDefault="00A30BF4" w:rsidP="000209CE">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Since global Si-Mn used a similar modelling method to global Fe-Mn,</w:t>
      </w:r>
      <w:r w:rsidR="00EC2691" w:rsidRPr="00785EBA">
        <w:rPr>
          <w:rFonts w:ascii="Times New Roman" w:eastAsia="Calibri" w:hAnsi="Times New Roman" w:cs="Times New Roman"/>
        </w:rPr>
        <w:t xml:space="preserve"> the differences between Haque V</w:t>
      </w:r>
      <w:r w:rsidRPr="00785EBA">
        <w:rPr>
          <w:rFonts w:ascii="Times New Roman" w:eastAsia="Calibri" w:hAnsi="Times New Roman" w:cs="Times New Roman"/>
        </w:rPr>
        <w:t>ersion 2 and the respective gl</w:t>
      </w:r>
      <w:r w:rsidR="00EC2691" w:rsidRPr="00785EBA">
        <w:rPr>
          <w:rFonts w:ascii="Times New Roman" w:eastAsia="Calibri" w:hAnsi="Times New Roman" w:cs="Times New Roman"/>
        </w:rPr>
        <w:t>obal models was the same. T</w:t>
      </w:r>
      <w:r w:rsidRPr="00785EBA">
        <w:rPr>
          <w:rFonts w:ascii="Times New Roman" w:eastAsia="Calibri" w:hAnsi="Times New Roman" w:cs="Times New Roman"/>
        </w:rPr>
        <w:t>he detailed explanation can be seen in the Fe-Mn section. The only exception being the value of the average electricity grid mix corresponding to 1MJ, which was 0.263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The percentage difference between this and the value from Australia (0.279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was 5.94%. This therefore points towards the fact that GWP for global Si-Mn should be and is lower. This is explained by the country make-up of</w:t>
      </w:r>
      <w:r w:rsidR="00EC2691" w:rsidRPr="00785EBA">
        <w:rPr>
          <w:rFonts w:ascii="Times New Roman" w:eastAsia="Calibri" w:hAnsi="Times New Roman" w:cs="Times New Roman"/>
        </w:rPr>
        <w:t xml:space="preserve"> average electricity grid mix for</w:t>
      </w:r>
      <w:r w:rsidRPr="00785EBA">
        <w:rPr>
          <w:rFonts w:ascii="Times New Roman" w:eastAsia="Calibri" w:hAnsi="Times New Roman" w:cs="Times New Roman"/>
        </w:rPr>
        <w:t xml:space="preserve"> global Si-Mn production.</w:t>
      </w:r>
    </w:p>
    <w:p w:rsidR="00A30BF4" w:rsidRPr="00785EBA" w:rsidRDefault="00A30BF4" w:rsidP="000209CE">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lastRenderedPageBreak/>
        <w:t>The average electricity grid mixed was based on the top three g</w:t>
      </w:r>
      <w:r w:rsidR="00EC2691" w:rsidRPr="00785EBA">
        <w:rPr>
          <w:rFonts w:ascii="Times New Roman" w:eastAsia="Calibri" w:hAnsi="Times New Roman" w:cs="Times New Roman"/>
        </w:rPr>
        <w:t xml:space="preserve">lobal Si-Mn producers, namely: </w:t>
      </w:r>
      <w:r w:rsidRPr="00785EBA">
        <w:rPr>
          <w:rFonts w:ascii="Times New Roman" w:eastAsia="Calibri" w:hAnsi="Times New Roman" w:cs="Times New Roman"/>
        </w:rPr>
        <w:t>China, India and Ukraine. If GWP was solely based on electricity, then both China (75.47%) and India (72.83%) have higher percentages from coal for electricity generation than Australia (64.72%). However percentage of global production also has to be taken into consideration. China provides 63.52% of global produ</w:t>
      </w:r>
      <w:r w:rsidR="000209CE" w:rsidRPr="00785EBA">
        <w:rPr>
          <w:rFonts w:ascii="Times New Roman" w:eastAsia="Calibri" w:hAnsi="Times New Roman" w:cs="Times New Roman"/>
        </w:rPr>
        <w:t xml:space="preserve">ction followed by India 11.02% </w:t>
      </w:r>
      <w:r w:rsidRPr="00785EBA">
        <w:rPr>
          <w:rFonts w:ascii="Times New Roman" w:eastAsia="Calibri" w:hAnsi="Times New Roman" w:cs="Times New Roman"/>
        </w:rPr>
        <w:t>and the Ukraine with 5.77%. Although the percentage of electricity from coal may be high from China and India, because the average value is taken across the three countries, it explains the lower value of 0.263 kg/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xml:space="preserve">.This is further supported by considering breakdown of GWP contribution by process. </w:t>
      </w:r>
    </w:p>
    <w:p w:rsidR="00A30BF4" w:rsidRPr="00785EBA" w:rsidRDefault="00EC2691" w:rsidP="000209CE">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For either Haque V</w:t>
      </w:r>
      <w:r w:rsidR="00A30BF4" w:rsidRPr="00785EBA">
        <w:rPr>
          <w:rFonts w:ascii="Times New Roman" w:eastAsia="Calibri" w:hAnsi="Times New Roman" w:cs="Times New Roman"/>
        </w:rPr>
        <w:t>ersion 2 or global Si-Mn models reveal electricity grid mix contributed 66.00%, followed by hard coal mix 0.30% and a negligible amount from diesel mix at refinery. Therefore, electricity would have contributed a significant amount of the GWP. Since Australia has</w:t>
      </w:r>
      <w:r w:rsidRPr="00785EBA">
        <w:rPr>
          <w:rFonts w:ascii="Times New Roman" w:eastAsia="Calibri" w:hAnsi="Times New Roman" w:cs="Times New Roman"/>
        </w:rPr>
        <w:t xml:space="preserve"> a</w:t>
      </w:r>
      <w:r w:rsidR="00A30BF4" w:rsidRPr="00785EBA">
        <w:rPr>
          <w:rFonts w:ascii="Times New Roman" w:eastAsia="Calibri" w:hAnsi="Times New Roman" w:cs="Times New Roman"/>
        </w:rPr>
        <w:t xml:space="preserve"> </w:t>
      </w:r>
      <w:r w:rsidRPr="00785EBA">
        <w:rPr>
          <w:rFonts w:ascii="Times New Roman" w:eastAsia="Calibri" w:hAnsi="Times New Roman" w:cs="Times New Roman"/>
        </w:rPr>
        <w:t>greater</w:t>
      </w:r>
      <w:r w:rsidR="00A30BF4" w:rsidRPr="00785EBA">
        <w:rPr>
          <w:rFonts w:ascii="Times New Roman" w:eastAsia="Calibri" w:hAnsi="Times New Roman" w:cs="Times New Roman"/>
        </w:rPr>
        <w:t xml:space="preserve"> corresponding value based on 1MJ (0.279 kg /CO</w:t>
      </w:r>
      <w:r w:rsidR="00A30BF4" w:rsidRPr="00785EBA">
        <w:rPr>
          <w:rFonts w:ascii="Times New Roman" w:eastAsia="Calibri" w:hAnsi="Times New Roman" w:cs="Times New Roman"/>
          <w:vertAlign w:val="subscript"/>
        </w:rPr>
        <w:t>2</w:t>
      </w:r>
      <w:r w:rsidRPr="00785EBA">
        <w:rPr>
          <w:rFonts w:ascii="Times New Roman" w:eastAsia="Calibri" w:hAnsi="Times New Roman" w:cs="Times New Roman"/>
        </w:rPr>
        <w:t>) it explains why Haque V</w:t>
      </w:r>
      <w:r w:rsidR="00A30BF4" w:rsidRPr="00785EBA">
        <w:rPr>
          <w:rFonts w:ascii="Times New Roman" w:eastAsia="Calibri" w:hAnsi="Times New Roman" w:cs="Times New Roman"/>
        </w:rPr>
        <w:t>ersion 2 is and should be higher.</w:t>
      </w:r>
    </w:p>
    <w:p w:rsidR="00A30BF4" w:rsidRPr="00785EBA" w:rsidRDefault="00EC2691" w:rsidP="000209CE">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In terms of </w:t>
      </w:r>
      <w:r w:rsidR="00A30BF4" w:rsidRPr="00785EBA">
        <w:rPr>
          <w:rFonts w:ascii="Times New Roman" w:eastAsia="Calibri" w:hAnsi="Times New Roman" w:cs="Times New Roman"/>
        </w:rPr>
        <w:t>Si-Mn (Eurometaux)</w:t>
      </w:r>
      <w:r w:rsidRPr="00785EBA">
        <w:rPr>
          <w:rFonts w:ascii="Times New Roman" w:eastAsia="Calibri" w:hAnsi="Times New Roman" w:cs="Times New Roman"/>
        </w:rPr>
        <w:t>, this</w:t>
      </w:r>
      <w:r w:rsidR="00A30BF4" w:rsidRPr="00785EBA">
        <w:rPr>
          <w:rFonts w:ascii="Times New Roman" w:eastAsia="Calibri" w:hAnsi="Times New Roman" w:cs="Times New Roman"/>
        </w:rPr>
        <w:t xml:space="preserve"> was modelled linearly and included key</w:t>
      </w:r>
      <w:r w:rsidR="009F2C82" w:rsidRPr="00785EBA">
        <w:rPr>
          <w:rFonts w:ascii="Times New Roman" w:eastAsia="Calibri" w:hAnsi="Times New Roman" w:cs="Times New Roman"/>
        </w:rPr>
        <w:t xml:space="preserve"> processes Mn ore and Fe-Mn. It</w:t>
      </w:r>
      <w:r w:rsidR="00A30BF4" w:rsidRPr="00785EBA">
        <w:rPr>
          <w:rFonts w:ascii="Times New Roman" w:eastAsia="Calibri" w:hAnsi="Times New Roman" w:cs="Times New Roman"/>
        </w:rPr>
        <w:t>s GWP valu</w:t>
      </w:r>
      <w:r w:rsidRPr="00785EBA">
        <w:rPr>
          <w:rFonts w:ascii="Times New Roman" w:eastAsia="Calibri" w:hAnsi="Times New Roman" w:cs="Times New Roman"/>
        </w:rPr>
        <w:t>e was lower than Si-Mn (Haque) V</w:t>
      </w:r>
      <w:r w:rsidR="00A30BF4" w:rsidRPr="00785EBA">
        <w:rPr>
          <w:rFonts w:ascii="Times New Roman" w:eastAsia="Calibri" w:hAnsi="Times New Roman" w:cs="Times New Roman"/>
        </w:rPr>
        <w:t>ersion 2 primarily because the latter process had more electricity usage (4.68</w:t>
      </w:r>
      <w:r w:rsidR="00686E18">
        <w:rPr>
          <w:rFonts w:ascii="Times New Roman" w:hAnsi="Times New Roman" w:cs="Times New Roman"/>
        </w:rPr>
        <w:t>×10</w:t>
      </w:r>
      <w:r w:rsidR="00686E18" w:rsidRPr="00717881">
        <w:rPr>
          <w:rFonts w:ascii="Times New Roman" w:hAnsi="Times New Roman" w:cs="Times New Roman"/>
          <w:vertAlign w:val="superscript"/>
        </w:rPr>
        <w:t>4</w:t>
      </w:r>
      <w:r w:rsidR="00686E18" w:rsidRPr="00785EBA">
        <w:rPr>
          <w:rFonts w:ascii="Times New Roman" w:hAnsi="Times New Roman" w:cs="Times New Roman"/>
        </w:rPr>
        <w:t xml:space="preserve"> </w:t>
      </w:r>
      <w:r w:rsidR="00A30BF4" w:rsidRPr="00785EBA">
        <w:rPr>
          <w:rFonts w:ascii="Times New Roman" w:eastAsia="Calibri" w:hAnsi="Times New Roman" w:cs="Times New Roman"/>
        </w:rPr>
        <w:t>kWh to 3.80</w:t>
      </w:r>
      <w:r w:rsidR="00686E18">
        <w:rPr>
          <w:rFonts w:ascii="Times New Roman" w:hAnsi="Times New Roman" w:cs="Times New Roman"/>
        </w:rPr>
        <w:t>×10</w:t>
      </w:r>
      <w:r w:rsidR="00686E18" w:rsidRPr="00717881">
        <w:rPr>
          <w:rFonts w:ascii="Times New Roman" w:hAnsi="Times New Roman" w:cs="Times New Roman"/>
          <w:vertAlign w:val="superscript"/>
        </w:rPr>
        <w:t>4</w:t>
      </w:r>
      <w:r w:rsidR="00A30BF4" w:rsidRPr="00785EBA">
        <w:rPr>
          <w:rFonts w:ascii="Times New Roman" w:eastAsia="Calibri" w:hAnsi="Times New Roman" w:cs="Times New Roman"/>
        </w:rPr>
        <w:t xml:space="preserve"> kWh) and carbon based inputs (650kg to 400kg).</w:t>
      </w:r>
    </w:p>
    <w:p w:rsidR="00A30BF4" w:rsidRPr="00785EBA" w:rsidRDefault="00EC2691" w:rsidP="000209CE">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With regards to t</w:t>
      </w:r>
      <w:r w:rsidR="00A30BF4" w:rsidRPr="00785EBA">
        <w:rPr>
          <w:rFonts w:ascii="Times New Roman" w:eastAsia="Calibri" w:hAnsi="Times New Roman" w:cs="Times New Roman"/>
        </w:rPr>
        <w:t>he GWP value from Tudor</w:t>
      </w:r>
      <w:r w:rsidRPr="00785EBA">
        <w:rPr>
          <w:rFonts w:ascii="Times New Roman" w:eastAsia="Calibri" w:hAnsi="Times New Roman" w:cs="Times New Roman"/>
        </w:rPr>
        <w:t>, this</w:t>
      </w:r>
      <w:r w:rsidR="00A30BF4" w:rsidRPr="00785EBA">
        <w:rPr>
          <w:rFonts w:ascii="Times New Roman" w:eastAsia="Calibri" w:hAnsi="Times New Roman" w:cs="Times New Roman"/>
        </w:rPr>
        <w:t xml:space="preserve"> was calculated based on the assumption that the process used to produce Si-Mn was similar to the processes utilised for Fe-Mn and Fe-Si production. The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 xml:space="preserve"> emission levels relating to these were: 7.85kg of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 xml:space="preserve"> for Fe-Mn (</w:t>
      </w:r>
      <w:r w:rsidR="004D2D91" w:rsidRPr="00785EBA">
        <w:rPr>
          <w:rFonts w:ascii="Times New Roman" w:eastAsia="Calibri" w:hAnsi="Times New Roman" w:cs="Times New Roman"/>
        </w:rPr>
        <w:t>GaBi</w:t>
      </w:r>
      <w:r w:rsidR="00A30BF4" w:rsidRPr="00785EBA">
        <w:rPr>
          <w:rFonts w:ascii="Times New Roman" w:eastAsia="Calibri" w:hAnsi="Times New Roman" w:cs="Times New Roman"/>
        </w:rPr>
        <w:t>) and 12.1kg of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 xml:space="preserve"> for Fe-Si (</w:t>
      </w:r>
      <w:r w:rsidR="004D2D91" w:rsidRPr="00785EBA">
        <w:rPr>
          <w:rFonts w:ascii="Times New Roman" w:eastAsia="Calibri" w:hAnsi="Times New Roman" w:cs="Times New Roman"/>
        </w:rPr>
        <w:t>GaBi</w:t>
      </w:r>
      <w:r w:rsidR="00A30BF4" w:rsidRPr="00785EBA">
        <w:rPr>
          <w:rFonts w:ascii="Times New Roman" w:eastAsia="Calibri" w:hAnsi="Times New Roman" w:cs="Times New Roman"/>
        </w:rPr>
        <w:t>). Tudor could not determine whether it was the high carbon or low carbon version of the Fe-Mn that was used, so took LC Fe-Mn value as the worst case scenario and calculated Si-Mn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 xml:space="preserve"> emissions as follows:</w:t>
      </w:r>
    </w:p>
    <w:p w:rsidR="00A30BF4" w:rsidRPr="00785EBA" w:rsidRDefault="00686E18" w:rsidP="00EE7761">
      <w:pPr>
        <w:numPr>
          <w:ilvl w:val="0"/>
          <w:numId w:val="7"/>
        </w:numPr>
        <w:spacing w:after="0" w:line="360" w:lineRule="auto"/>
        <w:ind w:left="779" w:firstLine="720"/>
        <w:jc w:val="both"/>
        <w:rPr>
          <w:rFonts w:ascii="Times New Roman" w:eastAsia="Calibri" w:hAnsi="Times New Roman" w:cs="Times New Roman"/>
        </w:rPr>
      </w:pPr>
      <w:r>
        <w:rPr>
          <w:rFonts w:ascii="Times New Roman" w:eastAsia="Calibri" w:hAnsi="Times New Roman" w:cs="Times New Roman"/>
        </w:rPr>
        <w:t>16% of Si in Si-Mn = 0.16 ×</w:t>
      </w:r>
      <w:r w:rsidR="00A30BF4" w:rsidRPr="00785EBA">
        <w:rPr>
          <w:rFonts w:ascii="Times New Roman" w:eastAsia="Calibri" w:hAnsi="Times New Roman" w:cs="Times New Roman"/>
        </w:rPr>
        <w:t xml:space="preserve"> 12.1kg = 1.936kg of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w:t>
      </w:r>
    </w:p>
    <w:p w:rsidR="00A30BF4" w:rsidRPr="00785EBA" w:rsidRDefault="00686E18" w:rsidP="00EE7761">
      <w:pPr>
        <w:numPr>
          <w:ilvl w:val="0"/>
          <w:numId w:val="7"/>
        </w:numPr>
        <w:spacing w:after="0" w:line="360" w:lineRule="auto"/>
        <w:ind w:left="777" w:firstLine="720"/>
        <w:jc w:val="both"/>
        <w:rPr>
          <w:rFonts w:ascii="Times New Roman" w:eastAsia="Calibri" w:hAnsi="Times New Roman" w:cs="Times New Roman"/>
        </w:rPr>
      </w:pPr>
      <w:r>
        <w:rPr>
          <w:rFonts w:ascii="Times New Roman" w:eastAsia="Calibri" w:hAnsi="Times New Roman" w:cs="Times New Roman"/>
        </w:rPr>
        <w:t>68% of Mn in Si-Mn = 0.68 ×</w:t>
      </w:r>
      <w:r w:rsidR="00A30BF4" w:rsidRPr="00785EBA">
        <w:rPr>
          <w:rFonts w:ascii="Times New Roman" w:eastAsia="Calibri" w:hAnsi="Times New Roman" w:cs="Times New Roman"/>
        </w:rPr>
        <w:t xml:space="preserve"> 7.85kg = 5.338kg of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w:t>
      </w:r>
    </w:p>
    <w:p w:rsidR="00A30BF4" w:rsidRPr="00785EBA" w:rsidRDefault="00A30BF4" w:rsidP="00EE7761">
      <w:pPr>
        <w:numPr>
          <w:ilvl w:val="0"/>
          <w:numId w:val="7"/>
        </w:numPr>
        <w:spacing w:after="0" w:line="360" w:lineRule="auto"/>
        <w:ind w:left="777" w:firstLine="720"/>
        <w:jc w:val="both"/>
        <w:rPr>
          <w:rFonts w:ascii="Times New Roman" w:eastAsia="Calibri" w:hAnsi="Times New Roman" w:cs="Times New Roman"/>
        </w:rPr>
      </w:pPr>
      <w:r w:rsidRPr="00785EBA">
        <w:rPr>
          <w:rFonts w:ascii="Times New Roman" w:eastAsia="Calibri" w:hAnsi="Times New Roman" w:cs="Times New Roman"/>
        </w:rPr>
        <w:t>Total = 7.274 kg of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xml:space="preserve"> for 84%, scaled up to 100% produces 8.659 kg of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w:t>
      </w:r>
    </w:p>
    <w:p w:rsidR="00EC2691" w:rsidRPr="00785EBA" w:rsidRDefault="00EC2691" w:rsidP="00EC2691">
      <w:pPr>
        <w:spacing w:after="0" w:line="360" w:lineRule="auto"/>
        <w:ind w:firstLine="720"/>
        <w:jc w:val="both"/>
        <w:rPr>
          <w:rFonts w:ascii="Times New Roman" w:eastAsia="Calibri" w:hAnsi="Times New Roman" w:cs="Times New Roman"/>
        </w:rPr>
      </w:pPr>
    </w:p>
    <w:p w:rsidR="00A30BF4" w:rsidRPr="00785EBA" w:rsidRDefault="00EC2691" w:rsidP="00EC2691">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Tudor’s value were</w:t>
      </w:r>
      <w:r w:rsidR="00A30BF4" w:rsidRPr="00785EBA">
        <w:rPr>
          <w:rFonts w:ascii="Times New Roman" w:eastAsia="Calibri" w:hAnsi="Times New Roman" w:cs="Times New Roman"/>
        </w:rPr>
        <w:t xml:space="preserve"> expected to be higher since</w:t>
      </w:r>
      <w:r w:rsidRPr="00785EBA">
        <w:rPr>
          <w:rFonts w:ascii="Times New Roman" w:eastAsia="Calibri" w:hAnsi="Times New Roman" w:cs="Times New Roman"/>
        </w:rPr>
        <w:t xml:space="preserve"> they were based on a </w:t>
      </w:r>
      <w:r w:rsidR="00A30BF4" w:rsidRPr="00785EBA">
        <w:rPr>
          <w:rFonts w:ascii="Times New Roman" w:eastAsia="Calibri" w:hAnsi="Times New Roman" w:cs="Times New Roman"/>
        </w:rPr>
        <w:t xml:space="preserve">worst case scenario with a number of calculated assumptions. </w:t>
      </w:r>
    </w:p>
    <w:p w:rsidR="00375E14" w:rsidRPr="00785EBA" w:rsidRDefault="00375E14" w:rsidP="00EC2691">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From all the Si-Mn models created, Global Si-Mn (see </w:t>
      </w:r>
      <w:r w:rsidR="00A6415F" w:rsidRPr="00785EBA">
        <w:fldChar w:fldCharType="begin"/>
      </w:r>
      <w:r w:rsidR="00A6415F" w:rsidRPr="00785EBA">
        <w:instrText xml:space="preserve"> REF _Ref474444020 \h  \* MERGEFORMAT </w:instrText>
      </w:r>
      <w:r w:rsidR="00A6415F" w:rsidRPr="00785EBA">
        <w:fldChar w:fldCharType="separate"/>
      </w:r>
      <w:r w:rsidR="009F5483" w:rsidRPr="00EB640D">
        <w:rPr>
          <w:rFonts w:ascii="Times New Roman" w:hAnsi="Times New Roman" w:cs="Times New Roman"/>
        </w:rPr>
        <w:t xml:space="preserve">Figure </w:t>
      </w:r>
      <w:r w:rsidR="009F5483">
        <w:rPr>
          <w:rFonts w:ascii="Times New Roman" w:hAnsi="Times New Roman" w:cs="Times New Roman"/>
          <w:noProof/>
        </w:rPr>
        <w:t>50</w:t>
      </w:r>
      <w:r w:rsidR="00A6415F" w:rsidRPr="00785EBA">
        <w:fldChar w:fldCharType="end"/>
      </w:r>
      <w:r w:rsidRPr="00785EBA">
        <w:rPr>
          <w:rFonts w:ascii="Times New Roman" w:eastAsia="Calibri" w:hAnsi="Times New Roman" w:cs="Times New Roman"/>
        </w:rPr>
        <w:t>) was selected to use in applications to grades of steel.</w:t>
      </w:r>
    </w:p>
    <w:p w:rsidR="00A30BF4" w:rsidRPr="00EB640D" w:rsidRDefault="00A30BF4" w:rsidP="00CF066D">
      <w:pPr>
        <w:spacing w:line="360" w:lineRule="auto"/>
        <w:ind w:firstLine="720"/>
        <w:jc w:val="center"/>
        <w:rPr>
          <w:rFonts w:ascii="Times New Roman" w:eastAsia="Calibri" w:hAnsi="Times New Roman" w:cs="Times New Roman"/>
          <w:color w:val="000000"/>
        </w:rPr>
      </w:pPr>
      <w:r w:rsidRPr="00EB640D">
        <w:rPr>
          <w:noProof/>
        </w:rPr>
        <w:lastRenderedPageBreak/>
        <w:drawing>
          <wp:inline distT="0" distB="0" distL="0" distR="0">
            <wp:extent cx="5544788" cy="324353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srcRect l="31633" t="27875" r="19260" b="21054"/>
                    <a:stretch/>
                  </pic:blipFill>
                  <pic:spPr bwMode="auto">
                    <a:xfrm>
                      <a:off x="0" y="0"/>
                      <a:ext cx="5572646" cy="3259828"/>
                    </a:xfrm>
                    <a:prstGeom prst="rect">
                      <a:avLst/>
                    </a:prstGeom>
                    <a:ln>
                      <a:noFill/>
                    </a:ln>
                    <a:extLst>
                      <a:ext uri="{53640926-AAD7-44D8-BBD7-CCE9431645EC}">
                        <a14:shadowObscured xmlns:a14="http://schemas.microsoft.com/office/drawing/2010/main"/>
                      </a:ext>
                    </a:extLst>
                  </pic:spPr>
                </pic:pic>
              </a:graphicData>
            </a:graphic>
          </wp:inline>
        </w:drawing>
      </w:r>
    </w:p>
    <w:p w:rsidR="00A30BF4" w:rsidRDefault="00A30BF4" w:rsidP="00A30BF4">
      <w:pPr>
        <w:rPr>
          <w:rFonts w:ascii="Times New Roman" w:eastAsia="Calibri" w:hAnsi="Times New Roman" w:cs="Times New Roman"/>
        </w:rPr>
      </w:pPr>
      <w:bookmarkStart w:id="196" w:name="_Ref474444020"/>
      <w:bookmarkStart w:id="197" w:name="_Toc495848383"/>
      <w:r w:rsidRPr="00EB640D">
        <w:rPr>
          <w:rFonts w:ascii="Times New Roman" w:hAnsi="Times New Roman" w:cs="Times New Roman"/>
        </w:rPr>
        <w:t xml:space="preserve">Figure </w:t>
      </w:r>
      <w:r w:rsidR="009A0ED7" w:rsidRPr="00EB640D">
        <w:rPr>
          <w:rFonts w:ascii="Times New Roman" w:hAnsi="Times New Roman" w:cs="Times New Roman"/>
        </w:rPr>
        <w:fldChar w:fldCharType="begin"/>
      </w:r>
      <w:r w:rsidRPr="00EB640D">
        <w:rPr>
          <w:rFonts w:ascii="Times New Roman" w:hAnsi="Times New Roman" w:cs="Times New Roman"/>
        </w:rPr>
        <w:instrText xml:space="preserve"> SEQ Figure \* ARABIC </w:instrText>
      </w:r>
      <w:r w:rsidR="009A0ED7" w:rsidRPr="00EB640D">
        <w:rPr>
          <w:rFonts w:ascii="Times New Roman" w:hAnsi="Times New Roman" w:cs="Times New Roman"/>
        </w:rPr>
        <w:fldChar w:fldCharType="separate"/>
      </w:r>
      <w:r w:rsidR="009F5483">
        <w:rPr>
          <w:rFonts w:ascii="Times New Roman" w:hAnsi="Times New Roman" w:cs="Times New Roman"/>
          <w:noProof/>
        </w:rPr>
        <w:t>50</w:t>
      </w:r>
      <w:r w:rsidR="009A0ED7" w:rsidRPr="00EB640D">
        <w:rPr>
          <w:rFonts w:ascii="Times New Roman" w:hAnsi="Times New Roman" w:cs="Times New Roman"/>
        </w:rPr>
        <w:fldChar w:fldCharType="end"/>
      </w:r>
      <w:bookmarkEnd w:id="196"/>
      <w:r w:rsidRPr="00EB640D">
        <w:rPr>
          <w:rFonts w:ascii="Times New Roman" w:hAnsi="Times New Roman" w:cs="Times New Roman"/>
        </w:rPr>
        <w:t xml:space="preserve">. </w:t>
      </w:r>
      <w:r w:rsidRPr="00EB640D">
        <w:rPr>
          <w:rFonts w:ascii="Times New Roman" w:eastAsia="Calibri" w:hAnsi="Times New Roman" w:cs="Times New Roman"/>
        </w:rPr>
        <w:t>Si-Mn production from Haque data.</w:t>
      </w:r>
      <w:bookmarkEnd w:id="197"/>
    </w:p>
    <w:p w:rsidR="00785EBA" w:rsidRDefault="00785EBA" w:rsidP="00A30BF4">
      <w:pPr>
        <w:rPr>
          <w:rFonts w:ascii="Times New Roman" w:eastAsia="Calibri" w:hAnsi="Times New Roman" w:cs="Times New Roman"/>
        </w:rPr>
      </w:pPr>
    </w:p>
    <w:p w:rsidR="00785EBA" w:rsidRDefault="00785EBA" w:rsidP="00A30BF4">
      <w:pPr>
        <w:rPr>
          <w:rFonts w:ascii="Times New Roman" w:eastAsia="Calibri" w:hAnsi="Times New Roman" w:cs="Times New Roman"/>
          <w:color w:val="000000"/>
        </w:rPr>
        <w:sectPr w:rsidR="00785EBA" w:rsidSect="00C24042">
          <w:pgSz w:w="11906" w:h="16838"/>
          <w:pgMar w:top="1440" w:right="1440" w:bottom="1440" w:left="1440" w:header="708" w:footer="708" w:gutter="0"/>
          <w:cols w:space="708"/>
          <w:docGrid w:linePitch="360"/>
        </w:sectPr>
      </w:pPr>
    </w:p>
    <w:p w:rsidR="0085701A" w:rsidRPr="00EB640D" w:rsidRDefault="000F272E" w:rsidP="0085701A">
      <w:pPr>
        <w:pStyle w:val="Heading2"/>
        <w:rPr>
          <w:rFonts w:eastAsia="Calibri Light"/>
        </w:rPr>
      </w:pPr>
      <w:r w:rsidRPr="00EB640D">
        <w:rPr>
          <w:rFonts w:eastAsia="Calibri Light"/>
        </w:rPr>
        <w:lastRenderedPageBreak/>
        <w:t>7</w:t>
      </w:r>
      <w:r w:rsidR="00A30BF4" w:rsidRPr="00EB640D">
        <w:rPr>
          <w:rFonts w:eastAsia="Calibri Light"/>
        </w:rPr>
        <w:t>.11. Summary</w:t>
      </w:r>
      <w:r w:rsidR="007876B3">
        <w:rPr>
          <w:rFonts w:eastAsia="Calibri Light"/>
        </w:rPr>
        <w:t xml:space="preserve"> </w:t>
      </w:r>
    </w:p>
    <w:p w:rsidR="00BF39E3" w:rsidRPr="00785EBA" w:rsidRDefault="001E2F53" w:rsidP="00BF39E3">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Constructing ferro-alloy models from various literature sources was demanding. </w:t>
      </w:r>
      <w:r w:rsidR="00233FD6" w:rsidRPr="00785EBA">
        <w:rPr>
          <w:rFonts w:ascii="Times New Roman" w:eastAsia="Calibri" w:hAnsi="Times New Roman" w:cs="Times New Roman"/>
        </w:rPr>
        <w:t xml:space="preserve">Although most ferro-alloys are produced via the EAF route, with some notable exception, data availability in literature concerning these ferro-alloys is low and varied. </w:t>
      </w:r>
      <w:r w:rsidR="00BF39E3" w:rsidRPr="00785EBA">
        <w:rPr>
          <w:rFonts w:ascii="Times New Roman" w:eastAsia="Calibri" w:hAnsi="Times New Roman" w:cs="Times New Roman"/>
        </w:rPr>
        <w:t>In conjunction with this, within these ferro-alloys several different versions and variations</w:t>
      </w:r>
      <w:r w:rsidR="00045605" w:rsidRPr="00785EBA">
        <w:rPr>
          <w:rFonts w:ascii="Times New Roman" w:eastAsia="Calibri" w:hAnsi="Times New Roman" w:cs="Times New Roman"/>
        </w:rPr>
        <w:t xml:space="preserve"> (i.e. HC,</w:t>
      </w:r>
      <w:r w:rsidR="00785EBA">
        <w:rPr>
          <w:rFonts w:ascii="Times New Roman" w:eastAsia="Calibri" w:hAnsi="Times New Roman" w:cs="Times New Roman"/>
        </w:rPr>
        <w:t xml:space="preserve"> </w:t>
      </w:r>
      <w:r w:rsidR="00045605" w:rsidRPr="00785EBA">
        <w:rPr>
          <w:rFonts w:ascii="Times New Roman" w:eastAsia="Calibri" w:hAnsi="Times New Roman" w:cs="Times New Roman"/>
        </w:rPr>
        <w:t>MC and LC)</w:t>
      </w:r>
      <w:r w:rsidR="00BF39E3" w:rsidRPr="00785EBA">
        <w:rPr>
          <w:rFonts w:ascii="Times New Roman" w:eastAsia="Calibri" w:hAnsi="Times New Roman" w:cs="Times New Roman"/>
        </w:rPr>
        <w:t xml:space="preserve"> exist.</w:t>
      </w:r>
    </w:p>
    <w:p w:rsidR="0004133A" w:rsidRPr="00785EBA" w:rsidRDefault="0004133A" w:rsidP="0004133A">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For t</w:t>
      </w:r>
      <w:r w:rsidR="00BF39E3" w:rsidRPr="00785EBA">
        <w:rPr>
          <w:rFonts w:ascii="Times New Roman" w:eastAsia="Calibri" w:hAnsi="Times New Roman" w:cs="Times New Roman"/>
        </w:rPr>
        <w:t>he ten ferro-alloys investigated here</w:t>
      </w:r>
      <w:r w:rsidR="00971EAE" w:rsidRPr="00785EBA">
        <w:rPr>
          <w:rFonts w:ascii="Times New Roman" w:eastAsia="Calibri" w:hAnsi="Times New Roman" w:cs="Times New Roman"/>
        </w:rPr>
        <w:t xml:space="preserve">, </w:t>
      </w:r>
      <w:r w:rsidRPr="00785EBA">
        <w:rPr>
          <w:rFonts w:ascii="Times New Roman" w:eastAsia="Calibri" w:hAnsi="Times New Roman" w:cs="Times New Roman"/>
        </w:rPr>
        <w:t xml:space="preserve">quantitative data to construct the models was primarily obtained from the </w:t>
      </w:r>
      <w:r w:rsidR="00971EAE" w:rsidRPr="00785EBA">
        <w:rPr>
          <w:rFonts w:ascii="Times New Roman" w:eastAsia="Calibri" w:hAnsi="Times New Roman" w:cs="Times New Roman"/>
        </w:rPr>
        <w:t xml:space="preserve">following six primary literature </w:t>
      </w:r>
      <w:r w:rsidRPr="00785EBA">
        <w:rPr>
          <w:rFonts w:ascii="Times New Roman" w:eastAsia="Calibri" w:hAnsi="Times New Roman" w:cs="Times New Roman"/>
        </w:rPr>
        <w:t xml:space="preserve">sources. </w:t>
      </w:r>
    </w:p>
    <w:p w:rsidR="00971EAE" w:rsidRPr="00785EBA" w:rsidRDefault="00971EAE" w:rsidP="00EE7761">
      <w:pPr>
        <w:numPr>
          <w:ilvl w:val="0"/>
          <w:numId w:val="8"/>
        </w:numPr>
        <w:spacing w:after="0" w:line="360" w:lineRule="auto"/>
        <w:ind w:left="720" w:hanging="360"/>
        <w:jc w:val="both"/>
        <w:rPr>
          <w:rFonts w:ascii="Times New Roman" w:eastAsia="Calibri" w:hAnsi="Times New Roman" w:cs="Times New Roman"/>
        </w:rPr>
      </w:pPr>
      <w:r w:rsidRPr="00785EBA">
        <w:rPr>
          <w:rFonts w:ascii="Times New Roman" w:eastAsia="Calibri" w:hAnsi="Times New Roman" w:cs="Times New Roman"/>
        </w:rPr>
        <w:t>Data source 1 - Gasik, M. (2013). ‘Handbook of Ferro-alloys Theory &amp; Technology’.</w:t>
      </w:r>
    </w:p>
    <w:p w:rsidR="00971EAE" w:rsidRPr="00785EBA" w:rsidRDefault="00971EAE" w:rsidP="00EE7761">
      <w:pPr>
        <w:numPr>
          <w:ilvl w:val="0"/>
          <w:numId w:val="8"/>
        </w:numPr>
        <w:spacing w:after="0" w:line="360" w:lineRule="auto"/>
        <w:ind w:left="720" w:hanging="360"/>
        <w:jc w:val="both"/>
        <w:rPr>
          <w:rFonts w:ascii="Times New Roman" w:eastAsia="Calibri" w:hAnsi="Times New Roman" w:cs="Times New Roman"/>
        </w:rPr>
      </w:pPr>
      <w:r w:rsidRPr="00785EBA">
        <w:rPr>
          <w:rFonts w:ascii="Times New Roman" w:eastAsia="Calibri" w:hAnsi="Times New Roman" w:cs="Times New Roman"/>
        </w:rPr>
        <w:t>Data source 2 - Haque. N &amp; Norgate T, 2013. ‘Estimation of greenhouse gas emissions from ferro-alloy production using life cycle assessment with particular reference to Australia’. Journal of Cleaner</w:t>
      </w:r>
      <w:r w:rsidR="00C67DC7" w:rsidRPr="00785EBA">
        <w:rPr>
          <w:rFonts w:ascii="Times New Roman" w:eastAsia="Calibri" w:hAnsi="Times New Roman" w:cs="Times New Roman"/>
        </w:rPr>
        <w:t xml:space="preserve"> Production 39 (2013) pgs. 220-</w:t>
      </w:r>
      <w:r w:rsidRPr="00785EBA">
        <w:rPr>
          <w:rFonts w:ascii="Times New Roman" w:eastAsia="Calibri" w:hAnsi="Times New Roman" w:cs="Times New Roman"/>
        </w:rPr>
        <w:t>230.</w:t>
      </w:r>
    </w:p>
    <w:p w:rsidR="00971EAE" w:rsidRPr="00785EBA" w:rsidRDefault="00971EAE" w:rsidP="00EE7761">
      <w:pPr>
        <w:numPr>
          <w:ilvl w:val="0"/>
          <w:numId w:val="8"/>
        </w:numPr>
        <w:spacing w:after="0" w:line="360" w:lineRule="auto"/>
        <w:ind w:left="720" w:hanging="360"/>
        <w:jc w:val="both"/>
        <w:rPr>
          <w:rFonts w:ascii="Times New Roman" w:eastAsia="Calibri" w:hAnsi="Times New Roman" w:cs="Times New Roman"/>
        </w:rPr>
      </w:pPr>
      <w:r w:rsidRPr="00785EBA">
        <w:rPr>
          <w:rFonts w:ascii="Times New Roman" w:eastAsia="Calibri" w:hAnsi="Times New Roman" w:cs="Times New Roman"/>
        </w:rPr>
        <w:t>Data source 3 - European Association of Metals (Eurometaux). Draft Report (2014). Chapter 8 - Ferro-alloy production.</w:t>
      </w:r>
    </w:p>
    <w:p w:rsidR="00971EAE" w:rsidRPr="00785EBA" w:rsidRDefault="00971EAE" w:rsidP="00EE7761">
      <w:pPr>
        <w:numPr>
          <w:ilvl w:val="0"/>
          <w:numId w:val="8"/>
        </w:numPr>
        <w:spacing w:after="0" w:line="360" w:lineRule="auto"/>
        <w:ind w:left="720" w:hanging="360"/>
        <w:jc w:val="both"/>
        <w:rPr>
          <w:rFonts w:ascii="Times New Roman" w:eastAsia="Calibri" w:hAnsi="Times New Roman" w:cs="Times New Roman"/>
        </w:rPr>
      </w:pPr>
      <w:r w:rsidRPr="00785EBA">
        <w:rPr>
          <w:rFonts w:ascii="Times New Roman" w:eastAsia="Calibri" w:hAnsi="Times New Roman" w:cs="Times New Roman"/>
        </w:rPr>
        <w:t>Data source 4 - Thinkstep. GaBi Software System and Databases for Life Cycle Engineering. Copyright, TM. Stuttgart, Echterdingen. 1992-2015.</w:t>
      </w:r>
    </w:p>
    <w:p w:rsidR="00971EAE" w:rsidRPr="00785EBA" w:rsidRDefault="00971EAE" w:rsidP="00EE7761">
      <w:pPr>
        <w:numPr>
          <w:ilvl w:val="0"/>
          <w:numId w:val="8"/>
        </w:numPr>
        <w:spacing w:after="0" w:line="360" w:lineRule="auto"/>
        <w:ind w:left="720" w:hanging="360"/>
        <w:jc w:val="both"/>
        <w:rPr>
          <w:rFonts w:ascii="Times New Roman" w:eastAsia="Calibri" w:hAnsi="Times New Roman" w:cs="Times New Roman"/>
        </w:rPr>
      </w:pPr>
      <w:r w:rsidRPr="00785EBA">
        <w:rPr>
          <w:rFonts w:ascii="Times New Roman" w:eastAsia="Calibri" w:hAnsi="Times New Roman" w:cs="Times New Roman"/>
        </w:rPr>
        <w:t xml:space="preserve">Data source 5 - P. Nuss &amp; Matthew J. </w:t>
      </w:r>
      <w:proofErr w:type="spellStart"/>
      <w:r w:rsidRPr="00785EBA">
        <w:rPr>
          <w:rFonts w:ascii="Times New Roman" w:eastAsia="Calibri" w:hAnsi="Times New Roman" w:cs="Times New Roman"/>
        </w:rPr>
        <w:t>Eckelman</w:t>
      </w:r>
      <w:proofErr w:type="spellEnd"/>
      <w:r w:rsidRPr="00785EBA">
        <w:rPr>
          <w:rFonts w:ascii="Times New Roman" w:eastAsia="Calibri" w:hAnsi="Times New Roman" w:cs="Times New Roman"/>
        </w:rPr>
        <w:t xml:space="preserve"> 2014. ‘LCA of Metals: A Scientific Synthesis’ Plos One. July 2014 | Volume 9 | Issue 7 | e101298.</w:t>
      </w:r>
    </w:p>
    <w:p w:rsidR="00971EAE" w:rsidRPr="00785EBA" w:rsidRDefault="00971EAE" w:rsidP="00EE7761">
      <w:pPr>
        <w:numPr>
          <w:ilvl w:val="0"/>
          <w:numId w:val="8"/>
        </w:numPr>
        <w:spacing w:after="0" w:line="360" w:lineRule="auto"/>
        <w:ind w:left="720" w:hanging="360"/>
        <w:jc w:val="both"/>
        <w:rPr>
          <w:rFonts w:ascii="Times New Roman" w:eastAsia="Calibri" w:hAnsi="Times New Roman" w:cs="Times New Roman"/>
        </w:rPr>
      </w:pPr>
      <w:r w:rsidRPr="00785EBA">
        <w:rPr>
          <w:rFonts w:ascii="Times New Roman" w:eastAsia="Calibri" w:hAnsi="Times New Roman" w:cs="Times New Roman"/>
        </w:rPr>
        <w:t>Data source 6 - International Molybdenum Association (IMOA), (2005). Personal communication.</w:t>
      </w:r>
    </w:p>
    <w:p w:rsidR="006668CF" w:rsidRPr="00785EBA" w:rsidRDefault="006668CF" w:rsidP="006668CF">
      <w:pPr>
        <w:spacing w:after="0" w:line="360" w:lineRule="auto"/>
        <w:ind w:left="720"/>
        <w:jc w:val="both"/>
        <w:rPr>
          <w:rFonts w:ascii="Times New Roman" w:eastAsia="Calibri" w:hAnsi="Times New Roman" w:cs="Times New Roman"/>
        </w:rPr>
      </w:pPr>
    </w:p>
    <w:p w:rsidR="006668CF" w:rsidRPr="00785EBA" w:rsidRDefault="006668CF" w:rsidP="006668CF">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This allowed a literature review of existing process, routes and other variations as well as creating the ferro-alloy models. Some general trends were observed across the ten ferro-alloys investigated.</w:t>
      </w:r>
    </w:p>
    <w:p w:rsidR="006668CF" w:rsidRPr="00785EBA" w:rsidRDefault="006668CF" w:rsidP="00EE7761">
      <w:pPr>
        <w:pStyle w:val="ListParagraph"/>
        <w:numPr>
          <w:ilvl w:val="0"/>
          <w:numId w:val="25"/>
        </w:numPr>
        <w:spacing w:after="0" w:line="360" w:lineRule="auto"/>
        <w:jc w:val="both"/>
        <w:rPr>
          <w:rFonts w:ascii="Times New Roman" w:eastAsia="Calibri" w:hAnsi="Times New Roman" w:cs="Times New Roman"/>
        </w:rPr>
      </w:pPr>
      <w:r w:rsidRPr="00785EBA">
        <w:rPr>
          <w:rFonts w:ascii="Times New Roman" w:eastAsia="Calibri" w:hAnsi="Times New Roman" w:cs="Times New Roman"/>
        </w:rPr>
        <w:t>Work previously conducted by Tudor, relied upon estimating the environmental impacts of ferro-alloys using assumptions based on identical production routes or worst case scenarios. In comparison with ferro-alloy models constructed with actual data, GWP values from Tudor</w:t>
      </w:r>
      <w:r w:rsidR="00894AF3" w:rsidRPr="00785EBA">
        <w:rPr>
          <w:rFonts w:ascii="Times New Roman" w:eastAsia="Calibri" w:hAnsi="Times New Roman" w:cs="Times New Roman"/>
        </w:rPr>
        <w:t>’</w:t>
      </w:r>
      <w:r w:rsidRPr="00785EBA">
        <w:rPr>
          <w:rFonts w:ascii="Times New Roman" w:eastAsia="Calibri" w:hAnsi="Times New Roman" w:cs="Times New Roman"/>
        </w:rPr>
        <w:t>s estimations proved to be significantly different.</w:t>
      </w:r>
    </w:p>
    <w:p w:rsidR="00A86A65" w:rsidRPr="00785EBA" w:rsidRDefault="00894AF3" w:rsidP="00EE7761">
      <w:pPr>
        <w:pStyle w:val="ListParagraph"/>
        <w:numPr>
          <w:ilvl w:val="0"/>
          <w:numId w:val="25"/>
        </w:numPr>
        <w:spacing w:after="0" w:line="360" w:lineRule="auto"/>
        <w:jc w:val="both"/>
        <w:rPr>
          <w:rFonts w:ascii="Times New Roman" w:eastAsia="Calibri" w:hAnsi="Times New Roman" w:cs="Times New Roman"/>
        </w:rPr>
      </w:pPr>
      <w:r w:rsidRPr="00785EBA">
        <w:rPr>
          <w:rFonts w:ascii="Times New Roman" w:eastAsia="Calibri" w:hAnsi="Times New Roman" w:cs="Times New Roman"/>
        </w:rPr>
        <w:t>Review of the literature, by modelling the ferro-alloys against multiple literature sources, revealed electri</w:t>
      </w:r>
      <w:r w:rsidR="00266321">
        <w:rPr>
          <w:rFonts w:ascii="Times New Roman" w:eastAsia="Calibri" w:hAnsi="Times New Roman" w:cs="Times New Roman"/>
        </w:rPr>
        <w:t>cal energy and carbon inputs are</w:t>
      </w:r>
      <w:r w:rsidRPr="00785EBA">
        <w:rPr>
          <w:rFonts w:ascii="Times New Roman" w:eastAsia="Calibri" w:hAnsi="Times New Roman" w:cs="Times New Roman"/>
        </w:rPr>
        <w:t xml:space="preserve"> the two primary contributors to variation within the ferro-alloy models as well as within the literature.</w:t>
      </w:r>
    </w:p>
    <w:p w:rsidR="006668CF" w:rsidRPr="00785EBA" w:rsidRDefault="00894AF3" w:rsidP="00EE7761">
      <w:pPr>
        <w:pStyle w:val="ListParagraph"/>
        <w:numPr>
          <w:ilvl w:val="0"/>
          <w:numId w:val="25"/>
        </w:numPr>
        <w:spacing w:after="0" w:line="360" w:lineRule="auto"/>
        <w:jc w:val="both"/>
        <w:rPr>
          <w:rFonts w:ascii="Times New Roman" w:hAnsi="Times New Roman" w:cs="Times New Roman"/>
        </w:rPr>
      </w:pPr>
      <w:r w:rsidRPr="00785EBA">
        <w:rPr>
          <w:rFonts w:ascii="Times New Roman" w:eastAsia="Calibri" w:hAnsi="Times New Roman" w:cs="Times New Roman"/>
        </w:rPr>
        <w:t>Results across all 10 ferro-alloys revealed Fe-Si to have the smallest variation between all models created from literature.</w:t>
      </w:r>
    </w:p>
    <w:p w:rsidR="00045605" w:rsidRPr="00785EBA" w:rsidRDefault="00894AF3" w:rsidP="00EE7761">
      <w:pPr>
        <w:pStyle w:val="ListParagraph"/>
        <w:numPr>
          <w:ilvl w:val="0"/>
          <w:numId w:val="25"/>
        </w:numPr>
        <w:spacing w:after="0" w:line="360" w:lineRule="auto"/>
        <w:jc w:val="both"/>
        <w:rPr>
          <w:rFonts w:ascii="Times New Roman" w:hAnsi="Times New Roman" w:cs="Times New Roman"/>
        </w:rPr>
      </w:pPr>
      <w:r w:rsidRPr="00785EBA">
        <w:rPr>
          <w:rFonts w:ascii="Times New Roman" w:hAnsi="Times New Roman" w:cs="Times New Roman"/>
        </w:rPr>
        <w:t>Fe-V was the only ferro-alloy where complete data could not be located in literature to create a model, produce a GWP value and compare this with the value from the process from GaBi</w:t>
      </w:r>
      <w:r w:rsidR="00045605" w:rsidRPr="00785EBA">
        <w:rPr>
          <w:rFonts w:ascii="Times New Roman" w:hAnsi="Times New Roman" w:cs="Times New Roman"/>
        </w:rPr>
        <w:t>.</w:t>
      </w:r>
    </w:p>
    <w:p w:rsidR="00266321" w:rsidRDefault="00045605" w:rsidP="00EE7761">
      <w:pPr>
        <w:pStyle w:val="ListParagraph"/>
        <w:numPr>
          <w:ilvl w:val="0"/>
          <w:numId w:val="25"/>
        </w:numPr>
        <w:spacing w:after="0" w:line="360" w:lineRule="auto"/>
        <w:ind w:left="1418" w:hanging="338"/>
        <w:jc w:val="both"/>
        <w:rPr>
          <w:rFonts w:ascii="Times New Roman" w:hAnsi="Times New Roman" w:cs="Times New Roman"/>
        </w:rPr>
      </w:pPr>
      <w:r w:rsidRPr="00785EBA">
        <w:rPr>
          <w:rFonts w:ascii="Times New Roman" w:hAnsi="Times New Roman" w:cs="Times New Roman"/>
        </w:rPr>
        <w:t xml:space="preserve">GWP values for GaBi in comparison with other literature sources were higher for (Fe-Cr, Fe-Mn and Fe-Mo) lower for (Fe-Ni) and approximately identical to Fe-Si. </w:t>
      </w:r>
    </w:p>
    <w:p w:rsidR="00D90F3C" w:rsidRPr="000906E1" w:rsidRDefault="00D90F3C" w:rsidP="00D90F3C">
      <w:pPr>
        <w:spacing w:after="0" w:line="360" w:lineRule="auto"/>
        <w:ind w:firstLine="720"/>
        <w:jc w:val="both"/>
        <w:rPr>
          <w:rFonts w:ascii="Times New Roman" w:hAnsi="Times New Roman" w:cs="Times New Roman"/>
        </w:rPr>
      </w:pPr>
      <w:r w:rsidRPr="000906E1">
        <w:rPr>
          <w:rFonts w:ascii="Times New Roman" w:hAnsi="Times New Roman" w:cs="Times New Roman"/>
        </w:rPr>
        <w:lastRenderedPageBreak/>
        <w:t xml:space="preserve">However the results should be taken into context as revealing differences rather than ‘trends’ between the different ferro-alloy models. To elaborate, a trend can be defined as a systematic variation of one parameter with another. In the case of the ferro-alloy models, although novel electricity grid mixes were created for 5 ferro-alloys (i.e. Fe-Cr, Fe-Mn, Fe-Ni, Fe-Si and Si-Mn) these were contributing factors to the variation of GWP values for models within the alloys. For example, </w:t>
      </w:r>
      <w:r w:rsidRPr="000906E1">
        <w:rPr>
          <w:rFonts w:ascii="Times New Roman" w:hAnsi="Times New Roman" w:cs="Times New Roman"/>
        </w:rPr>
        <w:fldChar w:fldCharType="begin"/>
      </w:r>
      <w:r w:rsidRPr="000906E1">
        <w:rPr>
          <w:rFonts w:ascii="Times New Roman" w:hAnsi="Times New Roman" w:cs="Times New Roman"/>
        </w:rPr>
        <w:instrText xml:space="preserve"> REF _Ref495834541 \h </w:instrText>
      </w:r>
      <w:r w:rsidRPr="000906E1">
        <w:rPr>
          <w:rFonts w:ascii="Times New Roman" w:hAnsi="Times New Roman" w:cs="Times New Roman"/>
        </w:rPr>
      </w:r>
      <w:r w:rsidRPr="000906E1">
        <w:rPr>
          <w:rFonts w:ascii="Times New Roman" w:hAnsi="Times New Roman" w:cs="Times New Roman"/>
        </w:rPr>
        <w:fldChar w:fldCharType="separate"/>
      </w:r>
      <w:r w:rsidR="009F5483" w:rsidRPr="000906E1">
        <w:rPr>
          <w:rFonts w:ascii="Times New Roman" w:hAnsi="Times New Roman" w:cs="Times New Roman"/>
        </w:rPr>
        <w:t xml:space="preserve">Table </w:t>
      </w:r>
      <w:r w:rsidR="009F5483" w:rsidRPr="000906E1">
        <w:rPr>
          <w:rFonts w:ascii="Times New Roman" w:hAnsi="Times New Roman" w:cs="Times New Roman"/>
          <w:noProof/>
        </w:rPr>
        <w:t>29</w:t>
      </w:r>
      <w:r w:rsidRPr="000906E1">
        <w:rPr>
          <w:rFonts w:ascii="Times New Roman" w:hAnsi="Times New Roman" w:cs="Times New Roman"/>
        </w:rPr>
        <w:fldChar w:fldCharType="end"/>
      </w:r>
      <w:r w:rsidRPr="000906E1">
        <w:rPr>
          <w:rFonts w:ascii="Times New Roman" w:hAnsi="Times New Roman" w:cs="Times New Roman"/>
        </w:rPr>
        <w:t>, illustrates the percentage error of similarly created models in comparison to the GWP values from the original models by Haque.</w:t>
      </w:r>
    </w:p>
    <w:p w:rsidR="00D90F3C" w:rsidRPr="000906E1" w:rsidRDefault="00D90F3C" w:rsidP="00D90F3C">
      <w:pPr>
        <w:spacing w:line="360" w:lineRule="auto"/>
        <w:jc w:val="both"/>
        <w:rPr>
          <w:rFonts w:ascii="Times New Roman" w:hAnsi="Times New Roman" w:cs="Times New Roman"/>
        </w:rPr>
      </w:pPr>
      <w:bookmarkStart w:id="198" w:name="_Ref495834541"/>
      <w:bookmarkStart w:id="199" w:name="_Toc495852707"/>
      <w:r w:rsidRPr="000906E1">
        <w:rPr>
          <w:rFonts w:ascii="Times New Roman" w:hAnsi="Times New Roman" w:cs="Times New Roman"/>
        </w:rPr>
        <w:t xml:space="preserve">Table </w:t>
      </w:r>
      <w:r w:rsidRPr="000906E1">
        <w:fldChar w:fldCharType="begin"/>
      </w:r>
      <w:r w:rsidRPr="000906E1">
        <w:rPr>
          <w:rFonts w:ascii="Times New Roman" w:hAnsi="Times New Roman" w:cs="Times New Roman"/>
        </w:rPr>
        <w:instrText xml:space="preserve"> SEQ Table \* ARABIC </w:instrText>
      </w:r>
      <w:r w:rsidRPr="000906E1">
        <w:fldChar w:fldCharType="separate"/>
      </w:r>
      <w:r w:rsidR="009F5483" w:rsidRPr="000906E1">
        <w:rPr>
          <w:rFonts w:ascii="Times New Roman" w:hAnsi="Times New Roman" w:cs="Times New Roman"/>
          <w:noProof/>
        </w:rPr>
        <w:t>29</w:t>
      </w:r>
      <w:r w:rsidRPr="000906E1">
        <w:fldChar w:fldCharType="end"/>
      </w:r>
      <w:bookmarkEnd w:id="198"/>
      <w:r w:rsidRPr="000906E1">
        <w:rPr>
          <w:rFonts w:ascii="Times New Roman" w:hAnsi="Times New Roman" w:cs="Times New Roman"/>
        </w:rPr>
        <w:t>. A comparison of percentage errors of models created against the original GWP value of 5 ferro-alloys of interest.</w:t>
      </w:r>
      <w:bookmarkEnd w:id="199"/>
    </w:p>
    <w:tbl>
      <w:tblPr>
        <w:tblW w:w="8560" w:type="dxa"/>
        <w:tblLook w:val="04A0" w:firstRow="1" w:lastRow="0" w:firstColumn="1" w:lastColumn="0" w:noHBand="0" w:noVBand="1"/>
      </w:tblPr>
      <w:tblGrid>
        <w:gridCol w:w="1300"/>
        <w:gridCol w:w="2460"/>
        <w:gridCol w:w="960"/>
        <w:gridCol w:w="960"/>
        <w:gridCol w:w="960"/>
        <w:gridCol w:w="960"/>
        <w:gridCol w:w="960"/>
      </w:tblGrid>
      <w:tr w:rsidR="00D90F3C" w:rsidTr="00D90F3C">
        <w:trPr>
          <w:trHeight w:val="300"/>
        </w:trPr>
        <w:tc>
          <w:tcPr>
            <w:tcW w:w="1300" w:type="dxa"/>
            <w:tcBorders>
              <w:top w:val="single" w:sz="4" w:space="0" w:color="auto"/>
              <w:left w:val="single" w:sz="4" w:space="0" w:color="auto"/>
              <w:bottom w:val="single" w:sz="4" w:space="0" w:color="auto"/>
              <w:right w:val="single" w:sz="4" w:space="0" w:color="auto"/>
            </w:tcBorders>
            <w:noWrap/>
            <w:vAlign w:val="bottom"/>
            <w:hideMark/>
          </w:tcPr>
          <w:p w:rsidR="00D90F3C" w:rsidRDefault="00D90F3C">
            <w:pPr>
              <w:rPr>
                <w:rFonts w:ascii="Times New Roman" w:hAnsi="Times New Roman" w:cs="Times New Roman"/>
                <w:color w:val="FF0000"/>
              </w:rPr>
            </w:pPr>
          </w:p>
        </w:tc>
        <w:tc>
          <w:tcPr>
            <w:tcW w:w="2460" w:type="dxa"/>
            <w:tcBorders>
              <w:top w:val="single" w:sz="4" w:space="0" w:color="auto"/>
              <w:left w:val="single" w:sz="4" w:space="0" w:color="auto"/>
              <w:bottom w:val="nil"/>
              <w:right w:val="nil"/>
            </w:tcBorders>
            <w:noWrap/>
            <w:vAlign w:val="bottom"/>
            <w:hideMark/>
          </w:tcPr>
          <w:p w:rsidR="00D90F3C" w:rsidRDefault="00D90F3C">
            <w:pPr>
              <w:rPr>
                <w:rFonts w:eastAsiaTheme="minorHAnsi"/>
                <w:sz w:val="20"/>
                <w:szCs w:val="20"/>
              </w:rPr>
            </w:pP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Fe-Cr</w:t>
            </w:r>
          </w:p>
        </w:tc>
        <w:tc>
          <w:tcPr>
            <w:tcW w:w="960" w:type="dxa"/>
            <w:tcBorders>
              <w:top w:val="single" w:sz="4" w:space="0" w:color="auto"/>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Fe-Mn</w:t>
            </w:r>
          </w:p>
        </w:tc>
        <w:tc>
          <w:tcPr>
            <w:tcW w:w="960" w:type="dxa"/>
            <w:tcBorders>
              <w:top w:val="single" w:sz="4" w:space="0" w:color="auto"/>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Fe-Ni</w:t>
            </w:r>
          </w:p>
        </w:tc>
        <w:tc>
          <w:tcPr>
            <w:tcW w:w="960" w:type="dxa"/>
            <w:tcBorders>
              <w:top w:val="single" w:sz="4" w:space="0" w:color="auto"/>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Fe-Si</w:t>
            </w:r>
          </w:p>
        </w:tc>
        <w:tc>
          <w:tcPr>
            <w:tcW w:w="960" w:type="dxa"/>
            <w:tcBorders>
              <w:top w:val="single" w:sz="4" w:space="0" w:color="auto"/>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Si-Mn</w:t>
            </w:r>
          </w:p>
        </w:tc>
      </w:tr>
      <w:tr w:rsidR="00D90F3C" w:rsidTr="00D90F3C">
        <w:trPr>
          <w:trHeight w:val="300"/>
        </w:trPr>
        <w:tc>
          <w:tcPr>
            <w:tcW w:w="1300" w:type="dxa"/>
            <w:tcBorders>
              <w:top w:val="single" w:sz="4" w:space="0" w:color="auto"/>
              <w:left w:val="single" w:sz="4" w:space="0" w:color="auto"/>
              <w:bottom w:val="nil"/>
              <w:right w:val="nil"/>
            </w:tcBorders>
            <w:noWrap/>
            <w:vAlign w:val="bottom"/>
            <w:hideMark/>
          </w:tcPr>
          <w:p w:rsidR="00D90F3C" w:rsidRDefault="00D90F3C">
            <w:pPr>
              <w:rPr>
                <w:rFonts w:ascii="Calibri" w:eastAsia="Times New Roman" w:hAnsi="Calibri" w:cs="Times New Roman"/>
                <w:color w:val="000000"/>
                <w:lang w:eastAsia="en-US"/>
              </w:rPr>
            </w:pPr>
          </w:p>
        </w:tc>
        <w:tc>
          <w:tcPr>
            <w:tcW w:w="2460" w:type="dxa"/>
            <w:tcBorders>
              <w:top w:val="single" w:sz="4" w:space="0" w:color="auto"/>
              <w:left w:val="single" w:sz="4" w:space="0" w:color="auto"/>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Original GWP Value</w:t>
            </w:r>
          </w:p>
        </w:tc>
        <w:tc>
          <w:tcPr>
            <w:tcW w:w="960" w:type="dxa"/>
            <w:tcBorders>
              <w:top w:val="nil"/>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7.22</w:t>
            </w:r>
          </w:p>
        </w:tc>
        <w:tc>
          <w:tcPr>
            <w:tcW w:w="960" w:type="dxa"/>
            <w:tcBorders>
              <w:top w:val="nil"/>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3.59</w:t>
            </w:r>
          </w:p>
        </w:tc>
        <w:tc>
          <w:tcPr>
            <w:tcW w:w="960" w:type="dxa"/>
            <w:tcBorders>
              <w:top w:val="nil"/>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24.10</w:t>
            </w:r>
          </w:p>
        </w:tc>
        <w:tc>
          <w:tcPr>
            <w:tcW w:w="960" w:type="dxa"/>
            <w:tcBorders>
              <w:top w:val="nil"/>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12.10</w:t>
            </w:r>
          </w:p>
        </w:tc>
        <w:tc>
          <w:tcPr>
            <w:tcW w:w="960" w:type="dxa"/>
            <w:tcBorders>
              <w:top w:val="nil"/>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6.09</w:t>
            </w:r>
          </w:p>
        </w:tc>
      </w:tr>
      <w:tr w:rsidR="00D90F3C" w:rsidTr="00D90F3C">
        <w:trPr>
          <w:trHeight w:val="345"/>
        </w:trPr>
        <w:tc>
          <w:tcPr>
            <w:tcW w:w="1300" w:type="dxa"/>
            <w:vMerge w:val="restart"/>
            <w:tcBorders>
              <w:top w:val="single" w:sz="4" w:space="0" w:color="auto"/>
              <w:left w:val="single" w:sz="4" w:space="0" w:color="auto"/>
              <w:bottom w:val="single" w:sz="4" w:space="0" w:color="auto"/>
              <w:right w:val="single" w:sz="4" w:space="0" w:color="auto"/>
            </w:tcBorders>
            <w:vAlign w:val="center"/>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Percentage Error (%)</w:t>
            </w:r>
          </w:p>
        </w:tc>
        <w:tc>
          <w:tcPr>
            <w:tcW w:w="2460" w:type="dxa"/>
            <w:tcBorders>
              <w:top w:val="nil"/>
              <w:left w:val="nil"/>
              <w:bottom w:val="single" w:sz="4" w:space="0" w:color="auto"/>
              <w:right w:val="single" w:sz="4" w:space="0" w:color="auto"/>
            </w:tcBorders>
            <w:vAlign w:val="center"/>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Haque Version 2 Model</w:t>
            </w:r>
          </w:p>
        </w:tc>
        <w:tc>
          <w:tcPr>
            <w:tcW w:w="960" w:type="dxa"/>
            <w:tcBorders>
              <w:top w:val="nil"/>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0.55</w:t>
            </w:r>
          </w:p>
        </w:tc>
        <w:tc>
          <w:tcPr>
            <w:tcW w:w="960" w:type="dxa"/>
            <w:tcBorders>
              <w:top w:val="nil"/>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55.71</w:t>
            </w:r>
          </w:p>
        </w:tc>
        <w:tc>
          <w:tcPr>
            <w:tcW w:w="960" w:type="dxa"/>
            <w:tcBorders>
              <w:top w:val="nil"/>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2.07</w:t>
            </w:r>
          </w:p>
        </w:tc>
        <w:tc>
          <w:tcPr>
            <w:tcW w:w="960" w:type="dxa"/>
            <w:tcBorders>
              <w:top w:val="nil"/>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2.73</w:t>
            </w:r>
          </w:p>
        </w:tc>
        <w:tc>
          <w:tcPr>
            <w:tcW w:w="960" w:type="dxa"/>
            <w:tcBorders>
              <w:top w:val="nil"/>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17.73</w:t>
            </w:r>
          </w:p>
        </w:tc>
      </w:tr>
      <w:tr w:rsidR="00D90F3C" w:rsidTr="00D90F3C">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D90F3C" w:rsidRDefault="00D90F3C">
            <w:pPr>
              <w:spacing w:after="0"/>
              <w:rPr>
                <w:rFonts w:ascii="Calibri" w:eastAsia="Times New Roman" w:hAnsi="Calibri" w:cs="Times New Roman"/>
                <w:color w:val="000000"/>
                <w:lang w:eastAsia="en-US"/>
              </w:rPr>
            </w:pPr>
          </w:p>
        </w:tc>
        <w:tc>
          <w:tcPr>
            <w:tcW w:w="2460" w:type="dxa"/>
            <w:tcBorders>
              <w:top w:val="nil"/>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Global Ferro-alloy Model</w:t>
            </w:r>
          </w:p>
        </w:tc>
        <w:tc>
          <w:tcPr>
            <w:tcW w:w="960" w:type="dxa"/>
            <w:tcBorders>
              <w:top w:val="nil"/>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5.26</w:t>
            </w:r>
          </w:p>
        </w:tc>
        <w:tc>
          <w:tcPr>
            <w:tcW w:w="960" w:type="dxa"/>
            <w:tcBorders>
              <w:top w:val="nil"/>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27.02</w:t>
            </w:r>
          </w:p>
        </w:tc>
        <w:tc>
          <w:tcPr>
            <w:tcW w:w="960" w:type="dxa"/>
            <w:tcBorders>
              <w:top w:val="nil"/>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7.67</w:t>
            </w:r>
          </w:p>
        </w:tc>
        <w:tc>
          <w:tcPr>
            <w:tcW w:w="960" w:type="dxa"/>
            <w:tcBorders>
              <w:top w:val="nil"/>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4.96</w:t>
            </w:r>
          </w:p>
        </w:tc>
        <w:tc>
          <w:tcPr>
            <w:tcW w:w="960" w:type="dxa"/>
            <w:tcBorders>
              <w:top w:val="nil"/>
              <w:left w:val="nil"/>
              <w:bottom w:val="single" w:sz="4" w:space="0" w:color="auto"/>
              <w:right w:val="single" w:sz="4" w:space="0" w:color="auto"/>
            </w:tcBorders>
            <w:noWrap/>
            <w:vAlign w:val="bottom"/>
            <w:hideMark/>
          </w:tcPr>
          <w:p w:rsidR="00D90F3C" w:rsidRDefault="00D90F3C">
            <w:pPr>
              <w:spacing w:after="0" w:line="240" w:lineRule="auto"/>
              <w:jc w:val="center"/>
              <w:rPr>
                <w:rFonts w:ascii="Calibri" w:eastAsia="Times New Roman" w:hAnsi="Calibri" w:cs="Times New Roman"/>
                <w:color w:val="000000"/>
                <w:lang w:eastAsia="en-US"/>
              </w:rPr>
            </w:pPr>
            <w:r>
              <w:rPr>
                <w:rFonts w:ascii="Calibri" w:eastAsia="Times New Roman" w:hAnsi="Calibri" w:cs="Times New Roman"/>
                <w:color w:val="000000"/>
                <w:lang w:eastAsia="en-US"/>
              </w:rPr>
              <w:t>17.73</w:t>
            </w:r>
          </w:p>
        </w:tc>
      </w:tr>
    </w:tbl>
    <w:p w:rsidR="00D90F3C" w:rsidRDefault="00D90F3C" w:rsidP="00D90F3C">
      <w:pPr>
        <w:spacing w:after="0" w:line="360" w:lineRule="auto"/>
        <w:ind w:firstLine="720"/>
        <w:jc w:val="both"/>
        <w:rPr>
          <w:rFonts w:ascii="Times New Roman" w:hAnsi="Times New Roman" w:cs="Times New Roman"/>
          <w:color w:val="FF0000"/>
        </w:rPr>
      </w:pPr>
    </w:p>
    <w:p w:rsidR="00D90F3C" w:rsidRPr="000906E1" w:rsidRDefault="00D90F3C" w:rsidP="00D90F3C">
      <w:pPr>
        <w:spacing w:after="0" w:line="360" w:lineRule="auto"/>
        <w:ind w:firstLine="720"/>
        <w:jc w:val="both"/>
        <w:rPr>
          <w:rFonts w:ascii="Times New Roman" w:hAnsi="Times New Roman" w:cs="Times New Roman"/>
        </w:rPr>
      </w:pPr>
      <w:r w:rsidRPr="000906E1">
        <w:rPr>
          <w:rFonts w:ascii="Times New Roman" w:hAnsi="Times New Roman" w:cs="Times New Roman"/>
        </w:rPr>
        <w:fldChar w:fldCharType="begin"/>
      </w:r>
      <w:r w:rsidRPr="000906E1">
        <w:rPr>
          <w:rFonts w:ascii="Times New Roman" w:hAnsi="Times New Roman" w:cs="Times New Roman"/>
        </w:rPr>
        <w:instrText xml:space="preserve"> REF _Ref495834541 \h </w:instrText>
      </w:r>
      <w:r w:rsidRPr="000906E1">
        <w:rPr>
          <w:rFonts w:ascii="Times New Roman" w:hAnsi="Times New Roman" w:cs="Times New Roman"/>
        </w:rPr>
      </w:r>
      <w:r w:rsidRPr="000906E1">
        <w:rPr>
          <w:rFonts w:ascii="Times New Roman" w:hAnsi="Times New Roman" w:cs="Times New Roman"/>
        </w:rPr>
        <w:fldChar w:fldCharType="separate"/>
      </w:r>
      <w:r w:rsidR="009F5483" w:rsidRPr="000906E1">
        <w:rPr>
          <w:rFonts w:ascii="Times New Roman" w:hAnsi="Times New Roman" w:cs="Times New Roman"/>
        </w:rPr>
        <w:t xml:space="preserve">Table </w:t>
      </w:r>
      <w:r w:rsidR="009F5483" w:rsidRPr="000906E1">
        <w:rPr>
          <w:rFonts w:ascii="Times New Roman" w:hAnsi="Times New Roman" w:cs="Times New Roman"/>
          <w:noProof/>
        </w:rPr>
        <w:t>29</w:t>
      </w:r>
      <w:r w:rsidRPr="000906E1">
        <w:rPr>
          <w:rFonts w:ascii="Times New Roman" w:hAnsi="Times New Roman" w:cs="Times New Roman"/>
        </w:rPr>
        <w:fldChar w:fldCharType="end"/>
      </w:r>
      <w:r w:rsidRPr="000906E1">
        <w:rPr>
          <w:rFonts w:ascii="Times New Roman" w:hAnsi="Times New Roman" w:cs="Times New Roman"/>
        </w:rPr>
        <w:t xml:space="preserve"> clearly shows a higher percentage error for global ferro-alloy models in comparison to Haque version 2 for three out of the five ferro-alloys. The only exceptions being Fe-Mn which has a greater percentage error for Haque version 2, which has been previously explained, and Si-Mn which has identical values irrespective of the model. In terms of explaining why there is a larger percentage error from the global models, this is because of 2 potential errors in creating the average electricity models. Firstly the percentage make-up of country is different for each ferro-alloy and within the ferro-alloys there are differences in countries utilised. For example for Fe-Cr, in the global model, China is used as the primary country whereas in the Gabi models, South Africa is used. Secondly the type of process utilised for each individual fuel source would have also contributed to a difference. For example for Fe-Ni fuel processes from New Caledonia were not available and so other countries such as Australia were utilised in worse case scenarios, thus accounting for some of the 7.67% difference calculated in the table above. It is useful to make an assessment of what the errors are, but it is important to remember that these errors are not the sole cause but a contributing factor and do require further research not explored here.</w:t>
      </w:r>
    </w:p>
    <w:p w:rsidR="00D90F3C" w:rsidRPr="000906E1" w:rsidRDefault="00D90F3C" w:rsidP="00D90F3C">
      <w:pPr>
        <w:spacing w:after="0" w:line="360" w:lineRule="auto"/>
        <w:ind w:firstLine="720"/>
        <w:jc w:val="both"/>
        <w:rPr>
          <w:rFonts w:ascii="Times New Roman" w:hAnsi="Times New Roman" w:cs="Times New Roman"/>
        </w:rPr>
      </w:pPr>
      <w:r w:rsidRPr="000906E1">
        <w:rPr>
          <w:rFonts w:ascii="Times New Roman" w:hAnsi="Times New Roman" w:cs="Times New Roman"/>
        </w:rPr>
        <w:t xml:space="preserve">The objective of this research was to identify literature and data related to ferro-alloys and create models based on this. Although there is a tendency that a ‘trend’’ can be seen in the data this is not the case. For instance </w:t>
      </w:r>
      <w:r w:rsidRPr="000906E1">
        <w:rPr>
          <w:rFonts w:ascii="Times New Roman" w:hAnsi="Times New Roman" w:cs="Times New Roman"/>
        </w:rPr>
        <w:fldChar w:fldCharType="begin"/>
      </w:r>
      <w:r w:rsidRPr="000906E1">
        <w:rPr>
          <w:rFonts w:ascii="Times New Roman" w:hAnsi="Times New Roman" w:cs="Times New Roman"/>
        </w:rPr>
        <w:instrText xml:space="preserve"> REF _Ref468307402 \h </w:instrText>
      </w:r>
      <w:r w:rsidRPr="000906E1">
        <w:rPr>
          <w:rFonts w:ascii="Times New Roman" w:hAnsi="Times New Roman" w:cs="Times New Roman"/>
        </w:rPr>
      </w:r>
      <w:r w:rsidRPr="000906E1">
        <w:rPr>
          <w:rFonts w:ascii="Times New Roman" w:hAnsi="Times New Roman" w:cs="Times New Roman"/>
        </w:rPr>
        <w:fldChar w:fldCharType="separate"/>
      </w:r>
      <w:r w:rsidR="009F5483" w:rsidRPr="000906E1">
        <w:rPr>
          <w:rFonts w:ascii="Times New Roman" w:hAnsi="Times New Roman" w:cs="Times New Roman"/>
        </w:rPr>
        <w:t xml:space="preserve">Figure </w:t>
      </w:r>
      <w:r w:rsidR="009F5483" w:rsidRPr="000906E1">
        <w:rPr>
          <w:rFonts w:ascii="Times New Roman" w:hAnsi="Times New Roman" w:cs="Times New Roman"/>
          <w:noProof/>
        </w:rPr>
        <w:t>39</w:t>
      </w:r>
      <w:r w:rsidRPr="000906E1">
        <w:rPr>
          <w:rFonts w:ascii="Times New Roman" w:hAnsi="Times New Roman" w:cs="Times New Roman"/>
        </w:rPr>
        <w:fldChar w:fldCharType="end"/>
      </w:r>
      <w:r w:rsidRPr="000906E1">
        <w:rPr>
          <w:rFonts w:ascii="Times New Roman" w:hAnsi="Times New Roman" w:cs="Times New Roman"/>
        </w:rPr>
        <w:t>, depicts GWP values for all Fe-Ni data sources. Now the results show quite a close trend between all the results apart from model from Gabi which has a significantly lower GWP value than the rest. Currently it would be difficult to establish a clear trend due to the variations in: percentage of nickel in ore, amount of carbon, amount of electricity, source of ore and source and type of electricity. Now although not investigated here, this research has identified these variables as potential indicators or contributors where trends could be identified but this would require further modelling and could be conducted as future work in progressing this research.</w:t>
      </w:r>
    </w:p>
    <w:p w:rsidR="00A66C4D" w:rsidRPr="00D90F3C" w:rsidRDefault="00045605" w:rsidP="00D90F3C">
      <w:pPr>
        <w:spacing w:after="0" w:line="360" w:lineRule="auto"/>
        <w:ind w:firstLine="720"/>
        <w:jc w:val="both"/>
        <w:rPr>
          <w:rFonts w:ascii="Times New Roman" w:hAnsi="Times New Roman" w:cs="Times New Roman"/>
          <w:color w:val="FF0000"/>
        </w:rPr>
      </w:pPr>
      <w:r w:rsidRPr="00785EBA">
        <w:rPr>
          <w:rFonts w:ascii="Times New Roman" w:eastAsia="Calibri" w:hAnsi="Times New Roman" w:cs="Times New Roman"/>
        </w:rPr>
        <w:lastRenderedPageBreak/>
        <w:t>Based on all the results, one model per ferro-alloy was selected to be utilised to investigate the impact of alloying</w:t>
      </w:r>
      <w:r w:rsidR="00266321">
        <w:rPr>
          <w:rFonts w:ascii="Times New Roman" w:eastAsia="Calibri" w:hAnsi="Times New Roman" w:cs="Times New Roman"/>
        </w:rPr>
        <w:t xml:space="preserve"> additions in grades of steel, </w:t>
      </w:r>
      <w:r w:rsidRPr="00785EBA">
        <w:rPr>
          <w:rFonts w:ascii="Times New Roman" w:eastAsia="Calibri" w:hAnsi="Times New Roman" w:cs="Times New Roman"/>
        </w:rPr>
        <w:t xml:space="preserve">as displayed by </w:t>
      </w:r>
      <w:r w:rsidR="00A6415F" w:rsidRPr="00785EBA">
        <w:fldChar w:fldCharType="begin"/>
      </w:r>
      <w:r w:rsidR="00A6415F" w:rsidRPr="00785EBA">
        <w:instrText xml:space="preserve"> REF _Ref474477677 \h  \* MERGEFORMAT </w:instrText>
      </w:r>
      <w:r w:rsidR="00A6415F" w:rsidRPr="00785EBA">
        <w:fldChar w:fldCharType="separate"/>
      </w:r>
      <w:r w:rsidR="009F5483" w:rsidRPr="00785EBA">
        <w:rPr>
          <w:rFonts w:ascii="Times New Roman" w:hAnsi="Times New Roman" w:cs="Times New Roman"/>
        </w:rPr>
        <w:t xml:space="preserve">Table </w:t>
      </w:r>
      <w:r w:rsidR="009F5483">
        <w:rPr>
          <w:rFonts w:ascii="Times New Roman" w:hAnsi="Times New Roman" w:cs="Times New Roman"/>
          <w:noProof/>
        </w:rPr>
        <w:t>30</w:t>
      </w:r>
      <w:r w:rsidR="00A6415F" w:rsidRPr="00785EBA">
        <w:fldChar w:fldCharType="end"/>
      </w:r>
      <w:r w:rsidRPr="00785EBA">
        <w:rPr>
          <w:rFonts w:ascii="Times New Roman" w:eastAsia="Calibri" w:hAnsi="Times New Roman" w:cs="Times New Roman"/>
        </w:rPr>
        <w:t>. The notable exception being Fe-V which was not utilised as it was not present as an alloying addition in the grades of steel work to follow.</w:t>
      </w:r>
    </w:p>
    <w:p w:rsidR="00A30BF4" w:rsidRPr="00785EBA" w:rsidRDefault="00A30BF4" w:rsidP="00A30BF4">
      <w:pPr>
        <w:rPr>
          <w:rFonts w:ascii="Times New Roman" w:eastAsia="Calibri" w:hAnsi="Times New Roman" w:cs="Times New Roman"/>
        </w:rPr>
      </w:pPr>
      <w:bookmarkStart w:id="200" w:name="_Ref474477677"/>
      <w:bookmarkStart w:id="201" w:name="_Toc474486537"/>
      <w:bookmarkStart w:id="202" w:name="_Toc495852708"/>
      <w:r w:rsidRPr="00785EBA">
        <w:rPr>
          <w:rFonts w:ascii="Times New Roman" w:hAnsi="Times New Roman" w:cs="Times New Roman"/>
        </w:rPr>
        <w:t xml:space="preserve">Table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Table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30</w:t>
      </w:r>
      <w:r w:rsidR="009A0ED7" w:rsidRPr="00785EBA">
        <w:rPr>
          <w:rFonts w:ascii="Times New Roman" w:hAnsi="Times New Roman" w:cs="Times New Roman"/>
        </w:rPr>
        <w:fldChar w:fldCharType="end"/>
      </w:r>
      <w:bookmarkEnd w:id="200"/>
      <w:r w:rsidRPr="00785EBA">
        <w:rPr>
          <w:rFonts w:ascii="Times New Roman" w:hAnsi="Times New Roman" w:cs="Times New Roman"/>
        </w:rPr>
        <w:t xml:space="preserve">. </w:t>
      </w:r>
      <w:r w:rsidR="00DF7B62" w:rsidRPr="00785EBA">
        <w:rPr>
          <w:rFonts w:ascii="Times New Roman" w:hAnsi="Times New Roman" w:cs="Times New Roman"/>
        </w:rPr>
        <w:t>Final processes selected from each individual ferro-alloy.</w:t>
      </w:r>
      <w:bookmarkEnd w:id="201"/>
      <w:bookmarkEnd w:id="202"/>
      <w:r w:rsidR="00732ACA" w:rsidRPr="00785EBA">
        <w:rPr>
          <w:rFonts w:ascii="Times New Roman" w:eastAsia="Calibri" w:hAnsi="Times New Roman" w:cs="Times New Roman"/>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006"/>
        <w:gridCol w:w="2551"/>
        <w:gridCol w:w="3351"/>
      </w:tblGrid>
      <w:tr w:rsidR="000F39EA" w:rsidRPr="00785EBA" w:rsidTr="007876B3">
        <w:tc>
          <w:tcPr>
            <w:tcW w:w="3006" w:type="dxa"/>
            <w:shd w:val="clear" w:color="auto" w:fill="auto"/>
            <w:tcMar>
              <w:left w:w="108" w:type="dxa"/>
              <w:right w:w="108" w:type="dxa"/>
            </w:tcMar>
            <w:vAlign w:val="center"/>
          </w:tcPr>
          <w:p w:rsidR="00A30BF4" w:rsidRPr="00785EBA" w:rsidRDefault="007876B3" w:rsidP="007876B3">
            <w:pPr>
              <w:spacing w:after="0" w:line="360" w:lineRule="auto"/>
              <w:jc w:val="center"/>
              <w:rPr>
                <w:rFonts w:ascii="Times New Roman" w:eastAsia="Calibri" w:hAnsi="Times New Roman" w:cs="Times New Roman"/>
              </w:rPr>
            </w:pPr>
            <w:r w:rsidRPr="00785EBA">
              <w:rPr>
                <w:rFonts w:ascii="Times New Roman" w:eastAsia="Calibri" w:hAnsi="Times New Roman" w:cs="Times New Roman"/>
                <w:b/>
              </w:rPr>
              <w:t>Alloying Addition</w:t>
            </w:r>
          </w:p>
        </w:tc>
        <w:tc>
          <w:tcPr>
            <w:tcW w:w="2551" w:type="dxa"/>
            <w:shd w:val="clear" w:color="auto" w:fill="auto"/>
            <w:tcMar>
              <w:left w:w="108" w:type="dxa"/>
              <w:right w:w="108" w:type="dxa"/>
            </w:tcMar>
            <w:vAlign w:val="center"/>
          </w:tcPr>
          <w:p w:rsidR="00A30BF4" w:rsidRPr="00785EBA" w:rsidRDefault="007876B3" w:rsidP="007876B3">
            <w:pPr>
              <w:spacing w:after="0" w:line="360" w:lineRule="auto"/>
              <w:jc w:val="center"/>
              <w:rPr>
                <w:rFonts w:ascii="Times New Roman" w:eastAsia="Calibri" w:hAnsi="Times New Roman" w:cs="Times New Roman"/>
              </w:rPr>
            </w:pPr>
            <w:r w:rsidRPr="00785EBA">
              <w:rPr>
                <w:rFonts w:ascii="Times New Roman" w:eastAsia="Calibri" w:hAnsi="Times New Roman" w:cs="Times New Roman"/>
                <w:b/>
              </w:rPr>
              <w:t>Selected Process</w:t>
            </w:r>
          </w:p>
        </w:tc>
        <w:tc>
          <w:tcPr>
            <w:tcW w:w="3351" w:type="dxa"/>
            <w:shd w:val="clear" w:color="auto" w:fill="auto"/>
            <w:tcMar>
              <w:left w:w="108" w:type="dxa"/>
              <w:right w:w="108" w:type="dxa"/>
            </w:tcMar>
            <w:vAlign w:val="center"/>
          </w:tcPr>
          <w:p w:rsidR="007876B3" w:rsidRPr="00785EBA" w:rsidRDefault="00A30BF4" w:rsidP="007876B3">
            <w:pPr>
              <w:spacing w:after="0" w:line="360" w:lineRule="auto"/>
              <w:jc w:val="center"/>
              <w:rPr>
                <w:rFonts w:ascii="Times New Roman" w:eastAsia="Calibri" w:hAnsi="Times New Roman" w:cs="Times New Roman"/>
                <w:b/>
              </w:rPr>
            </w:pPr>
            <w:r w:rsidRPr="00785EBA">
              <w:rPr>
                <w:rFonts w:ascii="Times New Roman" w:eastAsia="Calibri" w:hAnsi="Times New Roman" w:cs="Times New Roman"/>
                <w:b/>
              </w:rPr>
              <w:t xml:space="preserve">CML2001 - Apr. 2013, Global Warming Potential </w:t>
            </w:r>
          </w:p>
          <w:p w:rsidR="00A30BF4" w:rsidRPr="00785EBA" w:rsidRDefault="007876B3" w:rsidP="007876B3">
            <w:pPr>
              <w:spacing w:after="0" w:line="360" w:lineRule="auto"/>
              <w:jc w:val="center"/>
              <w:rPr>
                <w:rFonts w:ascii="Times New Roman" w:eastAsia="Calibri" w:hAnsi="Times New Roman" w:cs="Times New Roman"/>
              </w:rPr>
            </w:pPr>
            <w:r w:rsidRPr="00785EBA">
              <w:rPr>
                <w:rFonts w:ascii="Times New Roman" w:eastAsia="Calibri" w:hAnsi="Times New Roman" w:cs="Times New Roman"/>
                <w:b/>
              </w:rPr>
              <w:t>(GWP 100 years) kg CO</w:t>
            </w:r>
            <w:r w:rsidRPr="00785EBA">
              <w:rPr>
                <w:rFonts w:ascii="Times New Roman" w:eastAsia="Calibri" w:hAnsi="Times New Roman" w:cs="Times New Roman"/>
                <w:b/>
                <w:vertAlign w:val="subscript"/>
              </w:rPr>
              <w:t>2</w:t>
            </w:r>
            <w:r w:rsidRPr="00785EBA">
              <w:rPr>
                <w:rFonts w:ascii="Times New Roman" w:eastAsia="Calibri" w:hAnsi="Times New Roman" w:cs="Times New Roman"/>
                <w:b/>
              </w:rPr>
              <w:t>-Equiv.</w:t>
            </w:r>
          </w:p>
        </w:tc>
      </w:tr>
      <w:tr w:rsidR="000F39EA" w:rsidRPr="00785EBA" w:rsidTr="00DF7B62">
        <w:tc>
          <w:tcPr>
            <w:tcW w:w="3006"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Ferro-Boron</w:t>
            </w:r>
          </w:p>
        </w:tc>
        <w:tc>
          <w:tcPr>
            <w:tcW w:w="25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Fe-B (Borates)</w:t>
            </w:r>
          </w:p>
        </w:tc>
        <w:tc>
          <w:tcPr>
            <w:tcW w:w="33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19.87</w:t>
            </w:r>
          </w:p>
        </w:tc>
      </w:tr>
      <w:tr w:rsidR="000F39EA" w:rsidRPr="00785EBA" w:rsidTr="00DF7B62">
        <w:tc>
          <w:tcPr>
            <w:tcW w:w="3006" w:type="dxa"/>
            <w:shd w:val="clear" w:color="000000" w:fill="FFFFFF"/>
            <w:tcMar>
              <w:left w:w="108" w:type="dxa"/>
              <w:right w:w="108" w:type="dxa"/>
            </w:tcMar>
            <w:vAlign w:val="bottom"/>
          </w:tcPr>
          <w:p w:rsidR="00A30BF4" w:rsidRPr="00785EBA" w:rsidRDefault="00A66C4D"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High Carbon Ferro-</w:t>
            </w:r>
            <w:r w:rsidR="00A30BF4" w:rsidRPr="00785EBA">
              <w:rPr>
                <w:rFonts w:ascii="Times New Roman" w:eastAsia="Calibri" w:hAnsi="Times New Roman" w:cs="Times New Roman"/>
              </w:rPr>
              <w:t>Chromium</w:t>
            </w:r>
          </w:p>
        </w:tc>
        <w:tc>
          <w:tcPr>
            <w:tcW w:w="25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Global Fe-Cr Model</w:t>
            </w:r>
          </w:p>
        </w:tc>
        <w:tc>
          <w:tcPr>
            <w:tcW w:w="33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7.60</w:t>
            </w:r>
          </w:p>
        </w:tc>
      </w:tr>
      <w:tr w:rsidR="000F39EA" w:rsidRPr="00785EBA" w:rsidTr="00DF7B62">
        <w:tc>
          <w:tcPr>
            <w:tcW w:w="3006" w:type="dxa"/>
            <w:shd w:val="clear" w:color="000000" w:fill="FFFFFF"/>
            <w:tcMar>
              <w:left w:w="108" w:type="dxa"/>
              <w:right w:w="108" w:type="dxa"/>
            </w:tcMar>
            <w:vAlign w:val="bottom"/>
          </w:tcPr>
          <w:p w:rsidR="00A30BF4" w:rsidRPr="00785EBA" w:rsidRDefault="00A66C4D"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Low Carbon Ferro-</w:t>
            </w:r>
            <w:r w:rsidR="00A30BF4" w:rsidRPr="00785EBA">
              <w:rPr>
                <w:rFonts w:ascii="Times New Roman" w:eastAsia="Calibri" w:hAnsi="Times New Roman" w:cs="Times New Roman"/>
              </w:rPr>
              <w:t>Chromium</w:t>
            </w:r>
          </w:p>
        </w:tc>
        <w:tc>
          <w:tcPr>
            <w:tcW w:w="2551" w:type="dxa"/>
            <w:shd w:val="clear" w:color="000000" w:fill="FFFFFF"/>
            <w:tcMar>
              <w:left w:w="108" w:type="dxa"/>
              <w:right w:w="108" w:type="dxa"/>
            </w:tcMar>
            <w:vAlign w:val="bottom"/>
          </w:tcPr>
          <w:p w:rsidR="00A30BF4" w:rsidRPr="00785EBA" w:rsidRDefault="004D2D91"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GaBi</w:t>
            </w:r>
            <w:r w:rsidR="00A30BF4" w:rsidRPr="00785EBA">
              <w:rPr>
                <w:rFonts w:ascii="Times New Roman" w:eastAsia="Calibri" w:hAnsi="Times New Roman" w:cs="Times New Roman"/>
              </w:rPr>
              <w:t xml:space="preserve"> LC Fe-Cr</w:t>
            </w:r>
          </w:p>
        </w:tc>
        <w:tc>
          <w:tcPr>
            <w:tcW w:w="33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7.99</w:t>
            </w:r>
          </w:p>
        </w:tc>
      </w:tr>
      <w:tr w:rsidR="000F39EA" w:rsidRPr="00785EBA" w:rsidTr="00DF7B62">
        <w:tc>
          <w:tcPr>
            <w:tcW w:w="3006"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High Carbon Ferro-Manganese</w:t>
            </w:r>
          </w:p>
        </w:tc>
        <w:tc>
          <w:tcPr>
            <w:tcW w:w="25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Global Fe-Mn Model</w:t>
            </w:r>
          </w:p>
        </w:tc>
        <w:tc>
          <w:tcPr>
            <w:tcW w:w="33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4.56</w:t>
            </w:r>
          </w:p>
        </w:tc>
      </w:tr>
      <w:tr w:rsidR="000F39EA" w:rsidRPr="00785EBA" w:rsidTr="00DF7B62">
        <w:tc>
          <w:tcPr>
            <w:tcW w:w="3006"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Low Carbon Ferro-Manganese</w:t>
            </w:r>
          </w:p>
        </w:tc>
        <w:tc>
          <w:tcPr>
            <w:tcW w:w="25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LC Fe-Mn</w:t>
            </w:r>
            <w:r w:rsidR="00DF7B62" w:rsidRPr="00785EBA">
              <w:rPr>
                <w:rFonts w:ascii="Times New Roman" w:eastAsia="Calibri" w:hAnsi="Times New Roman" w:cs="Times New Roman"/>
              </w:rPr>
              <w:t xml:space="preserve"> (Eurometaux)</w:t>
            </w:r>
          </w:p>
        </w:tc>
        <w:tc>
          <w:tcPr>
            <w:tcW w:w="33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7.23</w:t>
            </w:r>
          </w:p>
        </w:tc>
      </w:tr>
      <w:tr w:rsidR="000F39EA" w:rsidRPr="00785EBA" w:rsidTr="00DF7B62">
        <w:tc>
          <w:tcPr>
            <w:tcW w:w="3006"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Ferro-Molybdenum</w:t>
            </w:r>
          </w:p>
        </w:tc>
        <w:tc>
          <w:tcPr>
            <w:tcW w:w="25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Fe-Mo (IMOA)</w:t>
            </w:r>
          </w:p>
        </w:tc>
        <w:tc>
          <w:tcPr>
            <w:tcW w:w="33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9.09</w:t>
            </w:r>
          </w:p>
        </w:tc>
      </w:tr>
      <w:tr w:rsidR="000F39EA" w:rsidRPr="00785EBA" w:rsidTr="00DF7B62">
        <w:tc>
          <w:tcPr>
            <w:tcW w:w="3006" w:type="dxa"/>
            <w:shd w:val="clear" w:color="000000" w:fill="FFFFFF"/>
            <w:tcMar>
              <w:left w:w="108" w:type="dxa"/>
              <w:right w:w="108" w:type="dxa"/>
            </w:tcMar>
            <w:vAlign w:val="bottom"/>
          </w:tcPr>
          <w:p w:rsidR="00A30BF4" w:rsidRPr="00785EBA" w:rsidRDefault="00A66C4D"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Ferro-</w:t>
            </w:r>
            <w:r w:rsidR="00A30BF4" w:rsidRPr="00785EBA">
              <w:rPr>
                <w:rFonts w:ascii="Times New Roman" w:eastAsia="Calibri" w:hAnsi="Times New Roman" w:cs="Times New Roman"/>
              </w:rPr>
              <w:t>Nickel</w:t>
            </w:r>
          </w:p>
        </w:tc>
        <w:tc>
          <w:tcPr>
            <w:tcW w:w="25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Global Fe-Ni Model</w:t>
            </w:r>
          </w:p>
        </w:tc>
        <w:tc>
          <w:tcPr>
            <w:tcW w:w="33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22.25</w:t>
            </w:r>
          </w:p>
        </w:tc>
      </w:tr>
      <w:tr w:rsidR="000F39EA" w:rsidRPr="00785EBA" w:rsidTr="00DF7B62">
        <w:tc>
          <w:tcPr>
            <w:tcW w:w="3006" w:type="dxa"/>
            <w:shd w:val="clear" w:color="000000" w:fill="FFFFFF"/>
            <w:tcMar>
              <w:left w:w="108" w:type="dxa"/>
              <w:right w:w="108" w:type="dxa"/>
            </w:tcMar>
            <w:vAlign w:val="bottom"/>
          </w:tcPr>
          <w:p w:rsidR="00A30BF4" w:rsidRPr="00785EBA" w:rsidRDefault="00A66C4D"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Ferro-</w:t>
            </w:r>
            <w:r w:rsidR="00A30BF4" w:rsidRPr="00785EBA">
              <w:rPr>
                <w:rFonts w:ascii="Times New Roman" w:eastAsia="Calibri" w:hAnsi="Times New Roman" w:cs="Times New Roman"/>
              </w:rPr>
              <w:t>Niobium</w:t>
            </w:r>
          </w:p>
        </w:tc>
        <w:tc>
          <w:tcPr>
            <w:tcW w:w="25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Fe-Nb (Nuss)</w:t>
            </w:r>
          </w:p>
        </w:tc>
        <w:tc>
          <w:tcPr>
            <w:tcW w:w="33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4.83</w:t>
            </w:r>
          </w:p>
        </w:tc>
      </w:tr>
      <w:tr w:rsidR="000F39EA" w:rsidRPr="00785EBA" w:rsidTr="00DF7B62">
        <w:tc>
          <w:tcPr>
            <w:tcW w:w="3006" w:type="dxa"/>
            <w:shd w:val="clear" w:color="000000" w:fill="FFFFFF"/>
            <w:tcMar>
              <w:left w:w="108" w:type="dxa"/>
              <w:right w:w="108" w:type="dxa"/>
            </w:tcMar>
            <w:vAlign w:val="bottom"/>
          </w:tcPr>
          <w:p w:rsidR="00A30BF4" w:rsidRPr="00785EBA" w:rsidRDefault="00A66C4D"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Ferro-</w:t>
            </w:r>
            <w:r w:rsidR="00A30BF4" w:rsidRPr="00785EBA">
              <w:rPr>
                <w:rFonts w:ascii="Times New Roman" w:eastAsia="Calibri" w:hAnsi="Times New Roman" w:cs="Times New Roman"/>
              </w:rPr>
              <w:t>Silicon</w:t>
            </w:r>
          </w:p>
        </w:tc>
        <w:tc>
          <w:tcPr>
            <w:tcW w:w="25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Global Fe-Si Model</w:t>
            </w:r>
          </w:p>
        </w:tc>
        <w:tc>
          <w:tcPr>
            <w:tcW w:w="33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11.50</w:t>
            </w:r>
          </w:p>
        </w:tc>
      </w:tr>
      <w:tr w:rsidR="000F39EA" w:rsidRPr="00785EBA" w:rsidTr="00DF7B62">
        <w:tc>
          <w:tcPr>
            <w:tcW w:w="3006"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Ferro-Titanium</w:t>
            </w:r>
          </w:p>
        </w:tc>
        <w:tc>
          <w:tcPr>
            <w:tcW w:w="25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Fe-Ti (Gasik)</w:t>
            </w:r>
          </w:p>
        </w:tc>
        <w:tc>
          <w:tcPr>
            <w:tcW w:w="33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4.30</w:t>
            </w:r>
          </w:p>
        </w:tc>
      </w:tr>
      <w:tr w:rsidR="000F39EA" w:rsidRPr="00785EBA" w:rsidTr="00DF7B62">
        <w:tc>
          <w:tcPr>
            <w:tcW w:w="3006"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Silica-Manganese</w:t>
            </w:r>
          </w:p>
        </w:tc>
        <w:tc>
          <w:tcPr>
            <w:tcW w:w="25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Global Si-Mn Model</w:t>
            </w:r>
          </w:p>
        </w:tc>
        <w:tc>
          <w:tcPr>
            <w:tcW w:w="3351" w:type="dxa"/>
            <w:shd w:val="clear" w:color="000000" w:fill="FFFFFF"/>
            <w:tcMar>
              <w:left w:w="108" w:type="dxa"/>
              <w:right w:w="108" w:type="dxa"/>
            </w:tcMar>
            <w:vAlign w:val="bottom"/>
          </w:tcPr>
          <w:p w:rsidR="00A30BF4" w:rsidRPr="00785EBA" w:rsidRDefault="00A30BF4" w:rsidP="00363217">
            <w:pPr>
              <w:spacing w:after="0" w:line="360" w:lineRule="auto"/>
              <w:jc w:val="center"/>
              <w:rPr>
                <w:rFonts w:ascii="Times New Roman" w:eastAsia="Calibri" w:hAnsi="Times New Roman" w:cs="Times New Roman"/>
              </w:rPr>
            </w:pPr>
            <w:r w:rsidRPr="00785EBA">
              <w:rPr>
                <w:rFonts w:ascii="Times New Roman" w:eastAsia="Calibri" w:hAnsi="Times New Roman" w:cs="Times New Roman"/>
              </w:rPr>
              <w:t>7.17</w:t>
            </w:r>
          </w:p>
        </w:tc>
      </w:tr>
    </w:tbl>
    <w:p w:rsidR="00026876" w:rsidRPr="00785EBA" w:rsidRDefault="00026876" w:rsidP="00026876">
      <w:pPr>
        <w:spacing w:after="0" w:line="360" w:lineRule="auto"/>
        <w:jc w:val="both"/>
        <w:rPr>
          <w:rFonts w:ascii="Times New Roman" w:eastAsia="Calibri Light" w:hAnsi="Times New Roman" w:cs="Times New Roman"/>
        </w:rPr>
      </w:pPr>
    </w:p>
    <w:p w:rsidR="00A30BF4" w:rsidRPr="00785EBA" w:rsidRDefault="00A30BF4" w:rsidP="00A30BF4">
      <w:pPr>
        <w:spacing w:after="0" w:line="360" w:lineRule="auto"/>
        <w:ind w:firstLine="720"/>
        <w:jc w:val="both"/>
        <w:rPr>
          <w:rFonts w:ascii="Times New Roman" w:eastAsia="Calibri" w:hAnsi="Times New Roman" w:cs="Times New Roman"/>
          <w:b/>
        </w:rPr>
      </w:pPr>
    </w:p>
    <w:p w:rsidR="00A30BF4" w:rsidRDefault="00A30BF4" w:rsidP="00A30BF4">
      <w:pPr>
        <w:spacing w:after="0" w:line="360" w:lineRule="auto"/>
        <w:jc w:val="both"/>
        <w:rPr>
          <w:rFonts w:ascii="Times New Roman" w:eastAsia="Calibri" w:hAnsi="Times New Roman" w:cs="Times New Roman"/>
          <w:b/>
        </w:rPr>
      </w:pPr>
    </w:p>
    <w:p w:rsidR="0085701A" w:rsidRDefault="0085701A" w:rsidP="00A30BF4">
      <w:pPr>
        <w:spacing w:after="0" w:line="360" w:lineRule="auto"/>
        <w:jc w:val="both"/>
        <w:rPr>
          <w:rFonts w:ascii="Times New Roman" w:eastAsia="Calibri" w:hAnsi="Times New Roman" w:cs="Times New Roman"/>
          <w:b/>
        </w:rPr>
      </w:pPr>
    </w:p>
    <w:p w:rsidR="0085701A" w:rsidRDefault="0085701A" w:rsidP="00A30BF4">
      <w:pPr>
        <w:spacing w:after="0" w:line="360" w:lineRule="auto"/>
        <w:jc w:val="both"/>
        <w:rPr>
          <w:rFonts w:ascii="Times New Roman" w:eastAsia="Calibri" w:hAnsi="Times New Roman" w:cs="Times New Roman"/>
          <w:b/>
        </w:rPr>
      </w:pPr>
    </w:p>
    <w:p w:rsidR="0085701A" w:rsidRDefault="0085701A" w:rsidP="00A30BF4">
      <w:pPr>
        <w:spacing w:after="0" w:line="360" w:lineRule="auto"/>
        <w:jc w:val="both"/>
        <w:rPr>
          <w:rFonts w:ascii="Times New Roman" w:eastAsia="Calibri" w:hAnsi="Times New Roman" w:cs="Times New Roman"/>
          <w:b/>
        </w:rPr>
      </w:pPr>
    </w:p>
    <w:p w:rsidR="00CF2F2D" w:rsidRDefault="00CF2F2D" w:rsidP="00A30BF4">
      <w:pPr>
        <w:spacing w:after="0" w:line="360" w:lineRule="auto"/>
        <w:jc w:val="both"/>
        <w:rPr>
          <w:rFonts w:ascii="Times New Roman" w:eastAsia="Calibri" w:hAnsi="Times New Roman" w:cs="Times New Roman"/>
          <w:b/>
        </w:rPr>
      </w:pPr>
    </w:p>
    <w:p w:rsidR="00A66C4D" w:rsidRDefault="00A66C4D" w:rsidP="00A30BF4">
      <w:pPr>
        <w:spacing w:after="0" w:line="360" w:lineRule="auto"/>
        <w:jc w:val="both"/>
        <w:rPr>
          <w:rFonts w:ascii="Times New Roman" w:eastAsia="Calibri" w:hAnsi="Times New Roman" w:cs="Times New Roman"/>
          <w:b/>
        </w:rPr>
      </w:pPr>
    </w:p>
    <w:p w:rsidR="00A66C4D" w:rsidRDefault="00A66C4D" w:rsidP="00A30BF4">
      <w:pPr>
        <w:spacing w:after="0" w:line="360" w:lineRule="auto"/>
        <w:jc w:val="both"/>
        <w:rPr>
          <w:rFonts w:ascii="Times New Roman" w:eastAsia="Calibri" w:hAnsi="Times New Roman" w:cs="Times New Roman"/>
          <w:b/>
        </w:rPr>
      </w:pPr>
    </w:p>
    <w:p w:rsidR="00A66C4D" w:rsidRDefault="00A66C4D" w:rsidP="00A30BF4">
      <w:pPr>
        <w:spacing w:after="0" w:line="360" w:lineRule="auto"/>
        <w:jc w:val="both"/>
        <w:rPr>
          <w:rFonts w:ascii="Times New Roman" w:eastAsia="Calibri" w:hAnsi="Times New Roman" w:cs="Times New Roman"/>
          <w:b/>
        </w:rPr>
      </w:pPr>
    </w:p>
    <w:p w:rsidR="00A30BF4" w:rsidRDefault="00A30BF4" w:rsidP="00A30BF4">
      <w:pPr>
        <w:spacing w:after="0" w:line="360" w:lineRule="auto"/>
        <w:jc w:val="both"/>
        <w:rPr>
          <w:rFonts w:ascii="Times New Roman" w:eastAsia="Calibri" w:hAnsi="Times New Roman" w:cs="Times New Roman"/>
          <w:b/>
        </w:rPr>
      </w:pPr>
    </w:p>
    <w:p w:rsidR="00D90F3C" w:rsidRDefault="00D90F3C" w:rsidP="00A30BF4">
      <w:pPr>
        <w:spacing w:after="0" w:line="360" w:lineRule="auto"/>
        <w:jc w:val="both"/>
        <w:rPr>
          <w:rFonts w:ascii="Times New Roman" w:eastAsia="Calibri" w:hAnsi="Times New Roman" w:cs="Times New Roman"/>
          <w:b/>
        </w:rPr>
      </w:pPr>
    </w:p>
    <w:p w:rsidR="00D90F3C" w:rsidRPr="005B3139" w:rsidRDefault="00D90F3C" w:rsidP="00A30BF4">
      <w:pPr>
        <w:spacing w:after="0" w:line="360" w:lineRule="auto"/>
        <w:jc w:val="both"/>
        <w:rPr>
          <w:rFonts w:ascii="Times New Roman" w:eastAsia="Calibri" w:hAnsi="Times New Roman" w:cs="Times New Roman"/>
          <w:b/>
        </w:rPr>
      </w:pPr>
    </w:p>
    <w:p w:rsidR="00A30BF4" w:rsidRPr="005B3139" w:rsidRDefault="00A30BF4" w:rsidP="00A30BF4">
      <w:pPr>
        <w:spacing w:after="0" w:line="360" w:lineRule="auto"/>
        <w:jc w:val="both"/>
        <w:rPr>
          <w:rFonts w:ascii="Times New Roman" w:eastAsia="Calibri" w:hAnsi="Times New Roman" w:cs="Times New Roman"/>
          <w:b/>
        </w:rPr>
      </w:pPr>
    </w:p>
    <w:p w:rsidR="006E05F2" w:rsidRPr="008B2F70" w:rsidRDefault="000F272E" w:rsidP="008B2F70">
      <w:pPr>
        <w:pStyle w:val="Heading1"/>
        <w:rPr>
          <w:rFonts w:eastAsia="Calibri Light"/>
        </w:rPr>
      </w:pPr>
      <w:r>
        <w:rPr>
          <w:rFonts w:eastAsia="Calibri Light"/>
        </w:rPr>
        <w:lastRenderedPageBreak/>
        <w:t>8</w:t>
      </w:r>
      <w:r w:rsidR="00C9305F">
        <w:rPr>
          <w:rFonts w:eastAsia="Calibri Light"/>
        </w:rPr>
        <w:t>. LCA Results - Impact of alloying additions</w:t>
      </w:r>
      <w:r w:rsidR="00A30BF4" w:rsidRPr="005B3139">
        <w:rPr>
          <w:rFonts w:eastAsia="Calibri Light"/>
        </w:rPr>
        <w:t xml:space="preserve"> to steel grades</w:t>
      </w:r>
      <w:r>
        <w:rPr>
          <w:rFonts w:eastAsia="Calibri Light"/>
        </w:rPr>
        <w:t xml:space="preserve"> </w:t>
      </w:r>
    </w:p>
    <w:p w:rsidR="000661CC" w:rsidRPr="00785EBA" w:rsidRDefault="00A30BF4" w:rsidP="008B2F70">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This particular section of </w:t>
      </w:r>
      <w:r w:rsidR="008B2F70" w:rsidRPr="00785EBA">
        <w:rPr>
          <w:rFonts w:ascii="Times New Roman" w:eastAsia="Calibri" w:hAnsi="Times New Roman" w:cs="Times New Roman"/>
        </w:rPr>
        <w:t xml:space="preserve">work was concerned with </w:t>
      </w:r>
      <w:r w:rsidR="000661CC" w:rsidRPr="00785EBA">
        <w:rPr>
          <w:rFonts w:ascii="Times New Roman" w:eastAsia="Calibri" w:hAnsi="Times New Roman" w:cs="Times New Roman"/>
        </w:rPr>
        <w:t>determining the additional CO</w:t>
      </w:r>
      <w:r w:rsidR="000661CC" w:rsidRPr="00785EBA">
        <w:rPr>
          <w:rFonts w:ascii="Times New Roman" w:eastAsia="Calibri" w:hAnsi="Times New Roman" w:cs="Times New Roman"/>
          <w:vertAlign w:val="subscript"/>
        </w:rPr>
        <w:t>2</w:t>
      </w:r>
      <w:r w:rsidR="000661CC" w:rsidRPr="00785EBA">
        <w:rPr>
          <w:rFonts w:ascii="Times New Roman" w:eastAsia="Calibri" w:hAnsi="Times New Roman" w:cs="Times New Roman"/>
        </w:rPr>
        <w:t xml:space="preserve"> per kg due to alloying additions for 8 different steel grades.</w:t>
      </w:r>
    </w:p>
    <w:p w:rsidR="0057508C" w:rsidRPr="00785EBA" w:rsidRDefault="008B2F70" w:rsidP="00C463AA">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Steel making data, was obtained from Tata Steel making site in Port Talbot, specifically from the BOS plant. The data specified the type of alloying addition as well as the amount added per cast for 8 grades of steel: Boron, D</w:t>
      </w:r>
      <w:r w:rsidR="00D96C2F" w:rsidRPr="00785EBA">
        <w:rPr>
          <w:rFonts w:ascii="Times New Roman" w:eastAsia="Calibri" w:hAnsi="Times New Roman" w:cs="Times New Roman"/>
        </w:rPr>
        <w:t xml:space="preserve">P800, DP600, S450, S390, S355, </w:t>
      </w:r>
      <w:r w:rsidRPr="00785EBA">
        <w:rPr>
          <w:rFonts w:ascii="Times New Roman" w:eastAsia="Calibri" w:hAnsi="Times New Roman" w:cs="Times New Roman"/>
        </w:rPr>
        <w:t xml:space="preserve">XF400 and IF grades. </w:t>
      </w:r>
      <w:r w:rsidR="000661CC" w:rsidRPr="00785EBA">
        <w:rPr>
          <w:rFonts w:ascii="Times New Roman" w:eastAsia="Calibri" w:hAnsi="Times New Roman" w:cs="Times New Roman"/>
        </w:rPr>
        <w:t xml:space="preserve">Using these values </w:t>
      </w:r>
      <w:r w:rsidR="009E0B9C" w:rsidRPr="00785EBA">
        <w:rPr>
          <w:rFonts w:ascii="Times New Roman" w:eastAsia="Calibri" w:hAnsi="Times New Roman" w:cs="Times New Roman"/>
        </w:rPr>
        <w:t xml:space="preserve">as well as the emission factor </w:t>
      </w:r>
      <w:r w:rsidR="000661CC" w:rsidRPr="00785EBA">
        <w:rPr>
          <w:rFonts w:ascii="Times New Roman" w:eastAsia="Calibri" w:hAnsi="Times New Roman" w:cs="Times New Roman"/>
        </w:rPr>
        <w:t xml:space="preserve">calculated from the ferro-alloy models, </w:t>
      </w:r>
      <w:r w:rsidR="00A30BF4" w:rsidRPr="00785EBA">
        <w:rPr>
          <w:rFonts w:ascii="Times New Roman" w:eastAsia="Calibri" w:hAnsi="Times New Roman" w:cs="Times New Roman"/>
        </w:rPr>
        <w:t xml:space="preserve">the additional impact of the alloying additions for each grade of steel was calculated. A detailed breakdown of these calculations can be seen in the </w:t>
      </w:r>
      <w:r w:rsidR="0057508C" w:rsidRPr="00785EBA">
        <w:rPr>
          <w:rFonts w:ascii="Times New Roman" w:eastAsia="Calibri" w:hAnsi="Times New Roman" w:cs="Times New Roman"/>
        </w:rPr>
        <w:t>Appendix under heading ‘Breakdown of grades of steel calculations’.</w:t>
      </w:r>
      <w:r w:rsidR="00DA3491" w:rsidRPr="00785EBA">
        <w:rPr>
          <w:rFonts w:ascii="Times New Roman" w:eastAsia="Calibri" w:hAnsi="Times New Roman" w:cs="Times New Roman"/>
        </w:rPr>
        <w:t xml:space="preserve"> </w:t>
      </w:r>
      <w:r w:rsidR="00A30BF4" w:rsidRPr="00785EBA">
        <w:rPr>
          <w:rFonts w:ascii="Times New Roman" w:eastAsia="Calibri" w:hAnsi="Times New Roman" w:cs="Times New Roman"/>
        </w:rPr>
        <w:t xml:space="preserve">The results for all eight types of steel grade are summarised </w:t>
      </w:r>
      <w:r w:rsidR="00DA3491" w:rsidRPr="00785EBA">
        <w:rPr>
          <w:rFonts w:ascii="Times New Roman" w:eastAsia="Calibri" w:hAnsi="Times New Roman" w:cs="Times New Roman"/>
        </w:rPr>
        <w:t xml:space="preserve">by </w:t>
      </w:r>
      <w:r w:rsidR="00A6415F" w:rsidRPr="00785EBA">
        <w:fldChar w:fldCharType="begin"/>
      </w:r>
      <w:r w:rsidR="00A6415F" w:rsidRPr="00785EBA">
        <w:instrText xml:space="preserve"> REF _Ref474479641 \h  \* MERGEFORMAT </w:instrText>
      </w:r>
      <w:r w:rsidR="00A6415F" w:rsidRPr="00785EBA">
        <w:fldChar w:fldCharType="separate"/>
      </w:r>
      <w:r w:rsidR="009F5483" w:rsidRPr="00785EBA">
        <w:rPr>
          <w:rFonts w:ascii="Times New Roman" w:hAnsi="Times New Roman" w:cs="Times New Roman"/>
        </w:rPr>
        <w:t xml:space="preserve">Figure </w:t>
      </w:r>
      <w:r w:rsidR="009F5483">
        <w:rPr>
          <w:rFonts w:ascii="Times New Roman" w:hAnsi="Times New Roman" w:cs="Times New Roman"/>
          <w:noProof/>
        </w:rPr>
        <w:t>51</w:t>
      </w:r>
      <w:r w:rsidR="00A6415F" w:rsidRPr="00785EBA">
        <w:fldChar w:fldCharType="end"/>
      </w:r>
      <w:r w:rsidR="00DA3491" w:rsidRPr="00785EBA">
        <w:rPr>
          <w:rFonts w:ascii="Times New Roman" w:eastAsia="Calibri" w:hAnsi="Times New Roman" w:cs="Times New Roman"/>
        </w:rPr>
        <w:t>.</w:t>
      </w:r>
    </w:p>
    <w:p w:rsidR="00A30BF4" w:rsidRPr="00785EBA" w:rsidRDefault="00A30BF4" w:rsidP="00BA77D9">
      <w:pPr>
        <w:spacing w:line="360" w:lineRule="auto"/>
        <w:jc w:val="center"/>
        <w:rPr>
          <w:rFonts w:ascii="Times New Roman" w:eastAsia="Calibri" w:hAnsi="Times New Roman" w:cs="Times New Roman"/>
        </w:rPr>
      </w:pPr>
      <w:r w:rsidRPr="00785EBA">
        <w:rPr>
          <w:noProof/>
        </w:rPr>
        <w:drawing>
          <wp:inline distT="0" distB="0" distL="0" distR="0">
            <wp:extent cx="5523978" cy="3294345"/>
            <wp:effectExtent l="0" t="0" r="635" b="1905"/>
            <wp:docPr id="474" name="Chart 4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A30BF4" w:rsidRPr="00785EBA" w:rsidRDefault="00A30BF4" w:rsidP="00CF2F2D">
      <w:pPr>
        <w:spacing w:line="360" w:lineRule="auto"/>
        <w:jc w:val="both"/>
        <w:rPr>
          <w:rFonts w:ascii="Times New Roman" w:eastAsia="Calibri" w:hAnsi="Times New Roman" w:cs="Times New Roman"/>
        </w:rPr>
      </w:pPr>
      <w:bookmarkStart w:id="203" w:name="_Ref474479641"/>
      <w:bookmarkStart w:id="204" w:name="_Toc495848384"/>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51</w:t>
      </w:r>
      <w:r w:rsidR="009A0ED7" w:rsidRPr="00785EBA">
        <w:rPr>
          <w:rFonts w:ascii="Times New Roman" w:hAnsi="Times New Roman" w:cs="Times New Roman"/>
        </w:rPr>
        <w:fldChar w:fldCharType="end"/>
      </w:r>
      <w:bookmarkEnd w:id="203"/>
      <w:r w:rsidRPr="00785EBA">
        <w:rPr>
          <w:rFonts w:ascii="Times New Roman" w:hAnsi="Times New Roman" w:cs="Times New Roman"/>
        </w:rPr>
        <w:t xml:space="preserve">. </w:t>
      </w:r>
      <w:r w:rsidRPr="00785EBA">
        <w:rPr>
          <w:rFonts w:ascii="Times New Roman" w:eastAsia="Calibri" w:hAnsi="Times New Roman" w:cs="Times New Roman"/>
        </w:rPr>
        <w:t>A comparison of additional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xml:space="preserve"> per kg due to alloying additions for 8 different steel grades.</w:t>
      </w:r>
      <w:bookmarkEnd w:id="204"/>
    </w:p>
    <w:p w:rsidR="001A562D" w:rsidRPr="00785EBA" w:rsidRDefault="00BA77D9" w:rsidP="001A562D">
      <w:pPr>
        <w:spacing w:after="0" w:line="360" w:lineRule="auto"/>
        <w:ind w:firstLine="720"/>
        <w:jc w:val="both"/>
        <w:rPr>
          <w:rFonts w:ascii="Times New Roman" w:eastAsia="Calibri" w:hAnsi="Times New Roman" w:cs="Times New Roman"/>
        </w:rPr>
      </w:pPr>
      <w:r>
        <w:rPr>
          <w:rFonts w:ascii="Times New Roman" w:eastAsia="Calibri" w:hAnsi="Times New Roman" w:cs="Times New Roman"/>
        </w:rPr>
        <w:t xml:space="preserve">The results illustrate </w:t>
      </w:r>
      <w:r w:rsidR="00A30BF4" w:rsidRPr="00785EBA">
        <w:rPr>
          <w:rFonts w:ascii="Times New Roman" w:eastAsia="Calibri" w:hAnsi="Times New Roman" w:cs="Times New Roman"/>
        </w:rPr>
        <w:t>significant additional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 xml:space="preserve"> impacts, particularly from the dual </w:t>
      </w:r>
      <w:r w:rsidR="00F0486A" w:rsidRPr="00785EBA">
        <w:rPr>
          <w:rFonts w:ascii="Times New Roman" w:eastAsia="Calibri" w:hAnsi="Times New Roman" w:cs="Times New Roman"/>
        </w:rPr>
        <w:t>phase steel grades, DP800 (0.2535</w:t>
      </w:r>
      <w:r w:rsidR="00A30BF4" w:rsidRPr="00785EBA">
        <w:rPr>
          <w:rFonts w:ascii="Times New Roman" w:eastAsia="Calibri" w:hAnsi="Times New Roman" w:cs="Times New Roman"/>
        </w:rPr>
        <w:t xml:space="preserve"> kg CO</w:t>
      </w:r>
      <w:r w:rsidR="00A30BF4" w:rsidRPr="00785EBA">
        <w:rPr>
          <w:rFonts w:ascii="Times New Roman" w:eastAsia="Calibri" w:hAnsi="Times New Roman" w:cs="Times New Roman"/>
          <w:vertAlign w:val="subscript"/>
        </w:rPr>
        <w:t>2</w:t>
      </w:r>
      <w:r w:rsidR="00F0486A" w:rsidRPr="00785EBA">
        <w:rPr>
          <w:rFonts w:ascii="Times New Roman" w:eastAsia="Calibri" w:hAnsi="Times New Roman" w:cs="Times New Roman"/>
        </w:rPr>
        <w:t>/kg) and DP600 (0.1767</w:t>
      </w:r>
      <w:r w:rsidR="00A30BF4" w:rsidRPr="00785EBA">
        <w:rPr>
          <w:rFonts w:ascii="Times New Roman" w:eastAsia="Calibri" w:hAnsi="Times New Roman" w:cs="Times New Roman"/>
        </w:rPr>
        <w:t xml:space="preserve"> kg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/kg). To put into context, the combined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 xml:space="preserve"> impacts fro</w:t>
      </w:r>
      <w:r w:rsidR="002F2E2E" w:rsidRPr="00785EBA">
        <w:rPr>
          <w:rFonts w:ascii="Times New Roman" w:eastAsia="Calibri" w:hAnsi="Times New Roman" w:cs="Times New Roman"/>
        </w:rPr>
        <w:t>m S450, S390, S355 and XF400 were</w:t>
      </w:r>
      <w:r w:rsidR="00A30BF4" w:rsidRPr="00785EBA">
        <w:rPr>
          <w:rFonts w:ascii="Times New Roman" w:eastAsia="Calibri" w:hAnsi="Times New Roman" w:cs="Times New Roman"/>
        </w:rPr>
        <w:t xml:space="preserve"> approximately equal to the result by DP800.</w:t>
      </w:r>
      <w:r w:rsidR="002F2E2E" w:rsidRPr="00785EBA">
        <w:rPr>
          <w:rFonts w:ascii="Times New Roman" w:eastAsia="Calibri" w:hAnsi="Times New Roman" w:cs="Times New Roman"/>
        </w:rPr>
        <w:t xml:space="preserve"> </w:t>
      </w:r>
      <w:r w:rsidR="00A30BF4" w:rsidRPr="00785EBA">
        <w:rPr>
          <w:rFonts w:ascii="Times New Roman" w:eastAsia="Calibri" w:hAnsi="Times New Roman" w:cs="Times New Roman"/>
        </w:rPr>
        <w:t>After the dual phase steel grades, Boron steel grade had the third highest additional CO</w:t>
      </w:r>
      <w:r w:rsidR="00A30BF4" w:rsidRPr="00785EBA">
        <w:rPr>
          <w:rFonts w:ascii="Times New Roman" w:eastAsia="Calibri" w:hAnsi="Times New Roman" w:cs="Times New Roman"/>
          <w:vertAlign w:val="subscript"/>
        </w:rPr>
        <w:t>2</w:t>
      </w:r>
      <w:r w:rsidR="002F2E2E" w:rsidRPr="00785EBA">
        <w:rPr>
          <w:rFonts w:ascii="Times New Roman" w:eastAsia="Calibri" w:hAnsi="Times New Roman" w:cs="Times New Roman"/>
        </w:rPr>
        <w:t xml:space="preserve"> impact with a value of 0.0933</w:t>
      </w:r>
      <w:r w:rsidR="00A30BF4" w:rsidRPr="00785EBA">
        <w:rPr>
          <w:rFonts w:ascii="Times New Roman" w:eastAsia="Calibri" w:hAnsi="Times New Roman" w:cs="Times New Roman"/>
        </w:rPr>
        <w:t xml:space="preserve"> kg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/kg. In terms of the constructional steel grades, S355 had the largest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 xml:space="preserve"> impact value (0.0804 kg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/kg) followed by S450 and S390. The high strength low ally steel grade XF400, had a relatively low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 xml:space="preserve"> impact value (0.0471 kg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/kg) in comparison with the other six steel grades. Finally, IF steel grade had the lowest additional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 xml:space="preserve"> impact value of (0.0155 kg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/kg) roughly 16 times the impact in comparison with DP800.</w:t>
      </w:r>
    </w:p>
    <w:p w:rsidR="00D32C2D" w:rsidRPr="00785EBA" w:rsidRDefault="00A30BF4" w:rsidP="001A562D">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lastRenderedPageBreak/>
        <w:t>In addition</w:t>
      </w:r>
      <w:r w:rsidR="009E0B9C" w:rsidRPr="00785EBA">
        <w:rPr>
          <w:rFonts w:ascii="Times New Roman" w:eastAsia="Calibri" w:hAnsi="Times New Roman" w:cs="Times New Roman"/>
        </w:rPr>
        <w:t>,</w:t>
      </w:r>
      <w:r w:rsidRPr="00785EBA">
        <w:rPr>
          <w:rFonts w:ascii="Times New Roman" w:eastAsia="Calibri" w:hAnsi="Times New Roman" w:cs="Times New Roman"/>
        </w:rPr>
        <w:t xml:space="preserve"> the results were also considered by steel category as shown by </w:t>
      </w:r>
      <w:r w:rsidR="00A6415F" w:rsidRPr="00785EBA">
        <w:fldChar w:fldCharType="begin"/>
      </w:r>
      <w:r w:rsidR="00A6415F" w:rsidRPr="00785EBA">
        <w:instrText xml:space="preserve"> REF _Ref468396286 \h  \* MERGEFORMAT </w:instrText>
      </w:r>
      <w:r w:rsidR="00A6415F" w:rsidRPr="00785EBA">
        <w:fldChar w:fldCharType="separate"/>
      </w:r>
      <w:r w:rsidR="009F5483" w:rsidRPr="00785EBA">
        <w:rPr>
          <w:rFonts w:ascii="Times New Roman" w:hAnsi="Times New Roman" w:cs="Times New Roman"/>
        </w:rPr>
        <w:t xml:space="preserve">Figure </w:t>
      </w:r>
      <w:r w:rsidR="009F5483">
        <w:rPr>
          <w:rFonts w:ascii="Times New Roman" w:hAnsi="Times New Roman" w:cs="Times New Roman"/>
          <w:noProof/>
        </w:rPr>
        <w:t>52</w:t>
      </w:r>
      <w:r w:rsidR="00A6415F" w:rsidRPr="00785EBA">
        <w:fldChar w:fldCharType="end"/>
      </w:r>
      <w:r w:rsidRPr="00785EBA">
        <w:rPr>
          <w:rFonts w:ascii="Times New Roman" w:eastAsia="Calibri" w:hAnsi="Times New Roman" w:cs="Times New Roman"/>
        </w:rPr>
        <w:t>. The</w:t>
      </w:r>
      <w:r w:rsidR="00D32C2D" w:rsidRPr="00785EBA">
        <w:rPr>
          <w:rFonts w:ascii="Times New Roman" w:eastAsia="Calibri" w:hAnsi="Times New Roman" w:cs="Times New Roman"/>
        </w:rPr>
        <w:t>se</w:t>
      </w:r>
      <w:r w:rsidRPr="00785EBA">
        <w:rPr>
          <w:rFonts w:ascii="Times New Roman" w:eastAsia="Calibri" w:hAnsi="Times New Roman" w:cs="Times New Roman"/>
        </w:rPr>
        <w:t xml:space="preserve"> results were gener</w:t>
      </w:r>
      <w:r w:rsidR="00D32C2D" w:rsidRPr="00785EBA">
        <w:rPr>
          <w:rFonts w:ascii="Times New Roman" w:eastAsia="Calibri" w:hAnsi="Times New Roman" w:cs="Times New Roman"/>
        </w:rPr>
        <w:t>ated by taking a steel grade from</w:t>
      </w:r>
      <w:r w:rsidRPr="00785EBA">
        <w:rPr>
          <w:rFonts w:ascii="Times New Roman" w:eastAsia="Calibri" w:hAnsi="Times New Roman" w:cs="Times New Roman"/>
        </w:rPr>
        <w:t xml:space="preserve"> each category UHSS (Boron), AHSS (DP800), Conventional HSS (S450) and dividing</w:t>
      </w:r>
      <w:r w:rsidR="009E0B9C" w:rsidRPr="00785EBA">
        <w:rPr>
          <w:rFonts w:ascii="Times New Roman" w:eastAsia="Calibri" w:hAnsi="Times New Roman" w:cs="Times New Roman"/>
        </w:rPr>
        <w:t xml:space="preserve"> it</w:t>
      </w:r>
      <w:r w:rsidRPr="00785EBA">
        <w:rPr>
          <w:rFonts w:ascii="Times New Roman" w:eastAsia="Calibri" w:hAnsi="Times New Roman" w:cs="Times New Roman"/>
        </w:rPr>
        <w:t xml:space="preserve"> by</w:t>
      </w:r>
      <w:r w:rsidR="009E0B9C" w:rsidRPr="00785EBA">
        <w:rPr>
          <w:rFonts w:ascii="Times New Roman" w:eastAsia="Calibri" w:hAnsi="Times New Roman" w:cs="Times New Roman"/>
        </w:rPr>
        <w:t xml:space="preserve"> the</w:t>
      </w:r>
      <w:r w:rsidRPr="00785EBA">
        <w:rPr>
          <w:rFonts w:ascii="Times New Roman" w:eastAsia="Calibri" w:hAnsi="Times New Roman" w:cs="Times New Roman"/>
        </w:rPr>
        <w:t xml:space="preserve"> Mild steel (IF steel grade). </w:t>
      </w:r>
    </w:p>
    <w:p w:rsidR="00A30BF4" w:rsidRPr="00785EBA" w:rsidRDefault="00A30BF4" w:rsidP="00BA77D9">
      <w:pPr>
        <w:spacing w:after="0" w:line="360" w:lineRule="auto"/>
        <w:jc w:val="center"/>
        <w:rPr>
          <w:rFonts w:ascii="Times New Roman" w:eastAsia="Calibri" w:hAnsi="Times New Roman" w:cs="Times New Roman"/>
        </w:rPr>
      </w:pPr>
      <w:r w:rsidRPr="00785EBA">
        <w:rPr>
          <w:noProof/>
        </w:rPr>
        <w:drawing>
          <wp:inline distT="0" distB="0" distL="0" distR="0">
            <wp:extent cx="4536374" cy="2576946"/>
            <wp:effectExtent l="0" t="0" r="17145" b="13970"/>
            <wp:docPr id="475" name="Chart 4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A30BF4" w:rsidRPr="00785EBA" w:rsidRDefault="00A30BF4" w:rsidP="00CF2F2D">
      <w:pPr>
        <w:spacing w:line="360" w:lineRule="auto"/>
        <w:jc w:val="both"/>
        <w:rPr>
          <w:rFonts w:ascii="Times New Roman" w:eastAsia="Calibri" w:hAnsi="Times New Roman" w:cs="Times New Roman"/>
        </w:rPr>
      </w:pPr>
      <w:bookmarkStart w:id="205" w:name="_Ref468396286"/>
      <w:bookmarkStart w:id="206" w:name="_Toc495848385"/>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52</w:t>
      </w:r>
      <w:r w:rsidR="009A0ED7" w:rsidRPr="00785EBA">
        <w:rPr>
          <w:rFonts w:ascii="Times New Roman" w:hAnsi="Times New Roman" w:cs="Times New Roman"/>
        </w:rPr>
        <w:fldChar w:fldCharType="end"/>
      </w:r>
      <w:bookmarkEnd w:id="205"/>
      <w:r w:rsidRPr="00785EBA">
        <w:rPr>
          <w:rFonts w:ascii="Times New Roman" w:hAnsi="Times New Roman" w:cs="Times New Roman"/>
        </w:rPr>
        <w:t xml:space="preserve">. </w:t>
      </w:r>
      <w:r w:rsidRPr="00785EBA">
        <w:rPr>
          <w:rFonts w:ascii="Times New Roman" w:eastAsia="Calibri" w:hAnsi="Times New Roman" w:cs="Times New Roman"/>
        </w:rPr>
        <w:t>Additional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xml:space="preserve"> impact over IF steel grade for 4 different steel categories.</w:t>
      </w:r>
      <w:bookmarkEnd w:id="206"/>
    </w:p>
    <w:p w:rsidR="001A562D" w:rsidRPr="00785EBA" w:rsidRDefault="001A562D" w:rsidP="001A562D">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The trend in additional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xml:space="preserve"> impact, in increasing order appears to be Conventional HSS, UHSS and AHSS.</w:t>
      </w:r>
    </w:p>
    <w:p w:rsidR="00CF2F2D" w:rsidRPr="00785EBA" w:rsidRDefault="00C953D6" w:rsidP="001A562D">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A possible explanation of the results from</w:t>
      </w:r>
      <w:r w:rsidR="00A30BF4" w:rsidRPr="00785EBA">
        <w:rPr>
          <w:rFonts w:ascii="Times New Roman" w:eastAsia="Calibri" w:hAnsi="Times New Roman" w:cs="Times New Roman"/>
        </w:rPr>
        <w:t xml:space="preserve"> </w:t>
      </w:r>
      <w:r w:rsidR="00A6415F" w:rsidRPr="00785EBA">
        <w:fldChar w:fldCharType="begin"/>
      </w:r>
      <w:r w:rsidR="00A6415F" w:rsidRPr="00785EBA">
        <w:instrText xml:space="preserve"> REF _Ref474479641 \h  \* MERGEFORMAT </w:instrText>
      </w:r>
      <w:r w:rsidR="00A6415F" w:rsidRPr="00785EBA">
        <w:fldChar w:fldCharType="separate"/>
      </w:r>
      <w:r w:rsidR="009F5483" w:rsidRPr="00785EBA">
        <w:rPr>
          <w:rFonts w:ascii="Times New Roman" w:hAnsi="Times New Roman" w:cs="Times New Roman"/>
        </w:rPr>
        <w:t xml:space="preserve">Figure </w:t>
      </w:r>
      <w:r w:rsidR="009F5483">
        <w:rPr>
          <w:rFonts w:ascii="Times New Roman" w:hAnsi="Times New Roman" w:cs="Times New Roman"/>
          <w:noProof/>
        </w:rPr>
        <w:t>51</w:t>
      </w:r>
      <w:r w:rsidR="00A6415F" w:rsidRPr="00785EBA">
        <w:fldChar w:fldCharType="end"/>
      </w:r>
      <w:r w:rsidR="001A562D" w:rsidRPr="00785EBA">
        <w:rPr>
          <w:rFonts w:ascii="Times New Roman" w:eastAsia="Calibri" w:hAnsi="Times New Roman" w:cs="Times New Roman"/>
        </w:rPr>
        <w:t xml:space="preserve"> and </w:t>
      </w:r>
      <w:r w:rsidR="00A6415F" w:rsidRPr="00785EBA">
        <w:fldChar w:fldCharType="begin"/>
      </w:r>
      <w:r w:rsidR="00A6415F" w:rsidRPr="00785EBA">
        <w:instrText xml:space="preserve"> REF _Ref468396286 \h  \* MERGEFORMAT </w:instrText>
      </w:r>
      <w:r w:rsidR="00A6415F" w:rsidRPr="00785EBA">
        <w:fldChar w:fldCharType="separate"/>
      </w:r>
      <w:r w:rsidR="009F5483" w:rsidRPr="00785EBA">
        <w:rPr>
          <w:rFonts w:ascii="Times New Roman" w:hAnsi="Times New Roman" w:cs="Times New Roman"/>
          <w:noProof/>
        </w:rPr>
        <w:t>Figure</w:t>
      </w:r>
      <w:r w:rsidR="009F5483" w:rsidRPr="00785EBA">
        <w:rPr>
          <w:rFonts w:ascii="Times New Roman" w:hAnsi="Times New Roman" w:cs="Times New Roman"/>
        </w:rPr>
        <w:t xml:space="preserve"> </w:t>
      </w:r>
      <w:r w:rsidR="009F5483">
        <w:rPr>
          <w:rFonts w:ascii="Times New Roman" w:hAnsi="Times New Roman" w:cs="Times New Roman"/>
          <w:noProof/>
        </w:rPr>
        <w:t>52</w:t>
      </w:r>
      <w:r w:rsidR="00A6415F" w:rsidRPr="00785EBA">
        <w:fldChar w:fldCharType="end"/>
      </w:r>
      <w:r w:rsidR="00A30BF4" w:rsidRPr="00785EBA">
        <w:rPr>
          <w:rFonts w:ascii="Times New Roman" w:eastAsia="Calibri" w:hAnsi="Times New Roman" w:cs="Times New Roman"/>
        </w:rPr>
        <w:t>, could be that steel grades with high alloying addition added per cast, produce the highest additional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 xml:space="preserve"> impact. For instance, 11.58t of alloying additions were cast for DP800 in contrast to 0.92t for IF steel grade. However this trend only applies to DP800, DP600 Boron an</w:t>
      </w:r>
      <w:r w:rsidRPr="00785EBA">
        <w:rPr>
          <w:rFonts w:ascii="Times New Roman" w:eastAsia="Calibri" w:hAnsi="Times New Roman" w:cs="Times New Roman"/>
        </w:rPr>
        <w:t>d IF steel grades. For the constructional</w:t>
      </w:r>
      <w:r w:rsidR="00A30BF4" w:rsidRPr="00785EBA">
        <w:rPr>
          <w:rFonts w:ascii="Times New Roman" w:eastAsia="Calibri" w:hAnsi="Times New Roman" w:cs="Times New Roman"/>
        </w:rPr>
        <w:t xml:space="preserve"> steel grades, although S355 steel grade has the highest additional impact</w:t>
      </w:r>
      <w:r w:rsidRPr="00785EBA">
        <w:rPr>
          <w:rFonts w:ascii="Times New Roman" w:eastAsia="Calibri" w:hAnsi="Times New Roman" w:cs="Times New Roman"/>
        </w:rPr>
        <w:t>, it is in fact S450 which has the</w:t>
      </w:r>
      <w:r w:rsidR="00A30BF4" w:rsidRPr="00785EBA">
        <w:rPr>
          <w:rFonts w:ascii="Times New Roman" w:eastAsia="Calibri" w:hAnsi="Times New Roman" w:cs="Times New Roman"/>
        </w:rPr>
        <w:t xml:space="preserve"> higher tonnage of alloying additions. The comparison of the trend between additional CO</w:t>
      </w:r>
      <w:r w:rsidR="00A30BF4" w:rsidRPr="00785EBA">
        <w:rPr>
          <w:rFonts w:ascii="Times New Roman" w:eastAsia="Calibri" w:hAnsi="Times New Roman" w:cs="Times New Roman"/>
          <w:vertAlign w:val="subscript"/>
        </w:rPr>
        <w:t>2</w:t>
      </w:r>
      <w:r w:rsidR="00A30BF4" w:rsidRPr="00785EBA">
        <w:rPr>
          <w:rFonts w:ascii="Times New Roman" w:eastAsia="Calibri" w:hAnsi="Times New Roman" w:cs="Times New Roman"/>
        </w:rPr>
        <w:t xml:space="preserve"> impact and alloying addition cast for all three constructional g</w:t>
      </w:r>
      <w:r w:rsidRPr="00785EBA">
        <w:rPr>
          <w:rFonts w:ascii="Times New Roman" w:eastAsia="Calibri" w:hAnsi="Times New Roman" w:cs="Times New Roman"/>
        </w:rPr>
        <w:t>rades and XF400, are</w:t>
      </w:r>
      <w:r w:rsidR="00115B88">
        <w:rPr>
          <w:rFonts w:ascii="Times New Roman" w:eastAsia="Calibri" w:hAnsi="Times New Roman" w:cs="Times New Roman"/>
        </w:rPr>
        <w:t xml:space="preserve"> graphically illustrated below.</w:t>
      </w:r>
    </w:p>
    <w:p w:rsidR="00C953D6" w:rsidRDefault="00115B88" w:rsidP="005354AA">
      <w:pPr>
        <w:spacing w:after="0" w:line="360" w:lineRule="auto"/>
        <w:jc w:val="center"/>
        <w:rPr>
          <w:rFonts w:ascii="Times New Roman" w:eastAsia="Calibri" w:hAnsi="Times New Roman" w:cs="Times New Roman"/>
        </w:rPr>
      </w:pPr>
      <w:r>
        <w:rPr>
          <w:noProof/>
        </w:rPr>
        <w:drawing>
          <wp:inline distT="0" distB="0" distL="0" distR="0" wp14:anchorId="24A87639" wp14:editId="4A7907B6">
            <wp:extent cx="4228186" cy="2531060"/>
            <wp:effectExtent l="0" t="0" r="1270" b="3175"/>
            <wp:docPr id="460" name="Chart 4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115B88" w:rsidRPr="000906E1" w:rsidRDefault="00115B88" w:rsidP="009C0490">
      <w:pPr>
        <w:pStyle w:val="Caption"/>
        <w:jc w:val="both"/>
        <w:rPr>
          <w:rFonts w:ascii="Times New Roman" w:eastAsia="Calibri" w:hAnsi="Times New Roman" w:cs="Times New Roman"/>
          <w:i w:val="0"/>
          <w:color w:val="auto"/>
          <w:sz w:val="22"/>
        </w:rPr>
      </w:pPr>
      <w:bookmarkStart w:id="207" w:name="_Ref493065760"/>
      <w:bookmarkStart w:id="208" w:name="_Toc495848386"/>
      <w:r w:rsidRPr="000906E1">
        <w:rPr>
          <w:rFonts w:ascii="Times New Roman" w:hAnsi="Times New Roman" w:cs="Times New Roman"/>
          <w:i w:val="0"/>
          <w:color w:val="auto"/>
          <w:sz w:val="22"/>
        </w:rPr>
        <w:t xml:space="preserve">Figure </w:t>
      </w:r>
      <w:r w:rsidRPr="000906E1">
        <w:rPr>
          <w:rFonts w:ascii="Times New Roman" w:hAnsi="Times New Roman" w:cs="Times New Roman"/>
          <w:i w:val="0"/>
          <w:color w:val="auto"/>
          <w:sz w:val="22"/>
        </w:rPr>
        <w:fldChar w:fldCharType="begin"/>
      </w:r>
      <w:r w:rsidRPr="000906E1">
        <w:rPr>
          <w:rFonts w:ascii="Times New Roman" w:hAnsi="Times New Roman" w:cs="Times New Roman"/>
          <w:i w:val="0"/>
          <w:color w:val="auto"/>
          <w:sz w:val="22"/>
        </w:rPr>
        <w:instrText xml:space="preserve"> SEQ Figure \* ARABIC </w:instrText>
      </w:r>
      <w:r w:rsidRPr="000906E1">
        <w:rPr>
          <w:rFonts w:ascii="Times New Roman" w:hAnsi="Times New Roman" w:cs="Times New Roman"/>
          <w:i w:val="0"/>
          <w:color w:val="auto"/>
          <w:sz w:val="22"/>
        </w:rPr>
        <w:fldChar w:fldCharType="separate"/>
      </w:r>
      <w:r w:rsidR="009F5483" w:rsidRPr="000906E1">
        <w:rPr>
          <w:rFonts w:ascii="Times New Roman" w:hAnsi="Times New Roman" w:cs="Times New Roman"/>
          <w:i w:val="0"/>
          <w:noProof/>
          <w:color w:val="auto"/>
          <w:sz w:val="22"/>
        </w:rPr>
        <w:t>53</w:t>
      </w:r>
      <w:r w:rsidRPr="000906E1">
        <w:rPr>
          <w:rFonts w:ascii="Times New Roman" w:hAnsi="Times New Roman" w:cs="Times New Roman"/>
          <w:i w:val="0"/>
          <w:color w:val="auto"/>
          <w:sz w:val="22"/>
        </w:rPr>
        <w:fldChar w:fldCharType="end"/>
      </w:r>
      <w:bookmarkEnd w:id="207"/>
      <w:r w:rsidRPr="000906E1">
        <w:rPr>
          <w:rFonts w:ascii="Times New Roman" w:hAnsi="Times New Roman" w:cs="Times New Roman"/>
          <w:i w:val="0"/>
          <w:color w:val="auto"/>
          <w:sz w:val="22"/>
        </w:rPr>
        <w:t xml:space="preserve">. A graph illustrating the relationship between alloying additions added per cast against additional </w:t>
      </w:r>
      <w:r w:rsidRPr="000906E1">
        <w:rPr>
          <w:rFonts w:ascii="Times New Roman" w:eastAsia="Calibri" w:hAnsi="Times New Roman" w:cs="Times New Roman"/>
          <w:i w:val="0"/>
          <w:color w:val="auto"/>
          <w:sz w:val="22"/>
        </w:rPr>
        <w:t>CO</w:t>
      </w:r>
      <w:r w:rsidRPr="000906E1">
        <w:rPr>
          <w:rFonts w:ascii="Times New Roman" w:eastAsia="Calibri" w:hAnsi="Times New Roman" w:cs="Times New Roman"/>
          <w:i w:val="0"/>
          <w:color w:val="auto"/>
          <w:sz w:val="22"/>
          <w:vertAlign w:val="subscript"/>
        </w:rPr>
        <w:t xml:space="preserve">2 </w:t>
      </w:r>
      <w:r w:rsidRPr="000906E1">
        <w:rPr>
          <w:rFonts w:ascii="Times New Roman" w:eastAsia="Calibri" w:hAnsi="Times New Roman" w:cs="Times New Roman"/>
          <w:i w:val="0"/>
          <w:color w:val="auto"/>
          <w:sz w:val="22"/>
        </w:rPr>
        <w:t>per kg due to alloying addition.</w:t>
      </w:r>
      <w:bookmarkEnd w:id="208"/>
    </w:p>
    <w:p w:rsidR="00866443" w:rsidRPr="000906E1" w:rsidRDefault="005E071C" w:rsidP="00CF076A">
      <w:pPr>
        <w:spacing w:after="0" w:line="360" w:lineRule="auto"/>
        <w:ind w:firstLine="720"/>
        <w:jc w:val="both"/>
        <w:rPr>
          <w:rFonts w:ascii="Times New Roman" w:eastAsia="Calibri" w:hAnsi="Times New Roman" w:cs="Times New Roman"/>
        </w:rPr>
      </w:pPr>
      <w:r w:rsidRPr="000906E1">
        <w:rPr>
          <w:rFonts w:ascii="Times New Roman" w:eastAsia="Calibri" w:hAnsi="Times New Roman" w:cs="Times New Roman"/>
        </w:rPr>
        <w:lastRenderedPageBreak/>
        <w:fldChar w:fldCharType="begin"/>
      </w:r>
      <w:r w:rsidRPr="000906E1">
        <w:rPr>
          <w:rFonts w:ascii="Times New Roman" w:eastAsia="Calibri" w:hAnsi="Times New Roman" w:cs="Times New Roman"/>
        </w:rPr>
        <w:instrText xml:space="preserve"> REF _Ref493065760 \h  \* MERGEFORMAT </w:instrText>
      </w:r>
      <w:r w:rsidRPr="000906E1">
        <w:rPr>
          <w:rFonts w:ascii="Times New Roman" w:eastAsia="Calibri" w:hAnsi="Times New Roman" w:cs="Times New Roman"/>
        </w:rPr>
      </w:r>
      <w:r w:rsidRPr="000906E1">
        <w:rPr>
          <w:rFonts w:ascii="Times New Roman" w:eastAsia="Calibri" w:hAnsi="Times New Roman" w:cs="Times New Roman"/>
        </w:rPr>
        <w:fldChar w:fldCharType="separate"/>
      </w:r>
      <w:r w:rsidR="009F5483" w:rsidRPr="000906E1">
        <w:rPr>
          <w:rFonts w:ascii="Times New Roman" w:hAnsi="Times New Roman" w:cs="Times New Roman"/>
        </w:rPr>
        <w:t xml:space="preserve">Figure </w:t>
      </w:r>
      <w:r w:rsidR="009F5483" w:rsidRPr="000906E1">
        <w:rPr>
          <w:rFonts w:ascii="Times New Roman" w:hAnsi="Times New Roman" w:cs="Times New Roman"/>
          <w:noProof/>
        </w:rPr>
        <w:t>53</w:t>
      </w:r>
      <w:r w:rsidRPr="000906E1">
        <w:rPr>
          <w:rFonts w:ascii="Times New Roman" w:eastAsia="Calibri" w:hAnsi="Times New Roman" w:cs="Times New Roman"/>
        </w:rPr>
        <w:fldChar w:fldCharType="end"/>
      </w:r>
      <w:r w:rsidR="005D171C" w:rsidRPr="000906E1">
        <w:rPr>
          <w:rFonts w:ascii="Times New Roman" w:eastAsia="Calibri" w:hAnsi="Times New Roman" w:cs="Times New Roman"/>
        </w:rPr>
        <w:t xml:space="preserve"> indicates no clear trend </w:t>
      </w:r>
      <w:r w:rsidRPr="000906E1">
        <w:rPr>
          <w:rFonts w:ascii="Times New Roman" w:eastAsia="Calibri" w:hAnsi="Times New Roman" w:cs="Times New Roman"/>
        </w:rPr>
        <w:t>between amount of alloying addition</w:t>
      </w:r>
      <w:r w:rsidR="005D171C" w:rsidRPr="000906E1">
        <w:rPr>
          <w:rFonts w:ascii="Times New Roman" w:eastAsia="Calibri" w:hAnsi="Times New Roman" w:cs="Times New Roman"/>
        </w:rPr>
        <w:t xml:space="preserve"> added per</w:t>
      </w:r>
      <w:r w:rsidRPr="000906E1">
        <w:rPr>
          <w:rFonts w:ascii="Times New Roman" w:eastAsia="Calibri" w:hAnsi="Times New Roman" w:cs="Times New Roman"/>
        </w:rPr>
        <w:t xml:space="preserve"> cast</w:t>
      </w:r>
      <w:r w:rsidR="005D171C" w:rsidRPr="000906E1">
        <w:rPr>
          <w:rFonts w:ascii="Times New Roman" w:eastAsia="Calibri" w:hAnsi="Times New Roman" w:cs="Times New Roman"/>
        </w:rPr>
        <w:t xml:space="preserve"> and additional CO</w:t>
      </w:r>
      <w:r w:rsidR="005D171C" w:rsidRPr="000906E1">
        <w:rPr>
          <w:rFonts w:ascii="Times New Roman" w:eastAsia="Calibri" w:hAnsi="Times New Roman" w:cs="Times New Roman"/>
          <w:vertAlign w:val="subscript"/>
        </w:rPr>
        <w:t>2</w:t>
      </w:r>
      <w:r w:rsidR="005D171C" w:rsidRPr="000906E1">
        <w:rPr>
          <w:rFonts w:ascii="Times New Roman" w:eastAsia="Calibri" w:hAnsi="Times New Roman" w:cs="Times New Roman"/>
        </w:rPr>
        <w:t xml:space="preserve"> impact</w:t>
      </w:r>
      <w:r w:rsidR="00866443" w:rsidRPr="000906E1">
        <w:rPr>
          <w:rFonts w:ascii="Times New Roman" w:eastAsia="Calibri" w:hAnsi="Times New Roman" w:cs="Times New Roman"/>
        </w:rPr>
        <w:t xml:space="preserve"> due to </w:t>
      </w:r>
      <w:r w:rsidR="005D171C" w:rsidRPr="000906E1">
        <w:rPr>
          <w:rFonts w:ascii="Times New Roman" w:eastAsia="Calibri" w:hAnsi="Times New Roman" w:cs="Times New Roman"/>
        </w:rPr>
        <w:t>alloying addition</w:t>
      </w:r>
      <w:r w:rsidR="00866443" w:rsidRPr="000906E1">
        <w:rPr>
          <w:rFonts w:ascii="Times New Roman" w:eastAsia="Calibri" w:hAnsi="Times New Roman" w:cs="Times New Roman"/>
        </w:rPr>
        <w:t>s</w:t>
      </w:r>
      <w:r w:rsidR="005D171C" w:rsidRPr="000906E1">
        <w:rPr>
          <w:rFonts w:ascii="Times New Roman" w:eastAsia="Calibri" w:hAnsi="Times New Roman" w:cs="Times New Roman"/>
        </w:rPr>
        <w:t>.</w:t>
      </w:r>
      <w:r w:rsidR="000C1EFA" w:rsidRPr="000906E1">
        <w:rPr>
          <w:rFonts w:ascii="Times New Roman" w:eastAsia="Calibri" w:hAnsi="Times New Roman" w:cs="Times New Roman"/>
        </w:rPr>
        <w:t xml:space="preserve"> An in-depth analysis of each of the steel grades </w:t>
      </w:r>
      <w:r w:rsidR="004C419E" w:rsidRPr="000906E1">
        <w:rPr>
          <w:rFonts w:ascii="Times New Roman" w:eastAsia="Calibri" w:hAnsi="Times New Roman" w:cs="Times New Roman"/>
        </w:rPr>
        <w:t>indicates a single factor</w:t>
      </w:r>
      <w:r w:rsidR="000C1EFA" w:rsidRPr="000906E1">
        <w:rPr>
          <w:rFonts w:ascii="Times New Roman" w:eastAsia="Calibri" w:hAnsi="Times New Roman" w:cs="Times New Roman"/>
        </w:rPr>
        <w:t xml:space="preserve"> namely the individual contribution of</w:t>
      </w:r>
      <w:r w:rsidR="004C419E" w:rsidRPr="000906E1">
        <w:rPr>
          <w:rFonts w:ascii="Times New Roman" w:eastAsia="Calibri" w:hAnsi="Times New Roman" w:cs="Times New Roman"/>
        </w:rPr>
        <w:t xml:space="preserve"> an</w:t>
      </w:r>
      <w:r w:rsidR="000C1EFA" w:rsidRPr="000906E1">
        <w:rPr>
          <w:rFonts w:ascii="Times New Roman" w:eastAsia="Calibri" w:hAnsi="Times New Roman" w:cs="Times New Roman"/>
        </w:rPr>
        <w:t xml:space="preserve"> element </w:t>
      </w:r>
      <w:r w:rsidR="00CF076A" w:rsidRPr="000906E1">
        <w:rPr>
          <w:rFonts w:ascii="Times New Roman" w:eastAsia="Calibri" w:hAnsi="Times New Roman" w:cs="Times New Roman"/>
        </w:rPr>
        <w:t>has the key variable</w:t>
      </w:r>
      <w:r w:rsidR="000C1EFA" w:rsidRPr="000906E1">
        <w:rPr>
          <w:rFonts w:ascii="Times New Roman" w:eastAsia="Calibri" w:hAnsi="Times New Roman" w:cs="Times New Roman"/>
        </w:rPr>
        <w:t xml:space="preserve"> that can explain the results.</w:t>
      </w:r>
      <w:r w:rsidR="00CF076A" w:rsidRPr="000906E1">
        <w:rPr>
          <w:rFonts w:ascii="Times New Roman" w:eastAsia="Calibri" w:hAnsi="Times New Roman" w:cs="Times New Roman"/>
        </w:rPr>
        <w:t xml:space="preserve"> Comparing all three</w:t>
      </w:r>
      <w:r w:rsidR="00866443" w:rsidRPr="000906E1">
        <w:rPr>
          <w:rFonts w:ascii="Times New Roman" w:eastAsia="Calibri" w:hAnsi="Times New Roman" w:cs="Times New Roman"/>
        </w:rPr>
        <w:t xml:space="preserve"> constructional grades of steel,</w:t>
      </w:r>
      <w:r w:rsidR="000C1EFA" w:rsidRPr="000906E1">
        <w:rPr>
          <w:rFonts w:ascii="Times New Roman" w:eastAsia="Calibri" w:hAnsi="Times New Roman" w:cs="Times New Roman"/>
        </w:rPr>
        <w:t xml:space="preserve"> </w:t>
      </w:r>
      <w:r w:rsidR="00866443" w:rsidRPr="000906E1">
        <w:rPr>
          <w:rFonts w:ascii="Times New Roman" w:eastAsia="Calibri" w:hAnsi="Times New Roman" w:cs="Times New Roman"/>
        </w:rPr>
        <w:t xml:space="preserve">the largest individual contribution </w:t>
      </w:r>
      <w:r w:rsidR="00CF076A" w:rsidRPr="000906E1">
        <w:rPr>
          <w:rFonts w:ascii="Times New Roman" w:eastAsia="Calibri" w:hAnsi="Times New Roman" w:cs="Times New Roman"/>
        </w:rPr>
        <w:t>was from medium Fe-Mn</w:t>
      </w:r>
      <w:r w:rsidR="00866443" w:rsidRPr="000906E1">
        <w:rPr>
          <w:rFonts w:ascii="Times New Roman" w:eastAsia="Calibri" w:hAnsi="Times New Roman" w:cs="Times New Roman"/>
        </w:rPr>
        <w:t xml:space="preserve"> </w:t>
      </w:r>
      <w:r w:rsidR="004C419E" w:rsidRPr="000906E1">
        <w:rPr>
          <w:rFonts w:ascii="Times New Roman" w:eastAsia="Calibri" w:hAnsi="Times New Roman" w:cs="Times New Roman"/>
        </w:rPr>
        <w:t>followed by a</w:t>
      </w:r>
      <w:r w:rsidR="00CF076A" w:rsidRPr="000906E1">
        <w:rPr>
          <w:rFonts w:ascii="Times New Roman" w:eastAsia="Calibri" w:hAnsi="Times New Roman" w:cs="Times New Roman"/>
        </w:rPr>
        <w:t xml:space="preserve">luminium, with </w:t>
      </w:r>
      <w:r w:rsidR="00866443" w:rsidRPr="000906E1">
        <w:rPr>
          <w:rFonts w:ascii="Times New Roman" w:eastAsia="Calibri" w:hAnsi="Times New Roman" w:cs="Times New Roman"/>
        </w:rPr>
        <w:t>the element Mn</w:t>
      </w:r>
      <w:r w:rsidR="004C419E" w:rsidRPr="000906E1">
        <w:rPr>
          <w:rFonts w:ascii="Times New Roman" w:eastAsia="Calibri" w:hAnsi="Times New Roman" w:cs="Times New Roman"/>
        </w:rPr>
        <w:t>,</w:t>
      </w:r>
      <w:r w:rsidR="00866443" w:rsidRPr="000906E1">
        <w:rPr>
          <w:rFonts w:ascii="Times New Roman" w:eastAsia="Calibri" w:hAnsi="Times New Roman" w:cs="Times New Roman"/>
        </w:rPr>
        <w:t xml:space="preserve"> </w:t>
      </w:r>
      <w:r w:rsidR="004C419E" w:rsidRPr="000906E1">
        <w:rPr>
          <w:rFonts w:ascii="Times New Roman" w:eastAsia="Calibri" w:hAnsi="Times New Roman" w:cs="Times New Roman"/>
        </w:rPr>
        <w:t>also contributing</w:t>
      </w:r>
      <w:r w:rsidR="00866443" w:rsidRPr="000906E1">
        <w:rPr>
          <w:rFonts w:ascii="Times New Roman" w:eastAsia="Calibri" w:hAnsi="Times New Roman" w:cs="Times New Roman"/>
        </w:rPr>
        <w:t xml:space="preserve"> the largest propo</w:t>
      </w:r>
      <w:r w:rsidR="00CF076A" w:rsidRPr="000906E1">
        <w:rPr>
          <w:rFonts w:ascii="Times New Roman" w:eastAsia="Calibri" w:hAnsi="Times New Roman" w:cs="Times New Roman"/>
        </w:rPr>
        <w:t>rtion of alloying addition cast.</w:t>
      </w:r>
    </w:p>
    <w:p w:rsidR="004C419E" w:rsidRPr="000906E1" w:rsidRDefault="000C1EFA" w:rsidP="000C1EFA">
      <w:pPr>
        <w:spacing w:after="0" w:line="360" w:lineRule="auto"/>
        <w:ind w:firstLine="720"/>
        <w:jc w:val="both"/>
        <w:rPr>
          <w:rFonts w:ascii="Times New Roman" w:eastAsia="Calibri" w:hAnsi="Times New Roman" w:cs="Times New Roman"/>
        </w:rPr>
      </w:pPr>
      <w:r w:rsidRPr="000906E1">
        <w:rPr>
          <w:rFonts w:ascii="Times New Roman" w:eastAsia="Calibri" w:hAnsi="Times New Roman" w:cs="Times New Roman"/>
        </w:rPr>
        <w:t>Comparing S450 and S355 steel grades, although S450 has Fe-P which S355 does not, its CO</w:t>
      </w:r>
      <w:r w:rsidRPr="000906E1">
        <w:rPr>
          <w:rFonts w:ascii="Times New Roman" w:eastAsia="Calibri" w:hAnsi="Times New Roman" w:cs="Times New Roman"/>
          <w:vertAlign w:val="subscript"/>
        </w:rPr>
        <w:t>2</w:t>
      </w:r>
      <w:r w:rsidRPr="000906E1">
        <w:rPr>
          <w:rFonts w:ascii="Times New Roman" w:eastAsia="Calibri" w:hAnsi="Times New Roman" w:cs="Times New Roman"/>
        </w:rPr>
        <w:t xml:space="preserve"> impact has already been included in the steel making process, so for this analysis both grades can be considered as having the same constituents. The main difference between the two grades are that, S</w:t>
      </w:r>
      <w:r w:rsidR="00ED0537" w:rsidRPr="000906E1">
        <w:rPr>
          <w:rFonts w:ascii="Times New Roman" w:eastAsia="Calibri" w:hAnsi="Times New Roman" w:cs="Times New Roman"/>
        </w:rPr>
        <w:t>355 has approximately 16</w:t>
      </w:r>
      <w:r w:rsidR="004C419E" w:rsidRPr="000906E1">
        <w:rPr>
          <w:rFonts w:ascii="Times New Roman" w:eastAsia="Calibri" w:hAnsi="Times New Roman" w:cs="Times New Roman"/>
        </w:rPr>
        <w:t>% more a</w:t>
      </w:r>
      <w:r w:rsidRPr="000906E1">
        <w:rPr>
          <w:rFonts w:ascii="Times New Roman" w:eastAsia="Calibri" w:hAnsi="Times New Roman" w:cs="Times New Roman"/>
        </w:rPr>
        <w:t xml:space="preserve">luminium and 25% more medium carbon ferro-manganese. </w:t>
      </w:r>
      <w:r w:rsidR="00866443" w:rsidRPr="000906E1">
        <w:rPr>
          <w:rFonts w:ascii="Times New Roman" w:eastAsia="Calibri" w:hAnsi="Times New Roman" w:cs="Times New Roman"/>
        </w:rPr>
        <w:t>Therefore, even though S450 has the largest total in terms of alloying addition cast its individual contributions are lower than S355, resulting in this grade producing more additional CO</w:t>
      </w:r>
      <w:r w:rsidR="00866443" w:rsidRPr="000906E1">
        <w:rPr>
          <w:rFonts w:ascii="Times New Roman" w:eastAsia="Calibri" w:hAnsi="Times New Roman" w:cs="Times New Roman"/>
          <w:vertAlign w:val="subscript"/>
        </w:rPr>
        <w:t>2</w:t>
      </w:r>
      <w:r w:rsidR="00866443" w:rsidRPr="000906E1">
        <w:rPr>
          <w:rFonts w:ascii="Times New Roman" w:eastAsia="Calibri" w:hAnsi="Times New Roman" w:cs="Times New Roman"/>
        </w:rPr>
        <w:t>.</w:t>
      </w:r>
      <w:r w:rsidR="004C419E" w:rsidRPr="000906E1">
        <w:rPr>
          <w:rFonts w:ascii="Times New Roman" w:eastAsia="Calibri" w:hAnsi="Times New Roman" w:cs="Times New Roman"/>
        </w:rPr>
        <w:t xml:space="preserve"> </w:t>
      </w:r>
    </w:p>
    <w:p w:rsidR="005354AA" w:rsidRPr="000906E1" w:rsidRDefault="004C419E" w:rsidP="005354AA">
      <w:pPr>
        <w:spacing w:after="0" w:line="360" w:lineRule="auto"/>
        <w:ind w:firstLine="720"/>
        <w:jc w:val="both"/>
        <w:rPr>
          <w:rFonts w:ascii="Times New Roman" w:eastAsia="Calibri" w:hAnsi="Times New Roman" w:cs="Times New Roman"/>
        </w:rPr>
      </w:pPr>
      <w:r w:rsidRPr="000906E1">
        <w:rPr>
          <w:rFonts w:ascii="Times New Roman" w:eastAsia="Calibri" w:hAnsi="Times New Roman" w:cs="Times New Roman"/>
        </w:rPr>
        <w:t>With regards to the XF400 steel grade, the results were comparable against S390 steel grade. Although XF400 had the greater alloying addition cast as well as largest individual contribution from medium Fe-Mn (i.e.</w:t>
      </w:r>
      <w:r w:rsidR="00ED0537" w:rsidRPr="000906E1">
        <w:rPr>
          <w:rFonts w:ascii="Times New Roman" w:eastAsia="Calibri" w:hAnsi="Times New Roman" w:cs="Times New Roman"/>
        </w:rPr>
        <w:t xml:space="preserve"> 13% more), S390 had slightly more aluminium (16% more) and a significant contribution from Fe-Si resulting in XF400 producing the lowest additional CO</w:t>
      </w:r>
      <w:r w:rsidR="00ED0537" w:rsidRPr="000906E1">
        <w:rPr>
          <w:rFonts w:ascii="Times New Roman" w:eastAsia="Calibri" w:hAnsi="Times New Roman" w:cs="Times New Roman"/>
          <w:vertAlign w:val="subscript"/>
        </w:rPr>
        <w:t>2</w:t>
      </w:r>
      <w:r w:rsidR="00ED0537" w:rsidRPr="000906E1">
        <w:rPr>
          <w:rFonts w:ascii="Times New Roman" w:eastAsia="Calibri" w:hAnsi="Times New Roman" w:cs="Times New Roman"/>
        </w:rPr>
        <w:t xml:space="preserve"> amount from alloying additions. A summary of the analysis of the correlation between alloying addition cast and additional CO</w:t>
      </w:r>
      <w:r w:rsidR="00ED0537" w:rsidRPr="000906E1">
        <w:rPr>
          <w:rFonts w:ascii="Times New Roman" w:eastAsia="Calibri" w:hAnsi="Times New Roman" w:cs="Times New Roman"/>
          <w:vertAlign w:val="subscript"/>
        </w:rPr>
        <w:t>2</w:t>
      </w:r>
      <w:r w:rsidR="00ED0537" w:rsidRPr="000906E1">
        <w:rPr>
          <w:rFonts w:ascii="Times New Roman" w:eastAsia="Calibri" w:hAnsi="Times New Roman" w:cs="Times New Roman"/>
        </w:rPr>
        <w:t xml:space="preserve"> due to alloying additions is displayed in the table below.</w:t>
      </w:r>
    </w:p>
    <w:p w:rsidR="00F53D05" w:rsidRPr="000906E1" w:rsidRDefault="00ED0537" w:rsidP="004D091E">
      <w:pPr>
        <w:pStyle w:val="Caption"/>
        <w:spacing w:line="360" w:lineRule="auto"/>
        <w:jc w:val="both"/>
        <w:rPr>
          <w:rFonts w:ascii="Times New Roman" w:eastAsia="Calibri" w:hAnsi="Times New Roman" w:cs="Times New Roman"/>
          <w:i w:val="0"/>
          <w:color w:val="auto"/>
          <w:sz w:val="22"/>
        </w:rPr>
      </w:pPr>
      <w:bookmarkStart w:id="209" w:name="_Toc495852709"/>
      <w:r w:rsidRPr="000906E1">
        <w:rPr>
          <w:rFonts w:ascii="Times New Roman" w:hAnsi="Times New Roman" w:cs="Times New Roman"/>
          <w:i w:val="0"/>
          <w:color w:val="auto"/>
          <w:sz w:val="22"/>
        </w:rPr>
        <w:t xml:space="preserve">Table </w:t>
      </w:r>
      <w:r w:rsidRPr="000906E1">
        <w:rPr>
          <w:rFonts w:ascii="Times New Roman" w:hAnsi="Times New Roman" w:cs="Times New Roman"/>
          <w:i w:val="0"/>
          <w:color w:val="auto"/>
          <w:sz w:val="22"/>
        </w:rPr>
        <w:fldChar w:fldCharType="begin"/>
      </w:r>
      <w:r w:rsidRPr="000906E1">
        <w:rPr>
          <w:rFonts w:ascii="Times New Roman" w:hAnsi="Times New Roman" w:cs="Times New Roman"/>
          <w:i w:val="0"/>
          <w:color w:val="auto"/>
          <w:sz w:val="22"/>
        </w:rPr>
        <w:instrText xml:space="preserve"> SEQ Table \* ARABIC </w:instrText>
      </w:r>
      <w:r w:rsidRPr="000906E1">
        <w:rPr>
          <w:rFonts w:ascii="Times New Roman" w:hAnsi="Times New Roman" w:cs="Times New Roman"/>
          <w:i w:val="0"/>
          <w:color w:val="auto"/>
          <w:sz w:val="22"/>
        </w:rPr>
        <w:fldChar w:fldCharType="separate"/>
      </w:r>
      <w:r w:rsidR="009F5483" w:rsidRPr="000906E1">
        <w:rPr>
          <w:rFonts w:ascii="Times New Roman" w:hAnsi="Times New Roman" w:cs="Times New Roman"/>
          <w:i w:val="0"/>
          <w:noProof/>
          <w:color w:val="auto"/>
          <w:sz w:val="22"/>
        </w:rPr>
        <w:t>31</w:t>
      </w:r>
      <w:r w:rsidRPr="000906E1">
        <w:rPr>
          <w:rFonts w:ascii="Times New Roman" w:hAnsi="Times New Roman" w:cs="Times New Roman"/>
          <w:i w:val="0"/>
          <w:color w:val="auto"/>
          <w:sz w:val="22"/>
        </w:rPr>
        <w:fldChar w:fldCharType="end"/>
      </w:r>
      <w:r w:rsidRPr="000906E1">
        <w:rPr>
          <w:rFonts w:ascii="Times New Roman" w:hAnsi="Times New Roman" w:cs="Times New Roman"/>
          <w:i w:val="0"/>
          <w:color w:val="auto"/>
          <w:sz w:val="22"/>
        </w:rPr>
        <w:t xml:space="preserve">. Summary of analysis of correlation between </w:t>
      </w:r>
      <w:r w:rsidRPr="000906E1">
        <w:rPr>
          <w:rFonts w:ascii="Times New Roman" w:eastAsia="Calibri" w:hAnsi="Times New Roman" w:cs="Times New Roman"/>
          <w:i w:val="0"/>
          <w:color w:val="auto"/>
          <w:sz w:val="22"/>
        </w:rPr>
        <w:t>alloying addition cast and additional CO</w:t>
      </w:r>
      <w:r w:rsidRPr="000906E1">
        <w:rPr>
          <w:rFonts w:ascii="Times New Roman" w:eastAsia="Calibri" w:hAnsi="Times New Roman" w:cs="Times New Roman"/>
          <w:i w:val="0"/>
          <w:color w:val="auto"/>
          <w:sz w:val="22"/>
          <w:vertAlign w:val="subscript"/>
        </w:rPr>
        <w:t>2</w:t>
      </w:r>
      <w:r w:rsidRPr="000906E1">
        <w:rPr>
          <w:rFonts w:ascii="Times New Roman" w:eastAsia="Calibri" w:hAnsi="Times New Roman" w:cs="Times New Roman"/>
          <w:i w:val="0"/>
          <w:color w:val="auto"/>
          <w:sz w:val="22"/>
        </w:rPr>
        <w:t xml:space="preserve"> due to alloying additions</w:t>
      </w:r>
      <w:r w:rsidR="00F53D05" w:rsidRPr="000906E1">
        <w:rPr>
          <w:rFonts w:ascii="Times New Roman" w:eastAsia="Calibri" w:hAnsi="Times New Roman" w:cs="Times New Roman"/>
          <w:i w:val="0"/>
          <w:color w:val="auto"/>
          <w:sz w:val="22"/>
        </w:rPr>
        <w:t>. Key Green = largest impact, Yellow = smallest impact.</w:t>
      </w:r>
      <w:bookmarkEnd w:id="209"/>
    </w:p>
    <w:tbl>
      <w:tblPr>
        <w:tblW w:w="8505" w:type="dxa"/>
        <w:tblInd w:w="-10" w:type="dxa"/>
        <w:tblLayout w:type="fixed"/>
        <w:tblLook w:val="04A0" w:firstRow="1" w:lastRow="0" w:firstColumn="1" w:lastColumn="0" w:noHBand="0" w:noVBand="1"/>
      </w:tblPr>
      <w:tblGrid>
        <w:gridCol w:w="960"/>
        <w:gridCol w:w="1592"/>
        <w:gridCol w:w="1701"/>
        <w:gridCol w:w="1417"/>
        <w:gridCol w:w="1418"/>
        <w:gridCol w:w="1417"/>
      </w:tblGrid>
      <w:tr w:rsidR="005D171C" w:rsidRPr="005D171C" w:rsidTr="005354AA">
        <w:trPr>
          <w:trHeight w:val="765"/>
        </w:trPr>
        <w:tc>
          <w:tcPr>
            <w:tcW w:w="9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Steel Grade</w:t>
            </w:r>
          </w:p>
        </w:tc>
        <w:tc>
          <w:tcPr>
            <w:tcW w:w="1592" w:type="dxa"/>
            <w:vMerge w:val="restart"/>
            <w:tcBorders>
              <w:top w:val="single" w:sz="8" w:space="0" w:color="auto"/>
              <w:left w:val="single" w:sz="8" w:space="0" w:color="auto"/>
              <w:bottom w:val="single" w:sz="8" w:space="0" w:color="000000"/>
              <w:right w:val="nil"/>
            </w:tcBorders>
            <w:shd w:val="clear" w:color="auto" w:fill="auto"/>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Alloying Addition added per cast (t)</w:t>
            </w:r>
          </w:p>
        </w:tc>
        <w:tc>
          <w:tcPr>
            <w:tcW w:w="1701" w:type="dxa"/>
            <w:vMerge w:val="restart"/>
            <w:tcBorders>
              <w:top w:val="single" w:sz="8" w:space="0" w:color="auto"/>
              <w:left w:val="single" w:sz="8" w:space="0" w:color="auto"/>
              <w:bottom w:val="single" w:sz="4" w:space="0" w:color="auto"/>
              <w:right w:val="single" w:sz="8" w:space="0" w:color="auto"/>
            </w:tcBorders>
            <w:shd w:val="clear" w:color="auto" w:fill="auto"/>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Individual Contribution - Medium Fe-Mn</w:t>
            </w:r>
          </w:p>
        </w:tc>
        <w:tc>
          <w:tcPr>
            <w:tcW w:w="1417" w:type="dxa"/>
            <w:vMerge w:val="restart"/>
            <w:tcBorders>
              <w:top w:val="single" w:sz="8" w:space="0" w:color="auto"/>
              <w:left w:val="single" w:sz="8" w:space="0" w:color="auto"/>
              <w:bottom w:val="single" w:sz="4" w:space="0" w:color="auto"/>
              <w:right w:val="single" w:sz="8" w:space="0" w:color="auto"/>
            </w:tcBorders>
            <w:shd w:val="clear" w:color="auto" w:fill="auto"/>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Individual Contribution - Total Mn</w:t>
            </w:r>
          </w:p>
        </w:tc>
        <w:tc>
          <w:tcPr>
            <w:tcW w:w="1418" w:type="dxa"/>
            <w:vMerge w:val="restart"/>
            <w:tcBorders>
              <w:top w:val="single" w:sz="8" w:space="0" w:color="auto"/>
              <w:left w:val="single" w:sz="8" w:space="0" w:color="auto"/>
              <w:bottom w:val="single" w:sz="4" w:space="0" w:color="auto"/>
              <w:right w:val="single" w:sz="8" w:space="0" w:color="auto"/>
            </w:tcBorders>
            <w:shd w:val="clear" w:color="auto" w:fill="auto"/>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Individual Contribution - Aluminium</w:t>
            </w:r>
          </w:p>
        </w:tc>
        <w:tc>
          <w:tcPr>
            <w:tcW w:w="1417" w:type="dxa"/>
            <w:vMerge w:val="restart"/>
            <w:tcBorders>
              <w:top w:val="single" w:sz="8" w:space="0" w:color="auto"/>
              <w:left w:val="nil"/>
              <w:bottom w:val="single" w:sz="8" w:space="0" w:color="000000"/>
              <w:right w:val="single" w:sz="8" w:space="0" w:color="auto"/>
            </w:tcBorders>
            <w:shd w:val="clear" w:color="auto" w:fill="auto"/>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Additional CO</w:t>
            </w:r>
            <w:r w:rsidRPr="005354AA">
              <w:rPr>
                <w:rFonts w:ascii="Times New Roman" w:eastAsia="Times New Roman" w:hAnsi="Times New Roman" w:cs="Times New Roman"/>
                <w:color w:val="000000"/>
                <w:vertAlign w:val="subscript"/>
              </w:rPr>
              <w:t>2</w:t>
            </w:r>
            <w:r w:rsidRPr="005354AA">
              <w:rPr>
                <w:rFonts w:ascii="Times New Roman" w:eastAsia="Times New Roman" w:hAnsi="Times New Roman" w:cs="Times New Roman"/>
                <w:color w:val="000000"/>
                <w:szCs w:val="20"/>
              </w:rPr>
              <w:t xml:space="preserve"> per kg due to Alloying Additions</w:t>
            </w:r>
          </w:p>
        </w:tc>
      </w:tr>
      <w:tr w:rsidR="005D171C" w:rsidRPr="005D171C" w:rsidTr="005354AA">
        <w:trPr>
          <w:trHeight w:val="45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5D171C" w:rsidRPr="005354AA" w:rsidRDefault="005D171C" w:rsidP="005D171C">
            <w:pPr>
              <w:spacing w:after="0" w:line="240" w:lineRule="auto"/>
              <w:rPr>
                <w:rFonts w:ascii="Times New Roman" w:eastAsia="Times New Roman" w:hAnsi="Times New Roman" w:cs="Times New Roman"/>
                <w:color w:val="000000"/>
                <w:szCs w:val="20"/>
              </w:rPr>
            </w:pPr>
          </w:p>
        </w:tc>
        <w:tc>
          <w:tcPr>
            <w:tcW w:w="1592" w:type="dxa"/>
            <w:vMerge/>
            <w:tcBorders>
              <w:top w:val="single" w:sz="8" w:space="0" w:color="auto"/>
              <w:left w:val="single" w:sz="8" w:space="0" w:color="auto"/>
              <w:bottom w:val="single" w:sz="8" w:space="0" w:color="000000"/>
              <w:right w:val="nil"/>
            </w:tcBorders>
            <w:vAlign w:val="center"/>
            <w:hideMark/>
          </w:tcPr>
          <w:p w:rsidR="005D171C" w:rsidRPr="005354AA" w:rsidRDefault="005D171C" w:rsidP="005D171C">
            <w:pPr>
              <w:spacing w:after="0" w:line="240" w:lineRule="auto"/>
              <w:rPr>
                <w:rFonts w:ascii="Times New Roman" w:eastAsia="Times New Roman" w:hAnsi="Times New Roman" w:cs="Times New Roman"/>
                <w:color w:val="000000"/>
                <w:szCs w:val="20"/>
              </w:rPr>
            </w:pPr>
          </w:p>
        </w:tc>
        <w:tc>
          <w:tcPr>
            <w:tcW w:w="1701" w:type="dxa"/>
            <w:vMerge/>
            <w:tcBorders>
              <w:top w:val="single" w:sz="8" w:space="0" w:color="auto"/>
              <w:left w:val="single" w:sz="8" w:space="0" w:color="auto"/>
              <w:bottom w:val="single" w:sz="4" w:space="0" w:color="auto"/>
              <w:right w:val="single" w:sz="8" w:space="0" w:color="auto"/>
            </w:tcBorders>
            <w:vAlign w:val="center"/>
            <w:hideMark/>
          </w:tcPr>
          <w:p w:rsidR="005D171C" w:rsidRPr="005354AA" w:rsidRDefault="005D171C" w:rsidP="005D171C">
            <w:pPr>
              <w:spacing w:after="0" w:line="240" w:lineRule="auto"/>
              <w:rPr>
                <w:rFonts w:ascii="Times New Roman" w:eastAsia="Times New Roman" w:hAnsi="Times New Roman" w:cs="Times New Roman"/>
                <w:color w:val="000000"/>
                <w:szCs w:val="20"/>
              </w:rPr>
            </w:pPr>
          </w:p>
        </w:tc>
        <w:tc>
          <w:tcPr>
            <w:tcW w:w="1417" w:type="dxa"/>
            <w:vMerge/>
            <w:tcBorders>
              <w:top w:val="single" w:sz="8" w:space="0" w:color="auto"/>
              <w:left w:val="single" w:sz="8" w:space="0" w:color="auto"/>
              <w:bottom w:val="single" w:sz="4" w:space="0" w:color="auto"/>
              <w:right w:val="single" w:sz="8" w:space="0" w:color="auto"/>
            </w:tcBorders>
            <w:vAlign w:val="center"/>
            <w:hideMark/>
          </w:tcPr>
          <w:p w:rsidR="005D171C" w:rsidRPr="005354AA" w:rsidRDefault="005D171C" w:rsidP="005D171C">
            <w:pPr>
              <w:spacing w:after="0" w:line="240" w:lineRule="auto"/>
              <w:rPr>
                <w:rFonts w:ascii="Times New Roman" w:eastAsia="Times New Roman" w:hAnsi="Times New Roman" w:cs="Times New Roman"/>
                <w:color w:val="000000"/>
                <w:szCs w:val="20"/>
              </w:rPr>
            </w:pPr>
          </w:p>
        </w:tc>
        <w:tc>
          <w:tcPr>
            <w:tcW w:w="1418" w:type="dxa"/>
            <w:vMerge/>
            <w:tcBorders>
              <w:top w:val="single" w:sz="8" w:space="0" w:color="auto"/>
              <w:left w:val="single" w:sz="8" w:space="0" w:color="auto"/>
              <w:bottom w:val="single" w:sz="4" w:space="0" w:color="auto"/>
              <w:right w:val="single" w:sz="8" w:space="0" w:color="auto"/>
            </w:tcBorders>
            <w:vAlign w:val="center"/>
            <w:hideMark/>
          </w:tcPr>
          <w:p w:rsidR="005D171C" w:rsidRPr="005354AA" w:rsidRDefault="005D171C" w:rsidP="005D171C">
            <w:pPr>
              <w:spacing w:after="0" w:line="240" w:lineRule="auto"/>
              <w:rPr>
                <w:rFonts w:ascii="Times New Roman" w:eastAsia="Times New Roman" w:hAnsi="Times New Roman" w:cs="Times New Roman"/>
                <w:color w:val="000000"/>
                <w:szCs w:val="20"/>
              </w:rPr>
            </w:pPr>
          </w:p>
        </w:tc>
        <w:tc>
          <w:tcPr>
            <w:tcW w:w="1417" w:type="dxa"/>
            <w:vMerge/>
            <w:tcBorders>
              <w:top w:val="single" w:sz="8" w:space="0" w:color="auto"/>
              <w:left w:val="nil"/>
              <w:bottom w:val="single" w:sz="8" w:space="0" w:color="000000"/>
              <w:right w:val="single" w:sz="8" w:space="0" w:color="auto"/>
            </w:tcBorders>
            <w:vAlign w:val="center"/>
            <w:hideMark/>
          </w:tcPr>
          <w:p w:rsidR="005D171C" w:rsidRPr="005354AA" w:rsidRDefault="005D171C" w:rsidP="005D171C">
            <w:pPr>
              <w:spacing w:after="0" w:line="240" w:lineRule="auto"/>
              <w:rPr>
                <w:rFonts w:ascii="Times New Roman" w:eastAsia="Times New Roman" w:hAnsi="Times New Roman" w:cs="Times New Roman"/>
                <w:color w:val="000000"/>
                <w:szCs w:val="20"/>
              </w:rPr>
            </w:pPr>
          </w:p>
        </w:tc>
      </w:tr>
      <w:tr w:rsidR="005D171C" w:rsidRPr="005D171C" w:rsidTr="005354AA">
        <w:trPr>
          <w:trHeight w:val="45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5D171C" w:rsidRPr="005354AA" w:rsidRDefault="005D171C" w:rsidP="005D171C">
            <w:pPr>
              <w:spacing w:after="0" w:line="240" w:lineRule="auto"/>
              <w:rPr>
                <w:rFonts w:ascii="Times New Roman" w:eastAsia="Times New Roman" w:hAnsi="Times New Roman" w:cs="Times New Roman"/>
                <w:color w:val="000000"/>
                <w:szCs w:val="20"/>
              </w:rPr>
            </w:pPr>
          </w:p>
        </w:tc>
        <w:tc>
          <w:tcPr>
            <w:tcW w:w="1592" w:type="dxa"/>
            <w:vMerge/>
            <w:tcBorders>
              <w:top w:val="single" w:sz="8" w:space="0" w:color="auto"/>
              <w:left w:val="single" w:sz="8" w:space="0" w:color="auto"/>
              <w:bottom w:val="single" w:sz="8" w:space="0" w:color="000000"/>
              <w:right w:val="nil"/>
            </w:tcBorders>
            <w:vAlign w:val="center"/>
            <w:hideMark/>
          </w:tcPr>
          <w:p w:rsidR="005D171C" w:rsidRPr="005354AA" w:rsidRDefault="005D171C" w:rsidP="005D171C">
            <w:pPr>
              <w:spacing w:after="0" w:line="240" w:lineRule="auto"/>
              <w:rPr>
                <w:rFonts w:ascii="Times New Roman" w:eastAsia="Times New Roman" w:hAnsi="Times New Roman" w:cs="Times New Roman"/>
                <w:color w:val="000000"/>
                <w:szCs w:val="20"/>
              </w:rPr>
            </w:pPr>
          </w:p>
        </w:tc>
        <w:tc>
          <w:tcPr>
            <w:tcW w:w="1701" w:type="dxa"/>
            <w:vMerge/>
            <w:tcBorders>
              <w:top w:val="single" w:sz="8" w:space="0" w:color="auto"/>
              <w:left w:val="single" w:sz="8" w:space="0" w:color="auto"/>
              <w:bottom w:val="single" w:sz="4" w:space="0" w:color="auto"/>
              <w:right w:val="single" w:sz="8" w:space="0" w:color="auto"/>
            </w:tcBorders>
            <w:vAlign w:val="center"/>
            <w:hideMark/>
          </w:tcPr>
          <w:p w:rsidR="005D171C" w:rsidRPr="005354AA" w:rsidRDefault="005D171C" w:rsidP="005D171C">
            <w:pPr>
              <w:spacing w:after="0" w:line="240" w:lineRule="auto"/>
              <w:rPr>
                <w:rFonts w:ascii="Times New Roman" w:eastAsia="Times New Roman" w:hAnsi="Times New Roman" w:cs="Times New Roman"/>
                <w:color w:val="000000"/>
                <w:szCs w:val="20"/>
              </w:rPr>
            </w:pPr>
          </w:p>
        </w:tc>
        <w:tc>
          <w:tcPr>
            <w:tcW w:w="1417" w:type="dxa"/>
            <w:vMerge/>
            <w:tcBorders>
              <w:top w:val="single" w:sz="8" w:space="0" w:color="auto"/>
              <w:left w:val="single" w:sz="8" w:space="0" w:color="auto"/>
              <w:bottom w:val="single" w:sz="4" w:space="0" w:color="auto"/>
              <w:right w:val="single" w:sz="8" w:space="0" w:color="auto"/>
            </w:tcBorders>
            <w:vAlign w:val="center"/>
            <w:hideMark/>
          </w:tcPr>
          <w:p w:rsidR="005D171C" w:rsidRPr="005354AA" w:rsidRDefault="005D171C" w:rsidP="005D171C">
            <w:pPr>
              <w:spacing w:after="0" w:line="240" w:lineRule="auto"/>
              <w:rPr>
                <w:rFonts w:ascii="Times New Roman" w:eastAsia="Times New Roman" w:hAnsi="Times New Roman" w:cs="Times New Roman"/>
                <w:color w:val="000000"/>
                <w:szCs w:val="20"/>
              </w:rPr>
            </w:pPr>
          </w:p>
        </w:tc>
        <w:tc>
          <w:tcPr>
            <w:tcW w:w="1418" w:type="dxa"/>
            <w:vMerge/>
            <w:tcBorders>
              <w:top w:val="single" w:sz="8" w:space="0" w:color="auto"/>
              <w:left w:val="single" w:sz="8" w:space="0" w:color="auto"/>
              <w:bottom w:val="single" w:sz="4" w:space="0" w:color="auto"/>
              <w:right w:val="single" w:sz="8" w:space="0" w:color="auto"/>
            </w:tcBorders>
            <w:vAlign w:val="center"/>
            <w:hideMark/>
          </w:tcPr>
          <w:p w:rsidR="005D171C" w:rsidRPr="005354AA" w:rsidRDefault="005D171C" w:rsidP="005D171C">
            <w:pPr>
              <w:spacing w:after="0" w:line="240" w:lineRule="auto"/>
              <w:rPr>
                <w:rFonts w:ascii="Times New Roman" w:eastAsia="Times New Roman" w:hAnsi="Times New Roman" w:cs="Times New Roman"/>
                <w:color w:val="000000"/>
                <w:szCs w:val="20"/>
              </w:rPr>
            </w:pPr>
          </w:p>
        </w:tc>
        <w:tc>
          <w:tcPr>
            <w:tcW w:w="1417" w:type="dxa"/>
            <w:vMerge/>
            <w:tcBorders>
              <w:top w:val="single" w:sz="8" w:space="0" w:color="auto"/>
              <w:left w:val="nil"/>
              <w:bottom w:val="single" w:sz="8" w:space="0" w:color="000000"/>
              <w:right w:val="single" w:sz="8" w:space="0" w:color="auto"/>
            </w:tcBorders>
            <w:vAlign w:val="center"/>
            <w:hideMark/>
          </w:tcPr>
          <w:p w:rsidR="005D171C" w:rsidRPr="005354AA" w:rsidRDefault="005D171C" w:rsidP="005D171C">
            <w:pPr>
              <w:spacing w:after="0" w:line="240" w:lineRule="auto"/>
              <w:rPr>
                <w:rFonts w:ascii="Times New Roman" w:eastAsia="Times New Roman" w:hAnsi="Times New Roman" w:cs="Times New Roman"/>
                <w:color w:val="000000"/>
                <w:szCs w:val="20"/>
              </w:rPr>
            </w:pPr>
          </w:p>
        </w:tc>
      </w:tr>
      <w:tr w:rsidR="005D171C" w:rsidRPr="005D171C" w:rsidTr="005354AA">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S450</w:t>
            </w:r>
          </w:p>
        </w:tc>
        <w:tc>
          <w:tcPr>
            <w:tcW w:w="1592" w:type="dxa"/>
            <w:tcBorders>
              <w:top w:val="nil"/>
              <w:left w:val="nil"/>
              <w:bottom w:val="single" w:sz="8" w:space="0" w:color="auto"/>
              <w:right w:val="nil"/>
            </w:tcBorders>
            <w:shd w:val="clear" w:color="000000" w:fill="FFFF00"/>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6.58</w:t>
            </w:r>
          </w:p>
        </w:tc>
        <w:tc>
          <w:tcPr>
            <w:tcW w:w="1701" w:type="dxa"/>
            <w:tcBorders>
              <w:top w:val="nil"/>
              <w:left w:val="single" w:sz="8" w:space="0" w:color="auto"/>
              <w:bottom w:val="single" w:sz="4" w:space="0" w:color="auto"/>
              <w:right w:val="single" w:sz="8" w:space="0" w:color="auto"/>
            </w:tcBorders>
            <w:shd w:val="clear" w:color="000000" w:fill="FFFFFF"/>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4.25</w:t>
            </w:r>
          </w:p>
        </w:tc>
        <w:tc>
          <w:tcPr>
            <w:tcW w:w="1417" w:type="dxa"/>
            <w:tcBorders>
              <w:top w:val="nil"/>
              <w:left w:val="nil"/>
              <w:bottom w:val="single" w:sz="4" w:space="0" w:color="auto"/>
              <w:right w:val="single" w:sz="8" w:space="0" w:color="auto"/>
            </w:tcBorders>
            <w:shd w:val="clear" w:color="000000" w:fill="FFFFFF"/>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4.875</w:t>
            </w:r>
          </w:p>
        </w:tc>
        <w:tc>
          <w:tcPr>
            <w:tcW w:w="1418" w:type="dxa"/>
            <w:tcBorders>
              <w:top w:val="nil"/>
              <w:left w:val="nil"/>
              <w:bottom w:val="single" w:sz="4" w:space="0" w:color="auto"/>
              <w:right w:val="single" w:sz="8" w:space="0" w:color="auto"/>
            </w:tcBorders>
            <w:shd w:val="clear" w:color="000000" w:fill="FFFFFF"/>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0.6</w:t>
            </w:r>
          </w:p>
        </w:tc>
        <w:tc>
          <w:tcPr>
            <w:tcW w:w="1417" w:type="dxa"/>
            <w:tcBorders>
              <w:top w:val="nil"/>
              <w:left w:val="nil"/>
              <w:bottom w:val="single" w:sz="8" w:space="0" w:color="auto"/>
              <w:right w:val="single" w:sz="8" w:space="0" w:color="auto"/>
            </w:tcBorders>
            <w:shd w:val="clear" w:color="auto" w:fill="auto"/>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0.0711</w:t>
            </w:r>
          </w:p>
        </w:tc>
      </w:tr>
      <w:tr w:rsidR="005D171C" w:rsidRPr="005D171C" w:rsidTr="005354AA">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S390</w:t>
            </w:r>
          </w:p>
        </w:tc>
        <w:tc>
          <w:tcPr>
            <w:tcW w:w="1592" w:type="dxa"/>
            <w:tcBorders>
              <w:top w:val="nil"/>
              <w:left w:val="nil"/>
              <w:bottom w:val="single" w:sz="8" w:space="0" w:color="auto"/>
              <w:right w:val="nil"/>
            </w:tcBorders>
            <w:shd w:val="clear" w:color="000000" w:fill="00B050"/>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3.38</w:t>
            </w:r>
          </w:p>
        </w:tc>
        <w:tc>
          <w:tcPr>
            <w:tcW w:w="1701" w:type="dxa"/>
            <w:tcBorders>
              <w:top w:val="nil"/>
              <w:left w:val="single" w:sz="8" w:space="0" w:color="auto"/>
              <w:bottom w:val="single" w:sz="4" w:space="0" w:color="auto"/>
              <w:right w:val="single" w:sz="8" w:space="0" w:color="auto"/>
            </w:tcBorders>
            <w:shd w:val="clear" w:color="000000" w:fill="FFFFFF"/>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2.35</w:t>
            </w:r>
          </w:p>
        </w:tc>
        <w:tc>
          <w:tcPr>
            <w:tcW w:w="1417" w:type="dxa"/>
            <w:tcBorders>
              <w:top w:val="nil"/>
              <w:left w:val="nil"/>
              <w:bottom w:val="single" w:sz="4" w:space="0" w:color="auto"/>
              <w:right w:val="single" w:sz="8" w:space="0" w:color="auto"/>
            </w:tcBorders>
            <w:shd w:val="clear" w:color="000000" w:fill="FFFFFF"/>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2.45</w:t>
            </w:r>
          </w:p>
        </w:tc>
        <w:tc>
          <w:tcPr>
            <w:tcW w:w="1418" w:type="dxa"/>
            <w:tcBorders>
              <w:top w:val="nil"/>
              <w:left w:val="nil"/>
              <w:bottom w:val="single" w:sz="4" w:space="0" w:color="auto"/>
              <w:right w:val="single" w:sz="8" w:space="0" w:color="auto"/>
            </w:tcBorders>
            <w:shd w:val="clear" w:color="000000" w:fill="FFFFFF"/>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0.7</w:t>
            </w:r>
          </w:p>
        </w:tc>
        <w:tc>
          <w:tcPr>
            <w:tcW w:w="1417" w:type="dxa"/>
            <w:tcBorders>
              <w:top w:val="nil"/>
              <w:left w:val="nil"/>
              <w:bottom w:val="single" w:sz="8" w:space="0" w:color="auto"/>
              <w:right w:val="single" w:sz="8" w:space="0" w:color="auto"/>
            </w:tcBorders>
            <w:shd w:val="clear" w:color="auto" w:fill="auto"/>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0.0514</w:t>
            </w:r>
          </w:p>
        </w:tc>
      </w:tr>
      <w:tr w:rsidR="005D171C" w:rsidRPr="005D171C" w:rsidTr="005354AA">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S355</w:t>
            </w:r>
          </w:p>
        </w:tc>
        <w:tc>
          <w:tcPr>
            <w:tcW w:w="1592" w:type="dxa"/>
            <w:tcBorders>
              <w:top w:val="nil"/>
              <w:left w:val="nil"/>
              <w:bottom w:val="single" w:sz="8" w:space="0" w:color="auto"/>
              <w:right w:val="nil"/>
            </w:tcBorders>
            <w:shd w:val="clear" w:color="000000" w:fill="FFFFFF"/>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5.66</w:t>
            </w:r>
          </w:p>
        </w:tc>
        <w:tc>
          <w:tcPr>
            <w:tcW w:w="1701" w:type="dxa"/>
            <w:tcBorders>
              <w:top w:val="nil"/>
              <w:left w:val="single" w:sz="8" w:space="0" w:color="auto"/>
              <w:bottom w:val="single" w:sz="4" w:space="0" w:color="auto"/>
              <w:right w:val="single" w:sz="8" w:space="0" w:color="auto"/>
            </w:tcBorders>
            <w:shd w:val="clear" w:color="000000" w:fill="FFFFFF"/>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4.7</w:t>
            </w:r>
          </w:p>
        </w:tc>
        <w:tc>
          <w:tcPr>
            <w:tcW w:w="1417" w:type="dxa"/>
            <w:tcBorders>
              <w:top w:val="nil"/>
              <w:left w:val="nil"/>
              <w:bottom w:val="single" w:sz="4" w:space="0" w:color="auto"/>
              <w:right w:val="single" w:sz="8" w:space="0" w:color="auto"/>
            </w:tcBorders>
            <w:shd w:val="clear" w:color="000000" w:fill="FFFFFF"/>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4.8</w:t>
            </w:r>
          </w:p>
        </w:tc>
        <w:tc>
          <w:tcPr>
            <w:tcW w:w="1418" w:type="dxa"/>
            <w:tcBorders>
              <w:top w:val="nil"/>
              <w:left w:val="nil"/>
              <w:bottom w:val="single" w:sz="4" w:space="0" w:color="auto"/>
              <w:right w:val="single" w:sz="8" w:space="0" w:color="auto"/>
            </w:tcBorders>
            <w:shd w:val="clear" w:color="000000" w:fill="FFFFFF"/>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0.7</w:t>
            </w:r>
          </w:p>
        </w:tc>
        <w:tc>
          <w:tcPr>
            <w:tcW w:w="1417" w:type="dxa"/>
            <w:tcBorders>
              <w:top w:val="nil"/>
              <w:left w:val="nil"/>
              <w:bottom w:val="single" w:sz="8" w:space="0" w:color="auto"/>
              <w:right w:val="single" w:sz="8" w:space="0" w:color="auto"/>
            </w:tcBorders>
            <w:shd w:val="clear" w:color="000000" w:fill="FFFF00"/>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0.0804</w:t>
            </w:r>
          </w:p>
        </w:tc>
      </w:tr>
      <w:tr w:rsidR="005D171C" w:rsidRPr="005D171C" w:rsidTr="005354AA">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XF400</w:t>
            </w:r>
          </w:p>
        </w:tc>
        <w:tc>
          <w:tcPr>
            <w:tcW w:w="1592" w:type="dxa"/>
            <w:tcBorders>
              <w:top w:val="nil"/>
              <w:left w:val="nil"/>
              <w:bottom w:val="single" w:sz="8" w:space="0" w:color="auto"/>
              <w:right w:val="nil"/>
            </w:tcBorders>
            <w:shd w:val="clear" w:color="000000" w:fill="FFFFFF"/>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4.18</w:t>
            </w:r>
          </w:p>
        </w:tc>
        <w:tc>
          <w:tcPr>
            <w:tcW w:w="1701" w:type="dxa"/>
            <w:tcBorders>
              <w:top w:val="nil"/>
              <w:left w:val="single" w:sz="8" w:space="0" w:color="auto"/>
              <w:bottom w:val="single" w:sz="8" w:space="0" w:color="auto"/>
              <w:right w:val="single" w:sz="8" w:space="0" w:color="auto"/>
            </w:tcBorders>
            <w:shd w:val="clear" w:color="000000" w:fill="FFFFFF"/>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2.67</w:t>
            </w:r>
          </w:p>
        </w:tc>
        <w:tc>
          <w:tcPr>
            <w:tcW w:w="1417" w:type="dxa"/>
            <w:tcBorders>
              <w:top w:val="nil"/>
              <w:left w:val="nil"/>
              <w:bottom w:val="single" w:sz="8" w:space="0" w:color="auto"/>
              <w:right w:val="single" w:sz="8" w:space="0" w:color="auto"/>
            </w:tcBorders>
            <w:shd w:val="clear" w:color="000000" w:fill="FFFFFF"/>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2.725</w:t>
            </w:r>
          </w:p>
        </w:tc>
        <w:tc>
          <w:tcPr>
            <w:tcW w:w="1418" w:type="dxa"/>
            <w:tcBorders>
              <w:top w:val="nil"/>
              <w:left w:val="nil"/>
              <w:bottom w:val="single" w:sz="8" w:space="0" w:color="auto"/>
              <w:right w:val="single" w:sz="8" w:space="0" w:color="auto"/>
            </w:tcBorders>
            <w:shd w:val="clear" w:color="000000" w:fill="FFFFFF"/>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0.6</w:t>
            </w:r>
          </w:p>
        </w:tc>
        <w:tc>
          <w:tcPr>
            <w:tcW w:w="1417" w:type="dxa"/>
            <w:tcBorders>
              <w:top w:val="nil"/>
              <w:left w:val="nil"/>
              <w:bottom w:val="single" w:sz="8" w:space="0" w:color="auto"/>
              <w:right w:val="single" w:sz="8" w:space="0" w:color="auto"/>
            </w:tcBorders>
            <w:shd w:val="clear" w:color="000000" w:fill="00B050"/>
            <w:noWrap/>
            <w:vAlign w:val="center"/>
            <w:hideMark/>
          </w:tcPr>
          <w:p w:rsidR="005D171C" w:rsidRPr="005354AA" w:rsidRDefault="005D171C" w:rsidP="005D171C">
            <w:pPr>
              <w:spacing w:after="0" w:line="240" w:lineRule="auto"/>
              <w:jc w:val="center"/>
              <w:rPr>
                <w:rFonts w:ascii="Times New Roman" w:eastAsia="Times New Roman" w:hAnsi="Times New Roman" w:cs="Times New Roman"/>
                <w:color w:val="000000"/>
                <w:szCs w:val="20"/>
              </w:rPr>
            </w:pPr>
            <w:r w:rsidRPr="005354AA">
              <w:rPr>
                <w:rFonts w:ascii="Times New Roman" w:eastAsia="Times New Roman" w:hAnsi="Times New Roman" w:cs="Times New Roman"/>
                <w:color w:val="000000"/>
                <w:szCs w:val="20"/>
              </w:rPr>
              <w:t>0.0471</w:t>
            </w:r>
          </w:p>
        </w:tc>
      </w:tr>
    </w:tbl>
    <w:p w:rsidR="00A30BF4" w:rsidRPr="00785EBA" w:rsidRDefault="00A30BF4" w:rsidP="00A30BF4">
      <w:pPr>
        <w:rPr>
          <w:rFonts w:ascii="Times New Roman" w:eastAsia="Calibri" w:hAnsi="Times New Roman" w:cs="Times New Roman"/>
        </w:rPr>
      </w:pPr>
    </w:p>
    <w:p w:rsidR="00B42EF5" w:rsidRPr="00785EBA" w:rsidRDefault="00A30BF4" w:rsidP="00B42EF5">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In order to</w:t>
      </w:r>
      <w:r w:rsidR="004D091E">
        <w:rPr>
          <w:rFonts w:ascii="Times New Roman" w:eastAsia="Calibri" w:hAnsi="Times New Roman" w:cs="Times New Roman"/>
        </w:rPr>
        <w:t xml:space="preserve"> further</w:t>
      </w:r>
      <w:r w:rsidRPr="00785EBA">
        <w:rPr>
          <w:rFonts w:ascii="Times New Roman" w:eastAsia="Calibri" w:hAnsi="Times New Roman" w:cs="Times New Roman"/>
        </w:rPr>
        <w:t xml:space="preserve"> understand the above results, the three steel grades with the highest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xml:space="preserve"> i</w:t>
      </w:r>
      <w:r w:rsidR="00BD08F2" w:rsidRPr="00785EBA">
        <w:rPr>
          <w:rFonts w:ascii="Times New Roman" w:eastAsia="Calibri" w:hAnsi="Times New Roman" w:cs="Times New Roman"/>
        </w:rPr>
        <w:t>mpacts (</w:t>
      </w:r>
      <w:r w:rsidR="00B42EF5" w:rsidRPr="00785EBA">
        <w:rPr>
          <w:rFonts w:ascii="Times New Roman" w:eastAsia="Calibri" w:hAnsi="Times New Roman" w:cs="Times New Roman"/>
        </w:rPr>
        <w:t>Boron, DP800 and DP600</w:t>
      </w:r>
      <w:r w:rsidR="00BD08F2" w:rsidRPr="00785EBA">
        <w:rPr>
          <w:rFonts w:ascii="Times New Roman" w:eastAsia="Calibri" w:hAnsi="Times New Roman" w:cs="Times New Roman"/>
        </w:rPr>
        <w:t>)</w:t>
      </w:r>
      <w:r w:rsidR="00B42EF5" w:rsidRPr="00785EBA">
        <w:rPr>
          <w:rFonts w:ascii="Times New Roman" w:eastAsia="Calibri" w:hAnsi="Times New Roman" w:cs="Times New Roman"/>
        </w:rPr>
        <w:t xml:space="preserve"> were selected </w:t>
      </w:r>
      <w:r w:rsidR="00BD08F2" w:rsidRPr="00785EBA">
        <w:rPr>
          <w:rFonts w:ascii="Times New Roman" w:eastAsia="Calibri" w:hAnsi="Times New Roman" w:cs="Times New Roman"/>
        </w:rPr>
        <w:t>and a</w:t>
      </w:r>
      <w:r w:rsidRPr="00785EBA">
        <w:rPr>
          <w:rFonts w:ascii="Times New Roman" w:eastAsia="Calibri" w:hAnsi="Times New Roman" w:cs="Times New Roman"/>
        </w:rPr>
        <w:t xml:space="preserve"> breakdown of the individual contribution of the alloying additions conducted. </w:t>
      </w:r>
    </w:p>
    <w:p w:rsidR="00A30BF4" w:rsidRPr="00785EBA" w:rsidRDefault="00A30BF4" w:rsidP="00A30BF4">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In terms of boron, the steel grade make-up included ten different alloying additi</w:t>
      </w:r>
      <w:r w:rsidR="002851F4" w:rsidRPr="00785EBA">
        <w:rPr>
          <w:rFonts w:ascii="Times New Roman" w:eastAsia="Calibri" w:hAnsi="Times New Roman" w:cs="Times New Roman"/>
        </w:rPr>
        <w:t>ons with Silica-Manganese (36.72</w:t>
      </w:r>
      <w:r w:rsidRPr="00785EBA">
        <w:rPr>
          <w:rFonts w:ascii="Times New Roman" w:eastAsia="Calibri" w:hAnsi="Times New Roman" w:cs="Times New Roman"/>
        </w:rPr>
        <w:t>%) representing the largest individual contribution followed by</w:t>
      </w:r>
      <w:r w:rsidR="002851F4" w:rsidRPr="00785EBA">
        <w:rPr>
          <w:rFonts w:ascii="Times New Roman" w:eastAsia="Calibri" w:hAnsi="Times New Roman" w:cs="Times New Roman"/>
        </w:rPr>
        <w:t xml:space="preserve"> high carbon ferro chrome (17.98</w:t>
      </w:r>
      <w:r w:rsidRPr="00785EBA">
        <w:rPr>
          <w:rFonts w:ascii="Times New Roman" w:eastAsia="Calibri" w:hAnsi="Times New Roman" w:cs="Times New Roman"/>
        </w:rPr>
        <w:t>%) and hi</w:t>
      </w:r>
      <w:r w:rsidR="002851F4" w:rsidRPr="00785EBA">
        <w:rPr>
          <w:rFonts w:ascii="Times New Roman" w:eastAsia="Calibri" w:hAnsi="Times New Roman" w:cs="Times New Roman"/>
        </w:rPr>
        <w:t>gh carbon ferro-manganese (14.01</w:t>
      </w:r>
      <w:r w:rsidRPr="00785EBA">
        <w:rPr>
          <w:rFonts w:ascii="Times New Roman" w:eastAsia="Calibri" w:hAnsi="Times New Roman" w:cs="Times New Roman"/>
        </w:rPr>
        <w:t>%).</w:t>
      </w:r>
      <w:r w:rsidR="00B42EF5" w:rsidRPr="00785EBA">
        <w:rPr>
          <w:rFonts w:ascii="Times New Roman" w:eastAsia="Calibri" w:hAnsi="Times New Roman" w:cs="Times New Roman"/>
        </w:rPr>
        <w:t xml:space="preserve"> Further analysis revealed</w:t>
      </w:r>
      <w:r w:rsidRPr="00785EBA">
        <w:rPr>
          <w:rFonts w:ascii="Times New Roman" w:eastAsia="Calibri" w:hAnsi="Times New Roman" w:cs="Times New Roman"/>
        </w:rPr>
        <w:t xml:space="preserve"> even though ferro-boron (19</w:t>
      </w:r>
      <w:r w:rsidR="00BA77D9">
        <w:rPr>
          <w:rFonts w:ascii="Times New Roman" w:eastAsia="Calibri" w:hAnsi="Times New Roman" w:cs="Times New Roman"/>
        </w:rPr>
        <w:t>,</w:t>
      </w:r>
      <w:r w:rsidRPr="00785EBA">
        <w:rPr>
          <w:rFonts w:ascii="Times New Roman" w:eastAsia="Calibri" w:hAnsi="Times New Roman" w:cs="Times New Roman"/>
        </w:rPr>
        <w:t>870 kgCO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/kg) and ferro-silicon (11</w:t>
      </w:r>
      <w:r w:rsidR="00BA77D9">
        <w:rPr>
          <w:rFonts w:ascii="Times New Roman" w:eastAsia="Calibri" w:hAnsi="Times New Roman" w:cs="Times New Roman"/>
        </w:rPr>
        <w:t>,</w:t>
      </w:r>
      <w:r w:rsidRPr="00785EBA">
        <w:rPr>
          <w:rFonts w:ascii="Times New Roman" w:eastAsia="Calibri" w:hAnsi="Times New Roman" w:cs="Times New Roman"/>
        </w:rPr>
        <w:t>500 kgCO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xml:space="preserve">/kg) had a higher emission factor in </w:t>
      </w:r>
      <w:r w:rsidRPr="00785EBA">
        <w:rPr>
          <w:rFonts w:ascii="Times New Roman" w:eastAsia="Calibri" w:hAnsi="Times New Roman" w:cs="Times New Roman"/>
        </w:rPr>
        <w:lastRenderedPageBreak/>
        <w:t>comparable to silica-manganese (7</w:t>
      </w:r>
      <w:r w:rsidR="00BA77D9">
        <w:rPr>
          <w:rFonts w:ascii="Times New Roman" w:eastAsia="Calibri" w:hAnsi="Times New Roman" w:cs="Times New Roman"/>
        </w:rPr>
        <w:t>,</w:t>
      </w:r>
      <w:r w:rsidRPr="00785EBA">
        <w:rPr>
          <w:rFonts w:ascii="Times New Roman" w:eastAsia="Calibri" w:hAnsi="Times New Roman" w:cs="Times New Roman"/>
        </w:rPr>
        <w:t>173 kgCO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/kg). The alloying addition added in particular for ferro-boron (0.055t) was small compared to 2.5t alloying addition for silica-manganese, thus explaining why silica-manganese had a greater impact on an individual level for boron steel grade.</w:t>
      </w:r>
    </w:p>
    <w:p w:rsidR="00A30BF4" w:rsidRPr="00785EBA" w:rsidRDefault="00A30BF4" w:rsidP="005354AA">
      <w:pPr>
        <w:spacing w:line="360" w:lineRule="auto"/>
        <w:jc w:val="center"/>
        <w:rPr>
          <w:rFonts w:ascii="Times New Roman" w:eastAsia="Calibri" w:hAnsi="Times New Roman" w:cs="Times New Roman"/>
        </w:rPr>
      </w:pPr>
      <w:r w:rsidRPr="00785EBA">
        <w:rPr>
          <w:noProof/>
        </w:rPr>
        <w:drawing>
          <wp:inline distT="0" distB="0" distL="0" distR="0">
            <wp:extent cx="5949863" cy="2793304"/>
            <wp:effectExtent l="0" t="0" r="13335" b="7620"/>
            <wp:docPr id="476" name="Chart 4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A30BF4" w:rsidRPr="00785EBA" w:rsidRDefault="00A30BF4" w:rsidP="00CF2F2D">
      <w:pPr>
        <w:spacing w:line="360" w:lineRule="auto"/>
        <w:jc w:val="both"/>
        <w:rPr>
          <w:rFonts w:ascii="Times New Roman" w:eastAsia="Calibri" w:hAnsi="Times New Roman" w:cs="Times New Roman"/>
        </w:rPr>
      </w:pPr>
      <w:bookmarkStart w:id="210" w:name="_Ref468396393"/>
      <w:bookmarkStart w:id="211" w:name="_Toc495848387"/>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54</w:t>
      </w:r>
      <w:r w:rsidR="009A0ED7" w:rsidRPr="00785EBA">
        <w:rPr>
          <w:rFonts w:ascii="Times New Roman" w:hAnsi="Times New Roman" w:cs="Times New Roman"/>
        </w:rPr>
        <w:fldChar w:fldCharType="end"/>
      </w:r>
      <w:bookmarkEnd w:id="210"/>
      <w:r w:rsidRPr="00785EBA">
        <w:rPr>
          <w:rFonts w:ascii="Times New Roman" w:hAnsi="Times New Roman" w:cs="Times New Roman"/>
        </w:rPr>
        <w:t xml:space="preserve">. </w:t>
      </w:r>
      <w:r w:rsidRPr="00785EBA">
        <w:rPr>
          <w:rFonts w:ascii="Times New Roman" w:eastAsia="Calibri" w:hAnsi="Times New Roman" w:cs="Times New Roman"/>
        </w:rPr>
        <w:t>Breakdown of individual contribution of alloying additions for Boron steel grade.</w:t>
      </w:r>
      <w:bookmarkEnd w:id="211"/>
    </w:p>
    <w:p w:rsidR="00A30BF4" w:rsidRPr="00785EBA" w:rsidRDefault="00A30BF4" w:rsidP="003874CB">
      <w:pPr>
        <w:spacing w:line="360" w:lineRule="auto"/>
        <w:ind w:firstLine="720"/>
        <w:jc w:val="both"/>
        <w:rPr>
          <w:rFonts w:ascii="Times New Roman" w:eastAsia="Calibri" w:hAnsi="Times New Roman" w:cs="Times New Roman"/>
        </w:rPr>
      </w:pPr>
      <w:r w:rsidRPr="00785EBA">
        <w:rPr>
          <w:rFonts w:ascii="Times New Roman" w:eastAsia="Calibri" w:hAnsi="Times New Roman" w:cs="Times New Roman"/>
        </w:rPr>
        <w:t>For DP800, the steel grade was made up of nin</w:t>
      </w:r>
      <w:r w:rsidR="00DB5284" w:rsidRPr="00785EBA">
        <w:rPr>
          <w:rFonts w:ascii="Times New Roman" w:eastAsia="Calibri" w:hAnsi="Times New Roman" w:cs="Times New Roman"/>
        </w:rPr>
        <w:t xml:space="preserve">e different alloying additions. </w:t>
      </w:r>
      <w:r w:rsidR="00A6415F" w:rsidRPr="00785EBA">
        <w:fldChar w:fldCharType="begin"/>
      </w:r>
      <w:r w:rsidR="00A6415F" w:rsidRPr="00785EBA">
        <w:instrText xml:space="preserve"> REF _Ref474482738 \h  \* MERGEFORMAT </w:instrText>
      </w:r>
      <w:r w:rsidR="00A6415F" w:rsidRPr="00785EBA">
        <w:fldChar w:fldCharType="separate"/>
      </w:r>
      <w:r w:rsidR="009F5483" w:rsidRPr="00785EBA">
        <w:rPr>
          <w:rFonts w:ascii="Times New Roman" w:hAnsi="Times New Roman" w:cs="Times New Roman"/>
        </w:rPr>
        <w:t xml:space="preserve">Figure </w:t>
      </w:r>
      <w:r w:rsidR="009F5483">
        <w:rPr>
          <w:rFonts w:ascii="Times New Roman" w:hAnsi="Times New Roman" w:cs="Times New Roman"/>
          <w:noProof/>
        </w:rPr>
        <w:t>55</w:t>
      </w:r>
      <w:r w:rsidR="00A6415F" w:rsidRPr="00785EBA">
        <w:fldChar w:fldCharType="end"/>
      </w:r>
      <w:r w:rsidR="00F42734" w:rsidRPr="00785EBA">
        <w:rPr>
          <w:rFonts w:ascii="Times New Roman" w:eastAsia="Calibri" w:hAnsi="Times New Roman" w:cs="Times New Roman"/>
        </w:rPr>
        <w:t xml:space="preserve"> </w:t>
      </w:r>
      <w:r w:rsidRPr="00785EBA">
        <w:rPr>
          <w:rFonts w:ascii="Times New Roman" w:eastAsia="Calibri" w:hAnsi="Times New Roman" w:cs="Times New Roman"/>
        </w:rPr>
        <w:t>highlights, the primary contributor bei</w:t>
      </w:r>
      <w:r w:rsidR="002851F4" w:rsidRPr="00785EBA">
        <w:rPr>
          <w:rFonts w:ascii="Times New Roman" w:eastAsia="Calibri" w:hAnsi="Times New Roman" w:cs="Times New Roman"/>
        </w:rPr>
        <w:t>ng electrolytic manganese (63.83</w:t>
      </w:r>
      <w:r w:rsidRPr="00785EBA">
        <w:rPr>
          <w:rFonts w:ascii="Times New Roman" w:eastAsia="Calibri" w:hAnsi="Times New Roman" w:cs="Times New Roman"/>
        </w:rPr>
        <w:t>%) followed a distance second b</w:t>
      </w:r>
      <w:r w:rsidR="002851F4" w:rsidRPr="00785EBA">
        <w:rPr>
          <w:rFonts w:ascii="Times New Roman" w:eastAsia="Calibri" w:hAnsi="Times New Roman" w:cs="Times New Roman"/>
        </w:rPr>
        <w:t>y high carbon ferro chrome (18.56%) and ferro-silicon (7.77</w:t>
      </w:r>
      <w:r w:rsidRPr="00785EBA">
        <w:rPr>
          <w:rFonts w:ascii="Times New Roman" w:eastAsia="Calibri" w:hAnsi="Times New Roman" w:cs="Times New Roman"/>
        </w:rPr>
        <w:t>%) in third. In this</w:t>
      </w:r>
      <w:r w:rsidR="002851F4" w:rsidRPr="00785EBA">
        <w:rPr>
          <w:rFonts w:ascii="Times New Roman" w:eastAsia="Calibri" w:hAnsi="Times New Roman" w:cs="Times New Roman"/>
        </w:rPr>
        <w:t xml:space="preserve"> case, the results were</w:t>
      </w:r>
      <w:r w:rsidRPr="00785EBA">
        <w:rPr>
          <w:rFonts w:ascii="Times New Roman" w:eastAsia="Calibri" w:hAnsi="Times New Roman" w:cs="Times New Roman"/>
        </w:rPr>
        <w:t xml:space="preserve"> not surprising since electrolytic manganese made up approximately 43% of the total alloying addition amount with 5t and also had the highest emission factor (13</w:t>
      </w:r>
      <w:r w:rsidR="00BA77D9">
        <w:rPr>
          <w:rFonts w:ascii="Times New Roman" w:eastAsia="Calibri" w:hAnsi="Times New Roman" w:cs="Times New Roman"/>
        </w:rPr>
        <w:t>,</w:t>
      </w:r>
      <w:r w:rsidRPr="00785EBA">
        <w:rPr>
          <w:rFonts w:ascii="Times New Roman" w:eastAsia="Calibri" w:hAnsi="Times New Roman" w:cs="Times New Roman"/>
        </w:rPr>
        <w:t>700 kgCO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/kg) for any of the alloying additions.</w:t>
      </w:r>
    </w:p>
    <w:p w:rsidR="00A30BF4" w:rsidRPr="00785EBA" w:rsidRDefault="00A30BF4" w:rsidP="005354AA">
      <w:pPr>
        <w:spacing w:line="360" w:lineRule="auto"/>
        <w:jc w:val="center"/>
        <w:rPr>
          <w:rFonts w:ascii="Times New Roman" w:eastAsia="Calibri" w:hAnsi="Times New Roman" w:cs="Times New Roman"/>
        </w:rPr>
      </w:pPr>
      <w:r w:rsidRPr="00785EBA">
        <w:rPr>
          <w:noProof/>
        </w:rPr>
        <w:drawing>
          <wp:inline distT="0" distB="0" distL="0" distR="0">
            <wp:extent cx="5731510" cy="2597785"/>
            <wp:effectExtent l="0" t="0" r="2540" b="12065"/>
            <wp:docPr id="478" name="Chart 4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F42734" w:rsidRPr="00785EBA" w:rsidRDefault="00A30BF4" w:rsidP="003874CB">
      <w:pPr>
        <w:spacing w:line="360" w:lineRule="auto"/>
        <w:jc w:val="both"/>
        <w:rPr>
          <w:rFonts w:ascii="Times New Roman" w:eastAsia="Calibri" w:hAnsi="Times New Roman" w:cs="Times New Roman"/>
        </w:rPr>
      </w:pPr>
      <w:bookmarkStart w:id="212" w:name="_Ref474482738"/>
      <w:bookmarkStart w:id="213" w:name="_Toc495848388"/>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55</w:t>
      </w:r>
      <w:r w:rsidR="009A0ED7" w:rsidRPr="00785EBA">
        <w:rPr>
          <w:rFonts w:ascii="Times New Roman" w:hAnsi="Times New Roman" w:cs="Times New Roman"/>
        </w:rPr>
        <w:fldChar w:fldCharType="end"/>
      </w:r>
      <w:bookmarkEnd w:id="212"/>
      <w:r w:rsidRPr="00785EBA">
        <w:rPr>
          <w:rFonts w:ascii="Times New Roman" w:hAnsi="Times New Roman" w:cs="Times New Roman"/>
        </w:rPr>
        <w:t xml:space="preserve">. </w:t>
      </w:r>
      <w:r w:rsidRPr="00785EBA">
        <w:rPr>
          <w:rFonts w:ascii="Times New Roman" w:eastAsia="Calibri" w:hAnsi="Times New Roman" w:cs="Times New Roman"/>
        </w:rPr>
        <w:t>Breakdown of individual contribution of alloying additions for DP800 steel grade.</w:t>
      </w:r>
      <w:bookmarkEnd w:id="213"/>
    </w:p>
    <w:p w:rsidR="00A30BF4" w:rsidRPr="00785EBA" w:rsidRDefault="00A30BF4" w:rsidP="00A30BF4">
      <w:pPr>
        <w:spacing w:line="360" w:lineRule="auto"/>
        <w:ind w:firstLine="720"/>
        <w:jc w:val="both"/>
        <w:rPr>
          <w:rFonts w:ascii="Times New Roman" w:eastAsia="Calibri" w:hAnsi="Times New Roman" w:cs="Times New Roman"/>
        </w:rPr>
      </w:pPr>
      <w:r w:rsidRPr="00785EBA">
        <w:rPr>
          <w:rFonts w:ascii="Times New Roman" w:eastAsia="Calibri" w:hAnsi="Times New Roman" w:cs="Times New Roman"/>
        </w:rPr>
        <w:lastRenderedPageBreak/>
        <w:t>Lastly, in the case of DP600, this was made up of eight different alloying addition types. Similarly to boron steel grade, the highest individual contribution w</w:t>
      </w:r>
      <w:r w:rsidR="002851F4" w:rsidRPr="00785EBA">
        <w:rPr>
          <w:rFonts w:ascii="Times New Roman" w:eastAsia="Calibri" w:hAnsi="Times New Roman" w:cs="Times New Roman"/>
        </w:rPr>
        <w:t>as from silica-manganese (35.71</w:t>
      </w:r>
      <w:r w:rsidRPr="00785EBA">
        <w:rPr>
          <w:rFonts w:ascii="Times New Roman" w:eastAsia="Calibri" w:hAnsi="Times New Roman" w:cs="Times New Roman"/>
        </w:rPr>
        <w:t>%) followed b</w:t>
      </w:r>
      <w:r w:rsidR="002851F4" w:rsidRPr="00785EBA">
        <w:rPr>
          <w:rFonts w:ascii="Times New Roman" w:eastAsia="Calibri" w:hAnsi="Times New Roman" w:cs="Times New Roman"/>
        </w:rPr>
        <w:t>y low carbon ferro-chrome (19.89</w:t>
      </w:r>
      <w:r w:rsidRPr="00785EBA">
        <w:rPr>
          <w:rFonts w:ascii="Times New Roman" w:eastAsia="Calibri" w:hAnsi="Times New Roman" w:cs="Times New Roman"/>
        </w:rPr>
        <w:t>%) and m</w:t>
      </w:r>
      <w:r w:rsidR="002851F4" w:rsidRPr="00785EBA">
        <w:rPr>
          <w:rFonts w:ascii="Times New Roman" w:eastAsia="Calibri" w:hAnsi="Times New Roman" w:cs="Times New Roman"/>
        </w:rPr>
        <w:t>edium carbon ferro-chrome (15.77</w:t>
      </w:r>
      <w:r w:rsidRPr="00785EBA">
        <w:rPr>
          <w:rFonts w:ascii="Times New Roman" w:eastAsia="Calibri" w:hAnsi="Times New Roman" w:cs="Times New Roman"/>
        </w:rPr>
        <w:t>%). Correspondingly to boron steel grade, these top three individual contributors did not have the highest emission factor, which belonged to ferro-silicon (11</w:t>
      </w:r>
      <w:r w:rsidR="00BA77D9">
        <w:rPr>
          <w:rFonts w:ascii="Times New Roman" w:eastAsia="Calibri" w:hAnsi="Times New Roman" w:cs="Times New Roman"/>
        </w:rPr>
        <w:t>,</w:t>
      </w:r>
      <w:r w:rsidRPr="00785EBA">
        <w:rPr>
          <w:rFonts w:ascii="Times New Roman" w:eastAsia="Calibri" w:hAnsi="Times New Roman" w:cs="Times New Roman"/>
        </w:rPr>
        <w:t>500 kgCO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/kg) and aluminium (9</w:t>
      </w:r>
      <w:r w:rsidR="00BA77D9">
        <w:rPr>
          <w:rFonts w:ascii="Times New Roman" w:eastAsia="Calibri" w:hAnsi="Times New Roman" w:cs="Times New Roman"/>
        </w:rPr>
        <w:t>,</w:t>
      </w:r>
      <w:r w:rsidRPr="00785EBA">
        <w:rPr>
          <w:rFonts w:ascii="Times New Roman" w:eastAsia="Calibri" w:hAnsi="Times New Roman" w:cs="Times New Roman"/>
        </w:rPr>
        <w:t>060 kgCO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/kg). However all three alloying additions</w:t>
      </w:r>
      <w:r w:rsidR="002851F4" w:rsidRPr="00785EBA">
        <w:rPr>
          <w:rFonts w:ascii="Times New Roman" w:eastAsia="Calibri" w:hAnsi="Times New Roman" w:cs="Times New Roman"/>
        </w:rPr>
        <w:t xml:space="preserve"> did have significant cast amounts of 4</w:t>
      </w:r>
      <w:r w:rsidR="00BA77D9">
        <w:rPr>
          <w:rFonts w:ascii="Times New Roman" w:eastAsia="Calibri" w:hAnsi="Times New Roman" w:cs="Times New Roman"/>
        </w:rPr>
        <w:t>.00</w:t>
      </w:r>
      <w:r w:rsidR="002851F4" w:rsidRPr="00785EBA">
        <w:rPr>
          <w:rFonts w:ascii="Times New Roman" w:eastAsia="Calibri" w:hAnsi="Times New Roman" w:cs="Times New Roman"/>
        </w:rPr>
        <w:t>t, 2</w:t>
      </w:r>
      <w:r w:rsidR="00BA77D9">
        <w:rPr>
          <w:rFonts w:ascii="Times New Roman" w:eastAsia="Calibri" w:hAnsi="Times New Roman" w:cs="Times New Roman"/>
        </w:rPr>
        <w:t>.00</w:t>
      </w:r>
      <w:r w:rsidR="002851F4" w:rsidRPr="00785EBA">
        <w:rPr>
          <w:rFonts w:ascii="Times New Roman" w:eastAsia="Calibri" w:hAnsi="Times New Roman" w:cs="Times New Roman"/>
        </w:rPr>
        <w:t>t and 2</w:t>
      </w:r>
      <w:r w:rsidR="00BA77D9">
        <w:rPr>
          <w:rFonts w:ascii="Times New Roman" w:eastAsia="Calibri" w:hAnsi="Times New Roman" w:cs="Times New Roman"/>
        </w:rPr>
        <w:t>.00</w:t>
      </w:r>
      <w:r w:rsidR="002851F4" w:rsidRPr="00785EBA">
        <w:rPr>
          <w:rFonts w:ascii="Times New Roman" w:eastAsia="Calibri" w:hAnsi="Times New Roman" w:cs="Times New Roman"/>
        </w:rPr>
        <w:t>t respectively.</w:t>
      </w:r>
    </w:p>
    <w:p w:rsidR="00A30BF4" w:rsidRPr="00785EBA" w:rsidRDefault="00A30BF4" w:rsidP="005354AA">
      <w:pPr>
        <w:spacing w:line="360" w:lineRule="auto"/>
        <w:jc w:val="center"/>
        <w:rPr>
          <w:rFonts w:ascii="Times New Roman" w:eastAsia="Calibri" w:hAnsi="Times New Roman" w:cs="Times New Roman"/>
        </w:rPr>
      </w:pPr>
      <w:r w:rsidRPr="00785EBA">
        <w:rPr>
          <w:noProof/>
        </w:rPr>
        <w:drawing>
          <wp:inline distT="0" distB="0" distL="0" distR="0">
            <wp:extent cx="5731510" cy="2595880"/>
            <wp:effectExtent l="0" t="0" r="2540" b="1397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A30BF4" w:rsidRPr="00785EBA" w:rsidRDefault="00A30BF4" w:rsidP="00CF2F2D">
      <w:pPr>
        <w:spacing w:line="360" w:lineRule="auto"/>
        <w:jc w:val="both"/>
        <w:rPr>
          <w:rFonts w:ascii="Times New Roman" w:eastAsia="Calibri" w:hAnsi="Times New Roman" w:cs="Times New Roman"/>
        </w:rPr>
      </w:pPr>
      <w:bookmarkStart w:id="214" w:name="_Toc495848389"/>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56</w:t>
      </w:r>
      <w:r w:rsidR="009A0ED7" w:rsidRPr="00785EBA">
        <w:rPr>
          <w:rFonts w:ascii="Times New Roman" w:hAnsi="Times New Roman" w:cs="Times New Roman"/>
        </w:rPr>
        <w:fldChar w:fldCharType="end"/>
      </w:r>
      <w:r w:rsidRPr="00785EBA">
        <w:rPr>
          <w:rFonts w:ascii="Times New Roman" w:hAnsi="Times New Roman" w:cs="Times New Roman"/>
        </w:rPr>
        <w:t xml:space="preserve">. </w:t>
      </w:r>
      <w:r w:rsidRPr="00785EBA">
        <w:rPr>
          <w:rFonts w:ascii="Times New Roman" w:eastAsia="Calibri" w:hAnsi="Times New Roman" w:cs="Times New Roman"/>
        </w:rPr>
        <w:t>Breakdown of individual contribution of alloying additions for DP600 steel grade.</w:t>
      </w:r>
      <w:bookmarkEnd w:id="214"/>
    </w:p>
    <w:p w:rsidR="00A30BF4" w:rsidRPr="00785EBA" w:rsidRDefault="00A30BF4" w:rsidP="00DB5284">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Summarising, the results from breakdown of individual contribution of alloying additions for the three diff</w:t>
      </w:r>
      <w:r w:rsidR="006E19EB" w:rsidRPr="00785EBA">
        <w:rPr>
          <w:rFonts w:ascii="Times New Roman" w:eastAsia="Calibri" w:hAnsi="Times New Roman" w:cs="Times New Roman"/>
        </w:rPr>
        <w:t>erent grades of steel, indicated</w:t>
      </w:r>
      <w:r w:rsidRPr="00785EBA">
        <w:rPr>
          <w:rFonts w:ascii="Times New Roman" w:eastAsia="Calibri" w:hAnsi="Times New Roman" w:cs="Times New Roman"/>
        </w:rPr>
        <w:t xml:space="preserve"> alloying amount added to cast as the primary source of the results. For all three steel grades the highest individual contribution came from the alloying addition with the largest amount.</w:t>
      </w:r>
    </w:p>
    <w:p w:rsidR="00A30BF4" w:rsidRPr="00785EBA" w:rsidRDefault="00A30BF4" w:rsidP="00DB5284">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The results thus summarize both the alloying addition amount and emission factor related to that alloying addition, play a pivotal rol</w:t>
      </w:r>
      <w:r w:rsidR="00DB5284" w:rsidRPr="00785EBA">
        <w:rPr>
          <w:rFonts w:ascii="Times New Roman" w:eastAsia="Calibri" w:hAnsi="Times New Roman" w:cs="Times New Roman"/>
        </w:rPr>
        <w:t>e in influencing the end result</w:t>
      </w:r>
      <w:r w:rsidR="00CF2F2D" w:rsidRPr="00785EBA">
        <w:rPr>
          <w:rFonts w:ascii="Times New Roman" w:eastAsia="Calibri" w:hAnsi="Times New Roman" w:cs="Times New Roman"/>
        </w:rPr>
        <w:t>.</w:t>
      </w:r>
    </w:p>
    <w:p w:rsidR="00CF2F2D" w:rsidRDefault="00CF2F2D" w:rsidP="00785EBA">
      <w:pPr>
        <w:spacing w:after="0" w:line="360" w:lineRule="auto"/>
        <w:jc w:val="both"/>
        <w:rPr>
          <w:rFonts w:ascii="Times New Roman" w:eastAsia="Calibri" w:hAnsi="Times New Roman" w:cs="Times New Roman"/>
        </w:rPr>
      </w:pPr>
    </w:p>
    <w:p w:rsidR="00785EBA" w:rsidRDefault="00785EBA" w:rsidP="00DB5284">
      <w:pPr>
        <w:spacing w:after="0" w:line="360" w:lineRule="auto"/>
        <w:ind w:firstLine="720"/>
        <w:jc w:val="both"/>
        <w:rPr>
          <w:rFonts w:ascii="Times New Roman" w:eastAsia="Calibri" w:hAnsi="Times New Roman" w:cs="Times New Roman"/>
        </w:rPr>
        <w:sectPr w:rsidR="00785EBA" w:rsidSect="00C24042">
          <w:pgSz w:w="11906" w:h="16838"/>
          <w:pgMar w:top="1440" w:right="1440" w:bottom="1440" w:left="1440" w:header="708" w:footer="708" w:gutter="0"/>
          <w:cols w:space="708"/>
          <w:docGrid w:linePitch="360"/>
        </w:sectPr>
      </w:pPr>
    </w:p>
    <w:p w:rsidR="00A30BF4" w:rsidRDefault="000F272E" w:rsidP="00A30BF4">
      <w:pPr>
        <w:pStyle w:val="Heading1"/>
        <w:rPr>
          <w:rFonts w:eastAsia="Calibri Light"/>
        </w:rPr>
      </w:pPr>
      <w:r>
        <w:rPr>
          <w:rFonts w:eastAsia="Calibri Light"/>
        </w:rPr>
        <w:lastRenderedPageBreak/>
        <w:t>9</w:t>
      </w:r>
      <w:r w:rsidR="009E0B9C">
        <w:rPr>
          <w:rFonts w:eastAsia="Calibri Light"/>
        </w:rPr>
        <w:t>. Industrial s</w:t>
      </w:r>
      <w:r w:rsidR="00A30BF4" w:rsidRPr="005B3139">
        <w:rPr>
          <w:rFonts w:eastAsia="Calibri Light"/>
        </w:rPr>
        <w:t>ignificance of results</w:t>
      </w:r>
    </w:p>
    <w:p w:rsidR="00CA2DEB" w:rsidRPr="00785EBA" w:rsidRDefault="00CA2DEB" w:rsidP="00CA2DEB">
      <w:pPr>
        <w:spacing w:after="0" w:line="360" w:lineRule="auto"/>
        <w:ind w:firstLine="720"/>
        <w:jc w:val="both"/>
        <w:rPr>
          <w:rFonts w:ascii="Times New Roman" w:hAnsi="Times New Roman" w:cs="Times New Roman"/>
        </w:rPr>
      </w:pPr>
      <w:r w:rsidRPr="00785EBA">
        <w:rPr>
          <w:rFonts w:ascii="Times New Roman" w:hAnsi="Times New Roman" w:cs="Times New Roman"/>
        </w:rPr>
        <w:t>Customers of Tata Steel are increasingly becoming interested in the environmental credentials of its products. Being the responsible and sustainable manufacturer that Tata Steel is, it is continually examining the environmental impacts of its operations. One of these operations is the environmental impacts of Tata’s steel products.</w:t>
      </w:r>
    </w:p>
    <w:p w:rsidR="00792056" w:rsidRPr="00785EBA" w:rsidRDefault="00CA2DEB" w:rsidP="00792056">
      <w:pPr>
        <w:spacing w:after="0" w:line="360" w:lineRule="auto"/>
        <w:ind w:firstLine="720"/>
        <w:jc w:val="both"/>
        <w:rPr>
          <w:rFonts w:ascii="Times New Roman" w:hAnsi="Times New Roman" w:cs="Times New Roman"/>
        </w:rPr>
      </w:pPr>
      <w:r w:rsidRPr="00785EBA">
        <w:rPr>
          <w:rFonts w:ascii="Times New Roman" w:hAnsi="Times New Roman" w:cs="Times New Roman"/>
        </w:rPr>
        <w:t>Tata’s product portfolio is varied and the factors affecting the environmental impacts of its steels are complicated by the many possible ‘recipes’ used to produce them.</w:t>
      </w:r>
      <w:r w:rsidR="00792056" w:rsidRPr="00785EBA">
        <w:rPr>
          <w:rFonts w:ascii="Times New Roman" w:hAnsi="Times New Roman" w:cs="Times New Roman"/>
        </w:rPr>
        <w:t xml:space="preserve"> </w:t>
      </w:r>
      <w:r w:rsidRPr="00785EBA">
        <w:rPr>
          <w:rFonts w:ascii="Times New Roman" w:hAnsi="Times New Roman" w:cs="Times New Roman"/>
        </w:rPr>
        <w:t>However, it is desirabl</w:t>
      </w:r>
      <w:r w:rsidR="00792056" w:rsidRPr="00785EBA">
        <w:rPr>
          <w:rFonts w:ascii="Times New Roman" w:hAnsi="Times New Roman" w:cs="Times New Roman"/>
        </w:rPr>
        <w:t xml:space="preserve">e to know the performance of these </w:t>
      </w:r>
      <w:r w:rsidRPr="00785EBA">
        <w:rPr>
          <w:rFonts w:ascii="Times New Roman" w:hAnsi="Times New Roman" w:cs="Times New Roman"/>
        </w:rPr>
        <w:t>steels across a variety of environmental factors</w:t>
      </w:r>
      <w:r w:rsidR="00792056" w:rsidRPr="00785EBA">
        <w:rPr>
          <w:rFonts w:ascii="Times New Roman" w:hAnsi="Times New Roman" w:cs="Times New Roman"/>
        </w:rPr>
        <w:t>. In order to accomplish this, models need to be developed to allow Tata to make these evaluations.</w:t>
      </w:r>
    </w:p>
    <w:p w:rsidR="00CA2DEB" w:rsidRPr="00785EBA" w:rsidRDefault="00062206" w:rsidP="00B31985">
      <w:pPr>
        <w:spacing w:after="0" w:line="360" w:lineRule="auto"/>
        <w:ind w:firstLine="720"/>
        <w:jc w:val="both"/>
        <w:rPr>
          <w:rFonts w:ascii="Times New Roman" w:hAnsi="Times New Roman" w:cs="Times New Roman"/>
        </w:rPr>
      </w:pPr>
      <w:r w:rsidRPr="00785EBA">
        <w:rPr>
          <w:rFonts w:ascii="Times New Roman" w:hAnsi="Times New Roman" w:cs="Times New Roman"/>
        </w:rPr>
        <w:t>Currently at Tata, models are being developed using commercial software GaBi as provided by Thinkstep. Data relating to the production of many common materials is included in database extensions provided by Thinkstep, but there are some materials which are not included and in particular, some of the alloying materials used in the production of many of Tata’s steel grades.</w:t>
      </w:r>
      <w:r w:rsidR="00B31985" w:rsidRPr="00785EBA">
        <w:rPr>
          <w:rFonts w:ascii="Times New Roman" w:hAnsi="Times New Roman" w:cs="Times New Roman"/>
        </w:rPr>
        <w:t xml:space="preserve">  The figure below </w:t>
      </w:r>
      <w:r w:rsidR="00B31985" w:rsidRPr="00785EBA">
        <w:rPr>
          <w:rStyle w:val="FiguresChar"/>
          <w:color w:val="auto"/>
        </w:rPr>
        <w:t>(</w:t>
      </w:r>
      <w:r w:rsidR="00A6415F" w:rsidRPr="00785EBA">
        <w:fldChar w:fldCharType="begin"/>
      </w:r>
      <w:r w:rsidR="00A6415F" w:rsidRPr="00785EBA">
        <w:instrText xml:space="preserve"> REF _Ref475450210 \h  \* MERGEFORMAT </w:instrText>
      </w:r>
      <w:r w:rsidR="00A6415F" w:rsidRPr="00785EBA">
        <w:fldChar w:fldCharType="separate"/>
      </w:r>
      <w:r w:rsidR="009F5483" w:rsidRPr="009F5483">
        <w:rPr>
          <w:rStyle w:val="FiguresChar"/>
          <w:color w:val="auto"/>
        </w:rPr>
        <w:t>Figure 57</w:t>
      </w:r>
      <w:r w:rsidR="00A6415F" w:rsidRPr="00785EBA">
        <w:fldChar w:fldCharType="end"/>
      </w:r>
      <w:r w:rsidR="00B31985" w:rsidRPr="00785EBA">
        <w:rPr>
          <w:rStyle w:val="FiguresChar"/>
          <w:color w:val="auto"/>
        </w:rPr>
        <w:t>)</w:t>
      </w:r>
      <w:r w:rsidR="00B31985" w:rsidRPr="00785EBA">
        <w:t xml:space="preserve"> </w:t>
      </w:r>
      <w:r w:rsidR="00B31985" w:rsidRPr="00785EBA">
        <w:rPr>
          <w:rFonts w:ascii="Times New Roman" w:hAnsi="Times New Roman" w:cs="Times New Roman"/>
        </w:rPr>
        <w:t>below shows how many material inputs can be used to produce a steel.</w:t>
      </w:r>
      <w:r w:rsidR="00792056" w:rsidRPr="00785EBA">
        <w:rPr>
          <w:rFonts w:ascii="Times New Roman" w:hAnsi="Times New Roman" w:cs="Times New Roman"/>
        </w:rPr>
        <w:t xml:space="preserve"> </w:t>
      </w:r>
    </w:p>
    <w:p w:rsidR="00DB5284" w:rsidRPr="00785EBA" w:rsidRDefault="00B31985" w:rsidP="005354AA">
      <w:pPr>
        <w:jc w:val="center"/>
      </w:pPr>
      <w:r w:rsidRPr="00785EBA">
        <w:rPr>
          <w:noProof/>
        </w:rPr>
        <w:drawing>
          <wp:inline distT="0" distB="0" distL="0" distR="0">
            <wp:extent cx="5658928" cy="4681918"/>
            <wp:effectExtent l="0" t="0" r="0" b="4445"/>
            <wp:docPr id="12" name="Picture 12" descr="Alloys Model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loys Model Screenshot"/>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23345" t="19883" r="6973" b="6743"/>
                    <a:stretch/>
                  </pic:blipFill>
                  <pic:spPr bwMode="auto">
                    <a:xfrm>
                      <a:off x="0" y="0"/>
                      <a:ext cx="5670378" cy="4691391"/>
                    </a:xfrm>
                    <a:prstGeom prst="rect">
                      <a:avLst/>
                    </a:prstGeom>
                    <a:noFill/>
                    <a:ln>
                      <a:noFill/>
                    </a:ln>
                    <a:extLst>
                      <a:ext uri="{53640926-AAD7-44D8-BBD7-CCE9431645EC}">
                        <a14:shadowObscured xmlns:a14="http://schemas.microsoft.com/office/drawing/2010/main"/>
                      </a:ext>
                    </a:extLst>
                  </pic:spPr>
                </pic:pic>
              </a:graphicData>
            </a:graphic>
          </wp:inline>
        </w:drawing>
      </w:r>
    </w:p>
    <w:p w:rsidR="00D34BEA" w:rsidRPr="00785EBA" w:rsidRDefault="00062206" w:rsidP="00DB5284">
      <w:pPr>
        <w:rPr>
          <w:rFonts w:ascii="Times New Roman" w:hAnsi="Times New Roman" w:cs="Times New Roman"/>
        </w:rPr>
      </w:pPr>
      <w:bookmarkStart w:id="215" w:name="_Ref475450210"/>
      <w:bookmarkStart w:id="216" w:name="_Toc495848390"/>
      <w:r w:rsidRPr="00785EBA">
        <w:rPr>
          <w:rFonts w:ascii="Times New Roman" w:hAnsi="Times New Roman" w:cs="Times New Roman"/>
        </w:rPr>
        <w:t xml:space="preserve">Figure </w:t>
      </w:r>
      <w:r w:rsidR="009A0ED7" w:rsidRPr="00785EBA">
        <w:rPr>
          <w:rFonts w:ascii="Times New Roman" w:hAnsi="Times New Roman" w:cs="Times New Roman"/>
        </w:rPr>
        <w:fldChar w:fldCharType="begin"/>
      </w:r>
      <w:r w:rsidRPr="00785EBA">
        <w:rPr>
          <w:rFonts w:ascii="Times New Roman" w:hAnsi="Times New Roman" w:cs="Times New Roman"/>
        </w:rPr>
        <w:instrText xml:space="preserve"> SEQ Figure \* ARABIC </w:instrText>
      </w:r>
      <w:r w:rsidR="009A0ED7" w:rsidRPr="00785EBA">
        <w:rPr>
          <w:rFonts w:ascii="Times New Roman" w:hAnsi="Times New Roman" w:cs="Times New Roman"/>
        </w:rPr>
        <w:fldChar w:fldCharType="separate"/>
      </w:r>
      <w:r w:rsidR="009F5483">
        <w:rPr>
          <w:rFonts w:ascii="Times New Roman" w:hAnsi="Times New Roman" w:cs="Times New Roman"/>
          <w:noProof/>
        </w:rPr>
        <w:t>57</w:t>
      </w:r>
      <w:r w:rsidR="009A0ED7" w:rsidRPr="00785EBA">
        <w:rPr>
          <w:rFonts w:ascii="Times New Roman" w:hAnsi="Times New Roman" w:cs="Times New Roman"/>
        </w:rPr>
        <w:fldChar w:fldCharType="end"/>
      </w:r>
      <w:bookmarkEnd w:id="215"/>
      <w:r w:rsidR="00B31985" w:rsidRPr="00785EBA">
        <w:rPr>
          <w:rFonts w:ascii="Times New Roman" w:hAnsi="Times New Roman" w:cs="Times New Roman"/>
        </w:rPr>
        <w:t>. Model illustrating recipe for additions of alloys in steel grades.</w:t>
      </w:r>
      <w:bookmarkEnd w:id="216"/>
    </w:p>
    <w:p w:rsidR="00DB5284" w:rsidRDefault="00D34BEA" w:rsidP="00D34BEA">
      <w:pPr>
        <w:spacing w:line="360" w:lineRule="auto"/>
        <w:ind w:firstLine="720"/>
        <w:jc w:val="both"/>
        <w:rPr>
          <w:rFonts w:ascii="Times New Roman" w:hAnsi="Times New Roman" w:cs="Times New Roman"/>
        </w:rPr>
      </w:pPr>
      <w:r w:rsidRPr="00785EBA">
        <w:rPr>
          <w:rFonts w:ascii="Times New Roman" w:hAnsi="Times New Roman" w:cs="Times New Roman"/>
        </w:rPr>
        <w:lastRenderedPageBreak/>
        <w:t>The model allows for many different grades of steel to be selected, and the amounts of each input are varied accordingly. It can be seen that some of the inputs are from existing databases (for instance “ZA: Manganese” signifies a material that is within the Thinkstep database). However, data was not available for many of the materials used, and hence work form this research has proved valuable in filling a data gap in literature and bringing about a contribution in real life industrial applications.</w:t>
      </w:r>
    </w:p>
    <w:p w:rsidR="00785EBA" w:rsidRDefault="00785EBA" w:rsidP="00785EBA">
      <w:pPr>
        <w:spacing w:line="360" w:lineRule="auto"/>
        <w:jc w:val="both"/>
        <w:rPr>
          <w:rFonts w:ascii="Times New Roman" w:hAnsi="Times New Roman" w:cs="Times New Roman"/>
        </w:rPr>
      </w:pPr>
    </w:p>
    <w:p w:rsidR="00785EBA" w:rsidRDefault="00785EBA" w:rsidP="00D34BEA">
      <w:pPr>
        <w:spacing w:line="360" w:lineRule="auto"/>
        <w:ind w:firstLine="720"/>
        <w:jc w:val="both"/>
        <w:rPr>
          <w:rFonts w:ascii="Times New Roman" w:hAnsi="Times New Roman" w:cs="Times New Roman"/>
        </w:rPr>
        <w:sectPr w:rsidR="00785EBA" w:rsidSect="00C24042">
          <w:pgSz w:w="11906" w:h="16838"/>
          <w:pgMar w:top="1440" w:right="1440" w:bottom="1440" w:left="1440" w:header="708" w:footer="708" w:gutter="0"/>
          <w:cols w:space="708"/>
          <w:docGrid w:linePitch="360"/>
        </w:sectPr>
      </w:pPr>
    </w:p>
    <w:p w:rsidR="00A30BF4" w:rsidRDefault="000F272E" w:rsidP="00A30BF4">
      <w:pPr>
        <w:pStyle w:val="Heading1"/>
        <w:rPr>
          <w:rFonts w:eastAsia="Calibri Light"/>
        </w:rPr>
      </w:pPr>
      <w:r>
        <w:rPr>
          <w:rFonts w:eastAsia="Calibri Light"/>
        </w:rPr>
        <w:lastRenderedPageBreak/>
        <w:t>10</w:t>
      </w:r>
      <w:r w:rsidR="001E2F53">
        <w:rPr>
          <w:rFonts w:eastAsia="Calibri Light"/>
        </w:rPr>
        <w:t>. Co</w:t>
      </w:r>
      <w:r w:rsidR="009E0B9C">
        <w:rPr>
          <w:rFonts w:eastAsia="Calibri Light"/>
        </w:rPr>
        <w:t xml:space="preserve">nclusion </w:t>
      </w:r>
    </w:p>
    <w:p w:rsidR="004D6662" w:rsidRPr="00785EBA" w:rsidRDefault="009247BE" w:rsidP="004D6662">
      <w:pPr>
        <w:spacing w:line="360" w:lineRule="auto"/>
        <w:ind w:firstLine="720"/>
        <w:jc w:val="both"/>
        <w:rPr>
          <w:rFonts w:ascii="Times New Roman" w:hAnsi="Times New Roman" w:cs="Times New Roman"/>
        </w:rPr>
      </w:pPr>
      <w:r w:rsidRPr="00785EBA">
        <w:rPr>
          <w:rFonts w:ascii="Times New Roman" w:hAnsi="Times New Roman" w:cs="Times New Roman"/>
        </w:rPr>
        <w:t>As demonstrated, investigating alloys in the steel industry</w:t>
      </w:r>
      <w:r w:rsidR="00BA77D9">
        <w:rPr>
          <w:rFonts w:ascii="Times New Roman" w:hAnsi="Times New Roman" w:cs="Times New Roman"/>
        </w:rPr>
        <w:t xml:space="preserve"> via</w:t>
      </w:r>
      <w:r w:rsidR="004D6662" w:rsidRPr="00785EBA">
        <w:rPr>
          <w:rFonts w:ascii="Times New Roman" w:hAnsi="Times New Roman" w:cs="Times New Roman"/>
        </w:rPr>
        <w:t xml:space="preserve"> MFA and LCA methodologies,</w:t>
      </w:r>
      <w:r w:rsidRPr="00785EBA">
        <w:rPr>
          <w:rFonts w:ascii="Times New Roman" w:hAnsi="Times New Roman" w:cs="Times New Roman"/>
        </w:rPr>
        <w:t xml:space="preserve"> </w:t>
      </w:r>
      <w:r w:rsidR="004D6662" w:rsidRPr="00785EBA">
        <w:rPr>
          <w:rFonts w:ascii="Times New Roman" w:hAnsi="Times New Roman" w:cs="Times New Roman"/>
        </w:rPr>
        <w:t xml:space="preserve">is worthwhile, but complicated. </w:t>
      </w:r>
      <w:r w:rsidR="00270A6D" w:rsidRPr="00785EBA">
        <w:rPr>
          <w:rFonts w:ascii="Times New Roman" w:hAnsi="Times New Roman" w:cs="Times New Roman"/>
        </w:rPr>
        <w:t>Nonetheless,</w:t>
      </w:r>
      <w:r w:rsidR="004D6662" w:rsidRPr="00785EBA">
        <w:rPr>
          <w:rFonts w:ascii="Times New Roman" w:hAnsi="Times New Roman" w:cs="Times New Roman"/>
        </w:rPr>
        <w:t xml:space="preserve"> recapping the main topics</w:t>
      </w:r>
      <w:r w:rsidR="00270A6D" w:rsidRPr="00785EBA">
        <w:rPr>
          <w:rFonts w:ascii="Times New Roman" w:hAnsi="Times New Roman" w:cs="Times New Roman"/>
        </w:rPr>
        <w:t xml:space="preserve"> </w:t>
      </w:r>
      <w:r w:rsidR="004D6662" w:rsidRPr="00785EBA">
        <w:rPr>
          <w:rFonts w:ascii="Times New Roman" w:hAnsi="Times New Roman" w:cs="Times New Roman"/>
        </w:rPr>
        <w:t>a number of things were learned</w:t>
      </w:r>
      <w:r w:rsidR="00BA0618">
        <w:rPr>
          <w:rFonts w:ascii="Times New Roman" w:hAnsi="Times New Roman" w:cs="Times New Roman"/>
        </w:rPr>
        <w:t xml:space="preserve"> </w:t>
      </w:r>
      <w:r w:rsidR="00270A6D" w:rsidRPr="00785EBA">
        <w:rPr>
          <w:rFonts w:ascii="Times New Roman" w:hAnsi="Times New Roman" w:cs="Times New Roman"/>
        </w:rPr>
        <w:t>as shown by the following 5 points</w:t>
      </w:r>
      <w:r w:rsidR="004D6662" w:rsidRPr="00785EBA">
        <w:rPr>
          <w:rFonts w:ascii="Times New Roman" w:hAnsi="Times New Roman" w:cs="Times New Roman"/>
        </w:rPr>
        <w:t>:</w:t>
      </w:r>
    </w:p>
    <w:p w:rsidR="008B5B64" w:rsidRPr="00785EBA" w:rsidRDefault="00270A6D" w:rsidP="00EE7761">
      <w:pPr>
        <w:pStyle w:val="ListParagraph"/>
        <w:numPr>
          <w:ilvl w:val="0"/>
          <w:numId w:val="26"/>
        </w:numPr>
        <w:spacing w:line="360" w:lineRule="auto"/>
        <w:jc w:val="both"/>
        <w:rPr>
          <w:rFonts w:ascii="Times New Roman" w:hAnsi="Times New Roman" w:cs="Times New Roman"/>
        </w:rPr>
      </w:pPr>
      <w:r w:rsidRPr="00785EBA">
        <w:rPr>
          <w:rFonts w:ascii="Times New Roman" w:hAnsi="Times New Roman" w:cs="Times New Roman"/>
        </w:rPr>
        <w:t>Criticality - There is no single definition of criticality and it is strongly dependant on the perspective from which it is conducted and on the purpose of use. However, in the present literature there does appear to be a degree of accordance in the general methodology</w:t>
      </w:r>
      <w:r w:rsidR="003F2CF0" w:rsidRPr="00785EBA">
        <w:rPr>
          <w:rFonts w:ascii="Times New Roman" w:hAnsi="Times New Roman" w:cs="Times New Roman"/>
        </w:rPr>
        <w:t xml:space="preserve"> (i.e. use of </w:t>
      </w:r>
      <w:r w:rsidR="00BA77D9">
        <w:rPr>
          <w:rFonts w:ascii="Times New Roman" w:hAnsi="Times New Roman" w:cs="Times New Roman"/>
        </w:rPr>
        <w:t xml:space="preserve">supply risk and vulnerability) </w:t>
      </w:r>
      <w:r w:rsidR="003F2CF0" w:rsidRPr="00785EBA">
        <w:rPr>
          <w:rFonts w:ascii="Times New Roman" w:hAnsi="Times New Roman" w:cs="Times New Roman"/>
        </w:rPr>
        <w:t>as the main dimensions</w:t>
      </w:r>
      <w:r w:rsidRPr="00785EBA">
        <w:rPr>
          <w:rFonts w:ascii="Times New Roman" w:hAnsi="Times New Roman" w:cs="Times New Roman"/>
        </w:rPr>
        <w:t xml:space="preserve"> for conducting criticality assessments</w:t>
      </w:r>
      <w:r w:rsidR="003F2CF0" w:rsidRPr="00785EBA">
        <w:rPr>
          <w:rFonts w:ascii="Times New Roman" w:hAnsi="Times New Roman" w:cs="Times New Roman"/>
        </w:rPr>
        <w:t xml:space="preserve">. </w:t>
      </w:r>
    </w:p>
    <w:p w:rsidR="008B5B64" w:rsidRPr="00785EBA" w:rsidRDefault="00404CAC" w:rsidP="00EE7761">
      <w:pPr>
        <w:pStyle w:val="ListParagraph"/>
        <w:numPr>
          <w:ilvl w:val="0"/>
          <w:numId w:val="26"/>
        </w:numPr>
        <w:spacing w:line="360" w:lineRule="auto"/>
        <w:jc w:val="both"/>
        <w:rPr>
          <w:rFonts w:ascii="Times New Roman" w:hAnsi="Times New Roman" w:cs="Times New Roman"/>
        </w:rPr>
      </w:pPr>
      <w:r w:rsidRPr="00785EBA">
        <w:rPr>
          <w:rFonts w:ascii="Times New Roman" w:hAnsi="Times New Roman" w:cs="Times New Roman"/>
        </w:rPr>
        <w:t>MFA</w:t>
      </w:r>
      <w:r w:rsidR="00270A6D" w:rsidRPr="00785EBA">
        <w:rPr>
          <w:rFonts w:ascii="Times New Roman" w:hAnsi="Times New Roman" w:cs="Times New Roman"/>
        </w:rPr>
        <w:t xml:space="preserve"> </w:t>
      </w:r>
      <w:r w:rsidR="003F2CF0" w:rsidRPr="00785EBA">
        <w:rPr>
          <w:rFonts w:ascii="Times New Roman" w:hAnsi="Times New Roman" w:cs="Times New Roman"/>
        </w:rPr>
        <w:t xml:space="preserve">- </w:t>
      </w:r>
      <w:r w:rsidR="00270A6D" w:rsidRPr="00785EBA">
        <w:rPr>
          <w:rFonts w:ascii="Times New Roman" w:hAnsi="Times New Roman" w:cs="Times New Roman"/>
        </w:rPr>
        <w:t xml:space="preserve">Five Sankey diagrams were created for steel, chromium, molybdenum, niobium and vanadium. Although mapping of flows was useful in </w:t>
      </w:r>
      <w:r w:rsidR="00270A6D" w:rsidRPr="00785EBA">
        <w:rPr>
          <w:rFonts w:ascii="Times New Roman" w:eastAsia="Calibri" w:hAnsi="Times New Roman" w:cs="Times New Roman"/>
        </w:rPr>
        <w:t>identify</w:t>
      </w:r>
      <w:r w:rsidR="003F2CF0" w:rsidRPr="00785EBA">
        <w:rPr>
          <w:rFonts w:ascii="Times New Roman" w:eastAsia="Calibri" w:hAnsi="Times New Roman" w:cs="Times New Roman"/>
        </w:rPr>
        <w:t>ing</w:t>
      </w:r>
      <w:r w:rsidR="00270A6D" w:rsidRPr="00785EBA">
        <w:rPr>
          <w:rFonts w:ascii="Times New Roman" w:eastAsia="Calibri" w:hAnsi="Times New Roman" w:cs="Times New Roman"/>
        </w:rPr>
        <w:t xml:space="preserve"> bottlenecks, hotspots and resource efficiency opportunities</w:t>
      </w:r>
      <w:r w:rsidRPr="00785EBA">
        <w:rPr>
          <w:rFonts w:ascii="Times New Roman" w:eastAsia="Calibri" w:hAnsi="Times New Roman" w:cs="Times New Roman"/>
        </w:rPr>
        <w:t>. It also highlighted a data gap which can only be filled with wider stakeholder engagement across all levels of supply chain.</w:t>
      </w:r>
    </w:p>
    <w:p w:rsidR="008B5B64" w:rsidRPr="00785EBA" w:rsidRDefault="00404CAC" w:rsidP="00EE7761">
      <w:pPr>
        <w:pStyle w:val="ListParagraph"/>
        <w:numPr>
          <w:ilvl w:val="0"/>
          <w:numId w:val="26"/>
        </w:numPr>
        <w:spacing w:line="360" w:lineRule="auto"/>
        <w:jc w:val="both"/>
        <w:rPr>
          <w:rFonts w:ascii="Times New Roman" w:hAnsi="Times New Roman" w:cs="Times New Roman"/>
        </w:rPr>
      </w:pPr>
      <w:r w:rsidRPr="00785EBA">
        <w:rPr>
          <w:rFonts w:ascii="Times New Roman" w:eastAsia="Calibri" w:hAnsi="Times New Roman" w:cs="Times New Roman"/>
        </w:rPr>
        <w:t xml:space="preserve">LCA of electricity </w:t>
      </w:r>
      <w:r w:rsidR="007069BF" w:rsidRPr="00785EBA">
        <w:rPr>
          <w:rFonts w:ascii="Times New Roman" w:eastAsia="Calibri" w:hAnsi="Times New Roman" w:cs="Times New Roman"/>
        </w:rPr>
        <w:t xml:space="preserve">- </w:t>
      </w:r>
      <w:r w:rsidR="00246EE4" w:rsidRPr="00785EBA">
        <w:rPr>
          <w:rFonts w:ascii="Times New Roman" w:eastAsia="Calibri" w:hAnsi="Times New Roman" w:cs="Times New Roman"/>
        </w:rPr>
        <w:t xml:space="preserve">Based on the </w:t>
      </w:r>
      <w:r w:rsidR="007069BF" w:rsidRPr="00785EBA">
        <w:rPr>
          <w:rFonts w:ascii="Times New Roman" w:eastAsia="Calibri" w:hAnsi="Times New Roman" w:cs="Times New Roman"/>
        </w:rPr>
        <w:t>global production of the top three countries for five ferro-alloys of interest (Fe-Cr, Fe-Mn, Fe-Ni, Fe-Si and Si-Mn), average electricity grid mixes were developed. The method was tested by comparing processes from GaBi and IEA databases and demonstrated a robust method</w:t>
      </w:r>
      <w:r w:rsidR="00BE06E4" w:rsidRPr="00785EBA">
        <w:rPr>
          <w:rFonts w:ascii="Times New Roman" w:eastAsia="Calibri" w:hAnsi="Times New Roman" w:cs="Times New Roman"/>
        </w:rPr>
        <w:t>ology</w:t>
      </w:r>
      <w:r w:rsidR="007069BF" w:rsidRPr="00785EBA">
        <w:rPr>
          <w:rFonts w:ascii="Times New Roman" w:eastAsia="Calibri" w:hAnsi="Times New Roman" w:cs="Times New Roman"/>
        </w:rPr>
        <w:t xml:space="preserve"> for creating average electricity processes.</w:t>
      </w:r>
    </w:p>
    <w:p w:rsidR="008B5B64" w:rsidRPr="00785EBA" w:rsidRDefault="007069BF" w:rsidP="00EE7761">
      <w:pPr>
        <w:pStyle w:val="ListParagraph"/>
        <w:numPr>
          <w:ilvl w:val="0"/>
          <w:numId w:val="26"/>
        </w:numPr>
        <w:spacing w:line="360" w:lineRule="auto"/>
        <w:jc w:val="both"/>
        <w:rPr>
          <w:rFonts w:ascii="Times New Roman" w:hAnsi="Times New Roman" w:cs="Times New Roman"/>
        </w:rPr>
      </w:pPr>
      <w:r w:rsidRPr="00785EBA">
        <w:rPr>
          <w:rFonts w:ascii="Times New Roman" w:hAnsi="Times New Roman" w:cs="Times New Roman"/>
        </w:rPr>
        <w:t>LCA of ferro-alloys</w:t>
      </w:r>
      <w:r w:rsidR="00BE06E4" w:rsidRPr="00785EBA">
        <w:rPr>
          <w:rFonts w:ascii="Times New Roman" w:hAnsi="Times New Roman" w:cs="Times New Roman"/>
        </w:rPr>
        <w:t xml:space="preserve"> - Ten ferro-alloys were constructed using six primary literature sources. </w:t>
      </w:r>
      <w:r w:rsidR="00BE06E4" w:rsidRPr="00785EBA">
        <w:rPr>
          <w:rFonts w:ascii="Times New Roman" w:eastAsia="Calibri" w:hAnsi="Times New Roman" w:cs="Times New Roman"/>
        </w:rPr>
        <w:t xml:space="preserve">Results across all ten ferro-alloys revealed firstly, Fe-Si to have the smallest variation between all models created from literature. Secondly, </w:t>
      </w:r>
      <w:r w:rsidR="00BE06E4" w:rsidRPr="00785EBA">
        <w:rPr>
          <w:rFonts w:ascii="Times New Roman" w:hAnsi="Times New Roman" w:cs="Times New Roman"/>
        </w:rPr>
        <w:t>Fe-V was the only ferro-alloy where complete data could not be located in lite</w:t>
      </w:r>
      <w:r w:rsidR="008B5B64" w:rsidRPr="00785EBA">
        <w:rPr>
          <w:rFonts w:ascii="Times New Roman" w:hAnsi="Times New Roman" w:cs="Times New Roman"/>
        </w:rPr>
        <w:t xml:space="preserve">rature to model. Thirdly </w:t>
      </w:r>
      <w:r w:rsidR="008B5B64" w:rsidRPr="00785EBA">
        <w:rPr>
          <w:rFonts w:ascii="Times New Roman" w:eastAsia="Calibri" w:hAnsi="Times New Roman" w:cs="Times New Roman"/>
        </w:rPr>
        <w:t>electrical energy and carbon inputs were the two primary contributors to variation within the ferro-alloy models.</w:t>
      </w:r>
    </w:p>
    <w:p w:rsidR="008B5B64" w:rsidRPr="00785EBA" w:rsidRDefault="008B5B64" w:rsidP="00EE7761">
      <w:pPr>
        <w:pStyle w:val="ListParagraph"/>
        <w:numPr>
          <w:ilvl w:val="0"/>
          <w:numId w:val="26"/>
        </w:numPr>
        <w:spacing w:line="360" w:lineRule="auto"/>
        <w:jc w:val="both"/>
        <w:rPr>
          <w:rFonts w:ascii="Times New Roman" w:hAnsi="Times New Roman" w:cs="Times New Roman"/>
        </w:rPr>
      </w:pPr>
      <w:r w:rsidRPr="00785EBA">
        <w:rPr>
          <w:rFonts w:ascii="Times New Roman" w:hAnsi="Times New Roman" w:cs="Times New Roman"/>
        </w:rPr>
        <w:t>Grades of Steel – Utilising previously created ferro-alloy models, the impacts of alloying additions were investigated across 8 grades of steel:</w:t>
      </w:r>
      <w:r w:rsidRPr="00785EBA">
        <w:rPr>
          <w:rFonts w:ascii="Times New Roman" w:eastAsia="Calibri" w:hAnsi="Times New Roman" w:cs="Times New Roman"/>
        </w:rPr>
        <w:t xml:space="preserve"> Boron, DP800, DP600, S450, S390, S355,  XF400 and IF grades. Significant additional CO</w:t>
      </w:r>
      <w:r w:rsidRPr="00785EBA">
        <w:rPr>
          <w:rFonts w:ascii="Times New Roman" w:eastAsia="Calibri" w:hAnsi="Times New Roman" w:cs="Times New Roman"/>
          <w:vertAlign w:val="subscript"/>
        </w:rPr>
        <w:t>2</w:t>
      </w:r>
      <w:r w:rsidRPr="00785EBA">
        <w:rPr>
          <w:rFonts w:ascii="Times New Roman" w:eastAsia="Calibri" w:hAnsi="Times New Roman" w:cs="Times New Roman"/>
        </w:rPr>
        <w:t xml:space="preserve"> impacts were seen from the dual phase grades of steel. Breakdown by individual contribution of alloying additions in the grades revealed the amount of alloying addition and emission factor pivotal in influencing the end results.</w:t>
      </w:r>
    </w:p>
    <w:p w:rsidR="00E20BC2" w:rsidRPr="00785EBA" w:rsidRDefault="0009742D" w:rsidP="00E20BC2">
      <w:pPr>
        <w:spacing w:after="0" w:line="360" w:lineRule="auto"/>
        <w:ind w:firstLine="720"/>
        <w:jc w:val="both"/>
        <w:rPr>
          <w:rFonts w:ascii="Times New Roman" w:eastAsia="Calibri" w:hAnsi="Times New Roman" w:cs="Times New Roman"/>
        </w:rPr>
      </w:pPr>
      <w:r w:rsidRPr="00785EBA">
        <w:rPr>
          <w:rFonts w:ascii="Times New Roman" w:eastAsiaTheme="minorHAnsi" w:hAnsi="Times New Roman" w:cs="Times New Roman"/>
        </w:rPr>
        <w:t>Yet, there are a number of limitations of each of the main topics discussed in the research. In particular limitation</w:t>
      </w:r>
      <w:r w:rsidR="00222E09" w:rsidRPr="00785EBA">
        <w:rPr>
          <w:rFonts w:ascii="Times New Roman" w:eastAsiaTheme="minorHAnsi" w:hAnsi="Times New Roman" w:cs="Times New Roman"/>
        </w:rPr>
        <w:t>s</w:t>
      </w:r>
      <w:r w:rsidR="008073CB" w:rsidRPr="00785EBA">
        <w:rPr>
          <w:rFonts w:ascii="Times New Roman" w:eastAsiaTheme="minorHAnsi" w:hAnsi="Times New Roman" w:cs="Times New Roman"/>
        </w:rPr>
        <w:t xml:space="preserve"> of criticality assessments are</w:t>
      </w:r>
      <w:r w:rsidRPr="00785EBA">
        <w:rPr>
          <w:rFonts w:ascii="Times New Roman" w:eastAsiaTheme="minorHAnsi" w:hAnsi="Times New Roman" w:cs="Times New Roman"/>
        </w:rPr>
        <w:t xml:space="preserve"> highlighted by not being designed to capture impacts of criticality assessments over time. </w:t>
      </w:r>
      <w:r w:rsidR="00BA77D9">
        <w:rPr>
          <w:rFonts w:ascii="Times New Roman" w:eastAsiaTheme="minorHAnsi" w:hAnsi="Times New Roman" w:cs="Times New Roman"/>
        </w:rPr>
        <w:t>The metric time horizon</w:t>
      </w:r>
      <w:r w:rsidR="008073CB" w:rsidRPr="00785EBA">
        <w:rPr>
          <w:rFonts w:ascii="Times New Roman" w:eastAsiaTheme="minorHAnsi" w:hAnsi="Times New Roman" w:cs="Times New Roman"/>
        </w:rPr>
        <w:t xml:space="preserve"> is critical in studies that </w:t>
      </w:r>
      <w:r w:rsidR="008073CB" w:rsidRPr="00785EBA">
        <w:rPr>
          <w:rFonts w:ascii="Times New Roman" w:eastAsia="Calibri" w:hAnsi="Times New Roman" w:cs="Times New Roman"/>
        </w:rPr>
        <w:t xml:space="preserve">utilise supply risk factors, since these are calculated by related factors such as geopolitical and metal supply, which themselves can considerably alter in the short, medium or long term. Thus resulting in some studies highlighting particular metals as critical in the short term whilst other studies highlight the same metal as critical in the long term. </w:t>
      </w:r>
      <w:r w:rsidR="00E20BC2" w:rsidRPr="00785EBA">
        <w:rPr>
          <w:rFonts w:ascii="Times New Roman" w:eastAsia="Calibri" w:hAnsi="Times New Roman" w:cs="Times New Roman"/>
        </w:rPr>
        <w:t xml:space="preserve"> </w:t>
      </w:r>
      <w:r w:rsidR="008073CB" w:rsidRPr="00785EBA">
        <w:rPr>
          <w:rFonts w:ascii="Times New Roman" w:eastAsia="Calibri" w:hAnsi="Times New Roman" w:cs="Times New Roman"/>
        </w:rPr>
        <w:t xml:space="preserve">Such limitations could be overcome by the use of </w:t>
      </w:r>
      <w:r w:rsidR="008073CB" w:rsidRPr="00785EBA">
        <w:rPr>
          <w:rFonts w:ascii="Times New Roman" w:eastAsiaTheme="minorHAnsi" w:hAnsi="Times New Roman" w:cs="Times New Roman"/>
        </w:rPr>
        <w:t>alternative metrics such as ‘Depletion Time’</w:t>
      </w:r>
      <w:r w:rsidR="00E20BC2" w:rsidRPr="00785EBA">
        <w:rPr>
          <w:rFonts w:ascii="Times New Roman" w:eastAsiaTheme="minorHAnsi" w:hAnsi="Times New Roman" w:cs="Times New Roman"/>
        </w:rPr>
        <w:t xml:space="preserve"> developed by Thomas Graedel, but need to be applied</w:t>
      </w:r>
      <w:r w:rsidR="00FD018C" w:rsidRPr="00785EBA">
        <w:rPr>
          <w:rFonts w:ascii="Times New Roman" w:eastAsiaTheme="minorHAnsi" w:hAnsi="Times New Roman" w:cs="Times New Roman"/>
        </w:rPr>
        <w:t xml:space="preserve"> much</w:t>
      </w:r>
      <w:r w:rsidR="00E20BC2" w:rsidRPr="00785EBA">
        <w:rPr>
          <w:rFonts w:ascii="Times New Roman" w:eastAsiaTheme="minorHAnsi" w:hAnsi="Times New Roman" w:cs="Times New Roman"/>
        </w:rPr>
        <w:t xml:space="preserve"> more in </w:t>
      </w:r>
      <w:r w:rsidR="00E20BC2" w:rsidRPr="00785EBA">
        <w:rPr>
          <w:rFonts w:ascii="Times New Roman" w:eastAsia="Calibri" w:hAnsi="Times New Roman" w:cs="Times New Roman"/>
        </w:rPr>
        <w:t>criticality assessments.</w:t>
      </w:r>
    </w:p>
    <w:p w:rsidR="00B061B0" w:rsidRPr="00785EBA" w:rsidRDefault="00E20BC2" w:rsidP="00B061B0">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lastRenderedPageBreak/>
        <w:t>With regards to MFA</w:t>
      </w:r>
      <w:r w:rsidR="00034E0C" w:rsidRPr="00785EBA">
        <w:rPr>
          <w:rFonts w:ascii="Times New Roman" w:eastAsia="Calibri" w:hAnsi="Times New Roman" w:cs="Times New Roman"/>
        </w:rPr>
        <w:t xml:space="preserve">, the single largest limitation was data availability. The importance of this, is shown by the global steel Sankey diagram, which is representative of the year 2008. Although fundamentals of the steel making process may have remained similar, updating the models to the relevant year is important in keeping up to date with global markets, technologies and trends. </w:t>
      </w:r>
      <w:r w:rsidR="00D03706" w:rsidRPr="00785EBA">
        <w:rPr>
          <w:rFonts w:ascii="Times New Roman" w:eastAsia="Calibri" w:hAnsi="Times New Roman" w:cs="Times New Roman"/>
        </w:rPr>
        <w:t xml:space="preserve">For instance, </w:t>
      </w:r>
      <w:r w:rsidR="00BA0618">
        <w:rPr>
          <w:rFonts w:ascii="Times New Roman" w:eastAsia="Calibri" w:hAnsi="Times New Roman" w:cs="Times New Roman"/>
        </w:rPr>
        <w:t xml:space="preserve">the MFA models </w:t>
      </w:r>
      <w:r w:rsidR="00D03706" w:rsidRPr="00785EBA">
        <w:rPr>
          <w:rFonts w:ascii="Times New Roman" w:eastAsia="Calibri" w:hAnsi="Times New Roman" w:cs="Times New Roman"/>
        </w:rPr>
        <w:t>could have</w:t>
      </w:r>
      <w:r w:rsidR="00BA0618">
        <w:rPr>
          <w:rFonts w:ascii="Times New Roman" w:eastAsia="Calibri" w:hAnsi="Times New Roman" w:cs="Times New Roman"/>
        </w:rPr>
        <w:t xml:space="preserve"> highlighted a consistent </w:t>
      </w:r>
      <w:r w:rsidR="00B061B0" w:rsidRPr="00785EBA">
        <w:rPr>
          <w:rFonts w:ascii="Times New Roman" w:eastAsia="Calibri" w:hAnsi="Times New Roman" w:cs="Times New Roman"/>
        </w:rPr>
        <w:t>trend of</w:t>
      </w:r>
      <w:r w:rsidR="00D03706" w:rsidRPr="00785EBA">
        <w:rPr>
          <w:rFonts w:ascii="Times New Roman" w:eastAsia="Calibri" w:hAnsi="Times New Roman" w:cs="Times New Roman"/>
        </w:rPr>
        <w:t xml:space="preserve"> oversupply by China in the global</w:t>
      </w:r>
      <w:r w:rsidR="00B061B0" w:rsidRPr="00785EBA">
        <w:rPr>
          <w:rFonts w:ascii="Times New Roman" w:eastAsia="Calibri" w:hAnsi="Times New Roman" w:cs="Times New Roman"/>
        </w:rPr>
        <w:t xml:space="preserve"> steel</w:t>
      </w:r>
      <w:r w:rsidR="00D03706" w:rsidRPr="00785EBA">
        <w:rPr>
          <w:rFonts w:ascii="Times New Roman" w:eastAsia="Calibri" w:hAnsi="Times New Roman" w:cs="Times New Roman"/>
        </w:rPr>
        <w:t xml:space="preserve"> market, and</w:t>
      </w:r>
      <w:r w:rsidR="00B061B0" w:rsidRPr="00785EBA">
        <w:rPr>
          <w:rFonts w:ascii="Times New Roman" w:eastAsia="Calibri" w:hAnsi="Times New Roman" w:cs="Times New Roman"/>
        </w:rPr>
        <w:t xml:space="preserve"> thus</w:t>
      </w:r>
      <w:r w:rsidR="00BA0618">
        <w:rPr>
          <w:rFonts w:ascii="Times New Roman" w:eastAsia="Calibri" w:hAnsi="Times New Roman" w:cs="Times New Roman"/>
        </w:rPr>
        <w:t xml:space="preserve"> led to organisations and countries</w:t>
      </w:r>
      <w:r w:rsidR="00D03706" w:rsidRPr="00785EBA">
        <w:rPr>
          <w:rFonts w:ascii="Times New Roman" w:eastAsia="Calibri" w:hAnsi="Times New Roman" w:cs="Times New Roman"/>
        </w:rPr>
        <w:t xml:space="preserve"> taken preventative</w:t>
      </w:r>
      <w:r w:rsidR="00B061B0" w:rsidRPr="00785EBA">
        <w:rPr>
          <w:rFonts w:ascii="Times New Roman" w:eastAsia="Calibri" w:hAnsi="Times New Roman" w:cs="Times New Roman"/>
        </w:rPr>
        <w:t xml:space="preserve"> counter</w:t>
      </w:r>
      <w:r w:rsidR="00D03706" w:rsidRPr="00785EBA">
        <w:rPr>
          <w:rFonts w:ascii="Times New Roman" w:eastAsia="Calibri" w:hAnsi="Times New Roman" w:cs="Times New Roman"/>
        </w:rPr>
        <w:t xml:space="preserve"> measures</w:t>
      </w:r>
      <w:r w:rsidR="00B061B0" w:rsidRPr="00785EBA">
        <w:rPr>
          <w:rFonts w:ascii="Times New Roman" w:eastAsia="Calibri" w:hAnsi="Times New Roman" w:cs="Times New Roman"/>
        </w:rPr>
        <w:t xml:space="preserve"> beforehand</w:t>
      </w:r>
      <w:r w:rsidR="00D03706" w:rsidRPr="00785EBA">
        <w:rPr>
          <w:rFonts w:ascii="Times New Roman" w:eastAsia="Calibri" w:hAnsi="Times New Roman" w:cs="Times New Roman"/>
        </w:rPr>
        <w:t xml:space="preserve"> like trade tariffs.</w:t>
      </w:r>
      <w:r w:rsidR="00B061B0" w:rsidRPr="00785EBA">
        <w:rPr>
          <w:rFonts w:ascii="Times New Roman" w:eastAsia="Calibri" w:hAnsi="Times New Roman" w:cs="Times New Roman"/>
        </w:rPr>
        <w:t xml:space="preserve"> </w:t>
      </w:r>
    </w:p>
    <w:p w:rsidR="000E3A90" w:rsidRPr="00785EBA" w:rsidRDefault="00B061B0" w:rsidP="00DB56D4">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Similarly, data availability was also an issue in creating the MFAs for the 4 elements of interest.</w:t>
      </w:r>
      <w:r w:rsidR="000E3A90" w:rsidRPr="00785EBA">
        <w:rPr>
          <w:rFonts w:ascii="Times New Roman" w:eastAsia="Calibri" w:hAnsi="Times New Roman" w:cs="Times New Roman"/>
        </w:rPr>
        <w:t xml:space="preserve"> The current models developed are simple</w:t>
      </w:r>
      <w:r w:rsidR="00DB56D4" w:rsidRPr="00785EBA">
        <w:rPr>
          <w:rFonts w:ascii="Times New Roman" w:eastAsia="Calibri" w:hAnsi="Times New Roman" w:cs="Times New Roman"/>
        </w:rPr>
        <w:t>,</w:t>
      </w:r>
      <w:r w:rsidR="000E3A90" w:rsidRPr="00785EBA">
        <w:rPr>
          <w:rFonts w:ascii="Times New Roman" w:eastAsia="Calibri" w:hAnsi="Times New Roman" w:cs="Times New Roman"/>
        </w:rPr>
        <w:t xml:space="preserve"> but can be further developed if knowledge gaps </w:t>
      </w:r>
      <w:r w:rsidRPr="00785EBA">
        <w:rPr>
          <w:rFonts w:ascii="Times New Roman" w:eastAsia="Calibri" w:hAnsi="Times New Roman" w:cs="Times New Roman"/>
        </w:rPr>
        <w:t xml:space="preserve">centered on recovery rates, processing methods and environmental </w:t>
      </w:r>
      <w:r w:rsidR="000E3A90" w:rsidRPr="00785EBA">
        <w:rPr>
          <w:rFonts w:ascii="Times New Roman" w:eastAsia="Calibri" w:hAnsi="Times New Roman" w:cs="Times New Roman"/>
        </w:rPr>
        <w:t>impacts are addressed. In particular, the outcome of EoL products in tandem with recycling are not well understood but could be with the relevant data present in literature.</w:t>
      </w:r>
      <w:r w:rsidR="00DB56D4" w:rsidRPr="00785EBA">
        <w:rPr>
          <w:rFonts w:ascii="Times New Roman" w:eastAsia="Calibri" w:hAnsi="Times New Roman" w:cs="Times New Roman"/>
        </w:rPr>
        <w:t xml:space="preserve"> Limitations in</w:t>
      </w:r>
      <w:r w:rsidR="000E3A90" w:rsidRPr="00785EBA">
        <w:rPr>
          <w:rFonts w:ascii="Times New Roman" w:eastAsia="Calibri" w:hAnsi="Times New Roman" w:cs="Times New Roman"/>
        </w:rPr>
        <w:t xml:space="preserve"> data availability can only be resolved with wider stakeholder engagement across all levels of supply chain. This means access to quantitative or qualitative data which at this moment in time is lacking and thus hindering progress, particularly on elements of interest such as niobium and vanadium.</w:t>
      </w:r>
    </w:p>
    <w:p w:rsidR="009B78E1" w:rsidRPr="00785EBA" w:rsidRDefault="00E82418" w:rsidP="009B78E1">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 xml:space="preserve">Relating to LCA models of electricity, the individual breakdown of fuel sources by country was the principle limiting factor. </w:t>
      </w:r>
      <w:r w:rsidR="009B78E1" w:rsidRPr="00785EBA">
        <w:rPr>
          <w:rFonts w:ascii="Times New Roman" w:eastAsia="Calibri" w:hAnsi="Times New Roman" w:cs="Times New Roman"/>
        </w:rPr>
        <w:t xml:space="preserve">This was important because each country has unique production routes, or includes transportation or has different transmission and distribution losses. By selecting identical processes from alternate countries a lot of this individual information is lost, creating uncertainty in the grid mixes. To overcome this a lot of factors were considered such as technology, capability, developed or developing nation in order to decide which country to select. However in some cases GaBi simply did not have an alternative viable </w:t>
      </w:r>
      <w:r w:rsidR="00245681" w:rsidRPr="00785EBA">
        <w:rPr>
          <w:rFonts w:ascii="Times New Roman" w:eastAsia="Calibri" w:hAnsi="Times New Roman" w:cs="Times New Roman"/>
        </w:rPr>
        <w:t>and worst case scenarios were used as was the case for New Caledonia.</w:t>
      </w:r>
    </w:p>
    <w:p w:rsidR="00245681" w:rsidRPr="00785EBA" w:rsidRDefault="00245681" w:rsidP="00245681">
      <w:pPr>
        <w:spacing w:after="0" w:line="360" w:lineRule="auto"/>
        <w:jc w:val="both"/>
        <w:rPr>
          <w:rFonts w:ascii="Times New Roman" w:eastAsia="Calibri" w:hAnsi="Times New Roman" w:cs="Times New Roman"/>
        </w:rPr>
      </w:pPr>
      <w:r w:rsidRPr="00785EBA">
        <w:rPr>
          <w:rFonts w:ascii="Times New Roman" w:eastAsia="Calibri" w:hAnsi="Times New Roman" w:cs="Times New Roman"/>
        </w:rPr>
        <w:t>Such limitations are an opportunity for ThinkStep, providers of GaBi software, to currently expand the heavily European based data and include other continents. This would not only be useful to them but to their clients who might investigate such scenarios has shown here.</w:t>
      </w:r>
    </w:p>
    <w:p w:rsidR="00E82418" w:rsidRPr="00785EBA" w:rsidRDefault="00DB56D4" w:rsidP="009B78E1">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Concerning ferro-alloy modelling, in parallel to MFA, the limitations were centered on data availability. Although ten ferro-alloys were investigated, not enough results were</w:t>
      </w:r>
      <w:r w:rsidR="00BE7AAD" w:rsidRPr="00785EBA">
        <w:rPr>
          <w:rFonts w:ascii="Times New Roman" w:eastAsia="Calibri" w:hAnsi="Times New Roman" w:cs="Times New Roman"/>
        </w:rPr>
        <w:t xml:space="preserve"> generated especially concerning the more exotic ferro-alloys, to be confident in any conclusion. Currently the confidence of the results are based more on a robust method, rather than data used to generate any results. However, apart from data availability, the work was limited since only electricity was varied and modelled. Other variations that could have been modelled were sources of carbon and ore grades.  Sources of carbon would have been based on use of renewable biochar or replacements of coal and coke and would have been useful as it is currently a topic of interest. In regards to ore grades, a similar procedure could have been adopted to ferro-alloys, and ore grades modelled for each ferro-alloy and inve</w:t>
      </w:r>
      <w:r w:rsidR="00643878" w:rsidRPr="00785EBA">
        <w:rPr>
          <w:rFonts w:ascii="Times New Roman" w:eastAsia="Calibri" w:hAnsi="Times New Roman" w:cs="Times New Roman"/>
        </w:rPr>
        <w:t>stigated in terms of its impact or lack of it. However a similar problem could have been encou</w:t>
      </w:r>
      <w:r w:rsidR="00BA77D9">
        <w:rPr>
          <w:rFonts w:ascii="Times New Roman" w:eastAsia="Calibri" w:hAnsi="Times New Roman" w:cs="Times New Roman"/>
        </w:rPr>
        <w:t xml:space="preserve">ntered with data availability, </w:t>
      </w:r>
      <w:r w:rsidR="00643878" w:rsidRPr="00785EBA">
        <w:rPr>
          <w:rFonts w:ascii="Times New Roman" w:eastAsia="Calibri" w:hAnsi="Times New Roman" w:cs="Times New Roman"/>
        </w:rPr>
        <w:t>as it was here in the case of lack of data to model vanadium pentoxide. Thus requiring future work to be a collaboration between data providers and users of data in order to maximise productivity.</w:t>
      </w:r>
    </w:p>
    <w:p w:rsidR="00D96C2F" w:rsidRPr="00785EBA" w:rsidRDefault="00D96C2F" w:rsidP="009B78E1">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lastRenderedPageBreak/>
        <w:t>Finally concerning the grades of steel, the only limitation was the lack of a grade with vanadium as an alloying addition. This would have helped to put into context, the impact of vanadium alloying additions.</w:t>
      </w:r>
    </w:p>
    <w:p w:rsidR="000E3A90" w:rsidRPr="00785EBA" w:rsidRDefault="00D1525F" w:rsidP="000E3A90">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The findings from this research make an original contribution by filling in gaps in the existing literature as listed below:</w:t>
      </w:r>
    </w:p>
    <w:p w:rsidR="00034E0C" w:rsidRPr="00785EBA" w:rsidRDefault="00D1525F" w:rsidP="00EE7761">
      <w:pPr>
        <w:pStyle w:val="ListParagraph"/>
        <w:numPr>
          <w:ilvl w:val="0"/>
          <w:numId w:val="27"/>
        </w:numPr>
        <w:spacing w:after="0" w:line="360" w:lineRule="auto"/>
        <w:jc w:val="both"/>
        <w:rPr>
          <w:rFonts w:ascii="Times New Roman" w:eastAsia="Calibri" w:hAnsi="Times New Roman" w:cs="Times New Roman"/>
        </w:rPr>
      </w:pPr>
      <w:r w:rsidRPr="00785EBA">
        <w:rPr>
          <w:rFonts w:ascii="Times New Roman" w:eastAsia="Calibri" w:hAnsi="Times New Roman" w:cs="Times New Roman"/>
        </w:rPr>
        <w:t>Creation of global MFA models for niobium and vanadium, currently either not available in literature or outdated by several decades.</w:t>
      </w:r>
    </w:p>
    <w:p w:rsidR="00D1525F" w:rsidRPr="00785EBA" w:rsidRDefault="00D1525F" w:rsidP="00EE7761">
      <w:pPr>
        <w:pStyle w:val="ListParagraph"/>
        <w:numPr>
          <w:ilvl w:val="0"/>
          <w:numId w:val="27"/>
        </w:numPr>
        <w:spacing w:after="0" w:line="360" w:lineRule="auto"/>
        <w:jc w:val="both"/>
        <w:rPr>
          <w:rFonts w:ascii="Times New Roman" w:eastAsia="Calibri" w:hAnsi="Times New Roman" w:cs="Times New Roman"/>
        </w:rPr>
      </w:pPr>
      <w:r w:rsidRPr="00785EBA">
        <w:rPr>
          <w:rFonts w:ascii="Times New Roman" w:eastAsia="Calibri" w:hAnsi="Times New Roman" w:cs="Times New Roman"/>
        </w:rPr>
        <w:t xml:space="preserve">Construction of average electricity models based on global ferro-alloy production which again is not available in literature. However much more valuable is the methodology to create these models which can be applied to countries not studied </w:t>
      </w:r>
      <w:r w:rsidR="00AD4987" w:rsidRPr="00785EBA">
        <w:rPr>
          <w:rFonts w:ascii="Times New Roman" w:eastAsia="Calibri" w:hAnsi="Times New Roman" w:cs="Times New Roman"/>
        </w:rPr>
        <w:t>here and developed to be used when data does become available.</w:t>
      </w:r>
    </w:p>
    <w:p w:rsidR="00AD4987" w:rsidRPr="00785EBA" w:rsidRDefault="00AD4987" w:rsidP="00EE7761">
      <w:pPr>
        <w:pStyle w:val="ListParagraph"/>
        <w:numPr>
          <w:ilvl w:val="0"/>
          <w:numId w:val="27"/>
        </w:numPr>
        <w:spacing w:after="0" w:line="360" w:lineRule="auto"/>
        <w:jc w:val="both"/>
        <w:rPr>
          <w:rFonts w:ascii="Times New Roman" w:eastAsia="Calibri" w:hAnsi="Times New Roman" w:cs="Times New Roman"/>
        </w:rPr>
      </w:pPr>
      <w:r w:rsidRPr="00785EBA">
        <w:rPr>
          <w:rFonts w:ascii="Times New Roman" w:eastAsia="Calibri" w:hAnsi="Times New Roman" w:cs="Times New Roman"/>
        </w:rPr>
        <w:t>An overview of existing literature into ferro-alloys as well as variables that can affect it which has not been studied in literature.</w:t>
      </w:r>
    </w:p>
    <w:p w:rsidR="00AD4987" w:rsidRPr="00785EBA" w:rsidRDefault="00AD4987" w:rsidP="00EE7761">
      <w:pPr>
        <w:pStyle w:val="ListParagraph"/>
        <w:numPr>
          <w:ilvl w:val="0"/>
          <w:numId w:val="27"/>
        </w:numPr>
        <w:spacing w:after="0" w:line="360" w:lineRule="auto"/>
        <w:jc w:val="both"/>
        <w:rPr>
          <w:rFonts w:ascii="Times New Roman" w:eastAsia="Calibri" w:hAnsi="Times New Roman" w:cs="Times New Roman"/>
        </w:rPr>
      </w:pPr>
      <w:r w:rsidRPr="00785EBA">
        <w:rPr>
          <w:rFonts w:ascii="Times New Roman" w:eastAsia="Calibri" w:hAnsi="Times New Roman" w:cs="Times New Roman"/>
        </w:rPr>
        <w:t>Use of ferro-alloy models by Tata steel in its ‘recipe’ of steel grades in order to understand the environmental impact of producing steel grades through specific routes and use of alloying additions. This is novel and shows actual use of work presented here in real life applications.</w:t>
      </w:r>
    </w:p>
    <w:p w:rsidR="00AD4987" w:rsidRPr="00785EBA" w:rsidRDefault="00AD4987" w:rsidP="00EE7761">
      <w:pPr>
        <w:pStyle w:val="ListParagraph"/>
        <w:numPr>
          <w:ilvl w:val="0"/>
          <w:numId w:val="27"/>
        </w:numPr>
        <w:spacing w:after="0" w:line="360" w:lineRule="auto"/>
        <w:jc w:val="both"/>
        <w:rPr>
          <w:rFonts w:ascii="Times New Roman" w:eastAsia="Calibri" w:hAnsi="Times New Roman" w:cs="Times New Roman"/>
        </w:rPr>
      </w:pPr>
      <w:r w:rsidRPr="00785EBA">
        <w:rPr>
          <w:rFonts w:ascii="Times New Roman" w:eastAsia="Calibri" w:hAnsi="Times New Roman" w:cs="Times New Roman"/>
        </w:rPr>
        <w:t>Use of ferro-alloy models to understand impact of alloying additions in 8 different grades of steel. An original piece of work and difficult to compare since no other study in literature has performed this.</w:t>
      </w:r>
    </w:p>
    <w:p w:rsidR="00AD4987" w:rsidRPr="00785EBA" w:rsidRDefault="00AD4987" w:rsidP="00AD4987">
      <w:pPr>
        <w:spacing w:after="0" w:line="360" w:lineRule="auto"/>
        <w:jc w:val="both"/>
        <w:rPr>
          <w:rFonts w:ascii="Times New Roman" w:eastAsia="Calibri" w:hAnsi="Times New Roman" w:cs="Times New Roman"/>
        </w:rPr>
      </w:pPr>
    </w:p>
    <w:p w:rsidR="00AD4987" w:rsidRDefault="00AD4987" w:rsidP="00AD4987">
      <w:pPr>
        <w:spacing w:after="0" w:line="360" w:lineRule="auto"/>
        <w:ind w:firstLine="720"/>
        <w:jc w:val="both"/>
        <w:rPr>
          <w:rFonts w:ascii="Times New Roman" w:eastAsia="Calibri" w:hAnsi="Times New Roman" w:cs="Times New Roman"/>
        </w:rPr>
      </w:pPr>
      <w:r w:rsidRPr="00785EBA">
        <w:rPr>
          <w:rFonts w:ascii="Times New Roman" w:eastAsia="Calibri" w:hAnsi="Times New Roman" w:cs="Times New Roman"/>
        </w:rPr>
        <w:t>Overall this research has made a number of original contributions to literature and in some cas</w:t>
      </w:r>
      <w:r w:rsidR="009C6C0C" w:rsidRPr="00785EBA">
        <w:rPr>
          <w:rFonts w:ascii="Times New Roman" w:eastAsia="Calibri" w:hAnsi="Times New Roman" w:cs="Times New Roman"/>
        </w:rPr>
        <w:t xml:space="preserve">es industry. But has been created in such a way, </w:t>
      </w:r>
      <w:r w:rsidRPr="00785EBA">
        <w:rPr>
          <w:rFonts w:ascii="Times New Roman" w:eastAsia="Calibri" w:hAnsi="Times New Roman" w:cs="Times New Roman"/>
        </w:rPr>
        <w:t xml:space="preserve">that future researchers can come after and pick up key aspects of this research and take it forward as </w:t>
      </w:r>
      <w:r w:rsidR="009C6C0C" w:rsidRPr="00785EBA">
        <w:rPr>
          <w:rFonts w:ascii="Times New Roman" w:eastAsia="Calibri" w:hAnsi="Times New Roman" w:cs="Times New Roman"/>
        </w:rPr>
        <w:t>this work has</w:t>
      </w:r>
      <w:r w:rsidRPr="00785EBA">
        <w:rPr>
          <w:rFonts w:ascii="Times New Roman" w:eastAsia="Calibri" w:hAnsi="Times New Roman" w:cs="Times New Roman"/>
        </w:rPr>
        <w:t>.</w:t>
      </w:r>
    </w:p>
    <w:p w:rsidR="0004127B" w:rsidRDefault="0004127B" w:rsidP="00AD4987">
      <w:pPr>
        <w:spacing w:after="0" w:line="360" w:lineRule="auto"/>
        <w:ind w:firstLine="720"/>
        <w:jc w:val="both"/>
        <w:rPr>
          <w:rFonts w:ascii="Times New Roman" w:eastAsia="Calibri" w:hAnsi="Times New Roman" w:cs="Times New Roman"/>
        </w:rPr>
      </w:pPr>
    </w:p>
    <w:p w:rsidR="0004127B" w:rsidRDefault="0004127B" w:rsidP="00AD4987">
      <w:pPr>
        <w:spacing w:after="0" w:line="360" w:lineRule="auto"/>
        <w:ind w:firstLine="720"/>
        <w:jc w:val="both"/>
        <w:rPr>
          <w:rFonts w:ascii="Times New Roman" w:eastAsia="Calibri" w:hAnsi="Times New Roman" w:cs="Times New Roman"/>
        </w:rPr>
      </w:pPr>
    </w:p>
    <w:p w:rsidR="0004127B" w:rsidRDefault="0004127B" w:rsidP="00AD4987">
      <w:pPr>
        <w:spacing w:after="0" w:line="360" w:lineRule="auto"/>
        <w:ind w:firstLine="720"/>
        <w:jc w:val="both"/>
        <w:rPr>
          <w:rFonts w:ascii="Times New Roman" w:eastAsia="Calibri" w:hAnsi="Times New Roman" w:cs="Times New Roman"/>
        </w:rPr>
      </w:pPr>
    </w:p>
    <w:p w:rsidR="0004127B" w:rsidRDefault="0004127B" w:rsidP="00AD4987">
      <w:pPr>
        <w:spacing w:after="0" w:line="360" w:lineRule="auto"/>
        <w:ind w:firstLine="720"/>
        <w:jc w:val="both"/>
        <w:rPr>
          <w:rFonts w:ascii="Times New Roman" w:eastAsia="Calibri" w:hAnsi="Times New Roman" w:cs="Times New Roman"/>
        </w:rPr>
      </w:pPr>
    </w:p>
    <w:p w:rsidR="0004127B" w:rsidRDefault="0004127B" w:rsidP="00F576AE">
      <w:pPr>
        <w:spacing w:after="0" w:line="360" w:lineRule="auto"/>
        <w:jc w:val="both"/>
        <w:rPr>
          <w:rFonts w:ascii="Times New Roman" w:eastAsia="Calibri" w:hAnsi="Times New Roman" w:cs="Times New Roman"/>
        </w:rPr>
      </w:pPr>
    </w:p>
    <w:p w:rsidR="0004127B" w:rsidRDefault="0004127B" w:rsidP="00AD4987">
      <w:pPr>
        <w:spacing w:after="0" w:line="360" w:lineRule="auto"/>
        <w:ind w:firstLine="720"/>
        <w:jc w:val="both"/>
        <w:rPr>
          <w:rFonts w:ascii="Times New Roman" w:eastAsia="Calibri" w:hAnsi="Times New Roman" w:cs="Times New Roman"/>
        </w:rPr>
      </w:pPr>
    </w:p>
    <w:p w:rsidR="0004127B" w:rsidRDefault="0004127B" w:rsidP="00AD4987">
      <w:pPr>
        <w:spacing w:after="0" w:line="360" w:lineRule="auto"/>
        <w:ind w:firstLine="720"/>
        <w:jc w:val="both"/>
        <w:rPr>
          <w:rFonts w:ascii="Times New Roman" w:eastAsia="Calibri" w:hAnsi="Times New Roman" w:cs="Times New Roman"/>
        </w:rPr>
      </w:pPr>
    </w:p>
    <w:p w:rsidR="00F576AE" w:rsidRDefault="00F576AE" w:rsidP="00AD4987">
      <w:pPr>
        <w:spacing w:after="0" w:line="360" w:lineRule="auto"/>
        <w:ind w:firstLine="720"/>
        <w:jc w:val="both"/>
        <w:rPr>
          <w:rFonts w:ascii="Times New Roman" w:eastAsia="Calibri" w:hAnsi="Times New Roman" w:cs="Times New Roman"/>
        </w:rPr>
      </w:pPr>
    </w:p>
    <w:p w:rsidR="00F576AE" w:rsidRDefault="00F576AE" w:rsidP="00AD4987">
      <w:pPr>
        <w:spacing w:after="0" w:line="360" w:lineRule="auto"/>
        <w:ind w:firstLine="720"/>
        <w:jc w:val="both"/>
        <w:rPr>
          <w:rFonts w:ascii="Times New Roman" w:eastAsia="Calibri" w:hAnsi="Times New Roman" w:cs="Times New Roman"/>
        </w:rPr>
      </w:pPr>
    </w:p>
    <w:p w:rsidR="0004127B" w:rsidRDefault="0004127B" w:rsidP="00AD4987">
      <w:pPr>
        <w:spacing w:after="0" w:line="360" w:lineRule="auto"/>
        <w:ind w:firstLine="720"/>
        <w:jc w:val="both"/>
        <w:rPr>
          <w:rFonts w:ascii="Times New Roman" w:eastAsia="Calibri" w:hAnsi="Times New Roman" w:cs="Times New Roman"/>
        </w:rPr>
      </w:pPr>
    </w:p>
    <w:p w:rsidR="0004127B" w:rsidRDefault="0004127B" w:rsidP="00AD4987">
      <w:pPr>
        <w:spacing w:after="0" w:line="360" w:lineRule="auto"/>
        <w:ind w:firstLine="720"/>
        <w:jc w:val="both"/>
        <w:rPr>
          <w:rFonts w:ascii="Times New Roman" w:eastAsia="Calibri" w:hAnsi="Times New Roman" w:cs="Times New Roman"/>
        </w:rPr>
      </w:pPr>
    </w:p>
    <w:p w:rsidR="004366CF" w:rsidRDefault="0004127B" w:rsidP="00F576AE">
      <w:pPr>
        <w:pStyle w:val="Heading1"/>
      </w:pPr>
      <w:r>
        <w:lastRenderedPageBreak/>
        <w:t>11. Recommendations for Future Work</w:t>
      </w:r>
    </w:p>
    <w:p w:rsidR="004366CF" w:rsidRPr="000906E1" w:rsidRDefault="004366CF" w:rsidP="004366CF">
      <w:pPr>
        <w:jc w:val="both"/>
        <w:rPr>
          <w:rFonts w:ascii="Times New Roman" w:hAnsi="Times New Roman" w:cs="Times New Roman"/>
          <w:b/>
        </w:rPr>
      </w:pPr>
      <w:r w:rsidRPr="000906E1">
        <w:rPr>
          <w:rFonts w:ascii="Times New Roman" w:hAnsi="Times New Roman" w:cs="Times New Roman"/>
          <w:b/>
        </w:rPr>
        <w:t>MFA</w:t>
      </w:r>
    </w:p>
    <w:p w:rsidR="004366CF" w:rsidRPr="000906E1" w:rsidRDefault="00437854" w:rsidP="00EE7761">
      <w:pPr>
        <w:pStyle w:val="ListParagraph"/>
        <w:numPr>
          <w:ilvl w:val="0"/>
          <w:numId w:val="24"/>
        </w:numPr>
        <w:spacing w:line="360" w:lineRule="auto"/>
        <w:jc w:val="both"/>
        <w:rPr>
          <w:rFonts w:ascii="Times New Roman" w:hAnsi="Times New Roman" w:cs="Times New Roman"/>
        </w:rPr>
      </w:pPr>
      <w:r w:rsidRPr="000906E1">
        <w:rPr>
          <w:rFonts w:ascii="Times New Roman" w:eastAsia="Calibri" w:hAnsi="Times New Roman" w:cs="Times New Roman"/>
        </w:rPr>
        <w:t>The current models developed are simple, but can be further developed if knowledge gaps centered on recovery rates, processing methods and environmental impacts are addressed. In particular, the outcome of EoL products in tandem with recycling are not well understood but could be with the relevant data present in literature.</w:t>
      </w:r>
    </w:p>
    <w:p w:rsidR="00437854" w:rsidRPr="000906E1" w:rsidRDefault="003C4B94" w:rsidP="00EE7761">
      <w:pPr>
        <w:pStyle w:val="ListParagraph"/>
        <w:numPr>
          <w:ilvl w:val="0"/>
          <w:numId w:val="24"/>
        </w:numPr>
        <w:spacing w:line="360" w:lineRule="auto"/>
        <w:jc w:val="both"/>
        <w:rPr>
          <w:rFonts w:ascii="Times New Roman" w:hAnsi="Times New Roman" w:cs="Times New Roman"/>
        </w:rPr>
      </w:pPr>
      <w:r w:rsidRPr="000906E1">
        <w:rPr>
          <w:rFonts w:ascii="Times New Roman" w:eastAsia="Calibri" w:hAnsi="Times New Roman" w:cs="Times New Roman"/>
        </w:rPr>
        <w:t>Although not investigated here, it would be useful to assess the MFA models in terms of monetary value i.e. in pounds/dollars rather than purely on tonnage. This would provide economic incentive particularly for organisations to target specific areas to maximise opportunities for profits or limit costs.</w:t>
      </w:r>
    </w:p>
    <w:p w:rsidR="003C4B94" w:rsidRPr="000906E1" w:rsidRDefault="003C4B94" w:rsidP="003C4B94">
      <w:pPr>
        <w:spacing w:line="360" w:lineRule="auto"/>
        <w:jc w:val="both"/>
        <w:rPr>
          <w:rFonts w:ascii="Times New Roman" w:hAnsi="Times New Roman" w:cs="Times New Roman"/>
          <w:b/>
        </w:rPr>
      </w:pPr>
      <w:r w:rsidRPr="000906E1">
        <w:rPr>
          <w:rFonts w:ascii="Times New Roman" w:hAnsi="Times New Roman" w:cs="Times New Roman"/>
          <w:b/>
        </w:rPr>
        <w:t>LCA – Electricity</w:t>
      </w:r>
    </w:p>
    <w:p w:rsidR="003C4B94" w:rsidRPr="000906E1" w:rsidRDefault="003C4B94" w:rsidP="00EE7761">
      <w:pPr>
        <w:pStyle w:val="ListParagraph"/>
        <w:numPr>
          <w:ilvl w:val="0"/>
          <w:numId w:val="28"/>
        </w:numPr>
        <w:spacing w:after="0" w:line="360" w:lineRule="auto"/>
        <w:jc w:val="both"/>
        <w:rPr>
          <w:rFonts w:ascii="Times New Roman" w:eastAsia="Calibri" w:hAnsi="Times New Roman" w:cs="Times New Roman"/>
        </w:rPr>
      </w:pPr>
      <w:r w:rsidRPr="000906E1">
        <w:rPr>
          <w:rFonts w:ascii="Times New Roman" w:eastAsia="Calibri" w:hAnsi="Times New Roman" w:cs="Times New Roman"/>
        </w:rPr>
        <w:t>Relating to LCA models of electricity, the individual breakdown of fuel sources by country was the principle limiting factor. Such limitations are an opportunity to currently expand the heavily European based available data and include other continents. In particular data is lacking for Middle Eastern and African nations which will transform particularly with the current investment in energy technologies.</w:t>
      </w:r>
    </w:p>
    <w:p w:rsidR="004366CF" w:rsidRPr="000906E1" w:rsidRDefault="003C4B94" w:rsidP="00EE7761">
      <w:pPr>
        <w:pStyle w:val="ListParagraph"/>
        <w:numPr>
          <w:ilvl w:val="0"/>
          <w:numId w:val="28"/>
        </w:numPr>
        <w:spacing w:line="360" w:lineRule="auto"/>
        <w:jc w:val="both"/>
        <w:rPr>
          <w:rFonts w:ascii="Times New Roman" w:hAnsi="Times New Roman" w:cs="Times New Roman"/>
        </w:rPr>
      </w:pPr>
      <w:r w:rsidRPr="000906E1">
        <w:rPr>
          <w:rFonts w:ascii="Times New Roman" w:eastAsia="Calibri" w:hAnsi="Times New Roman" w:cs="Times New Roman"/>
        </w:rPr>
        <w:t>Additionally the models created here were based purely on electricity generation and not electricity consumption. Thus it would be interesting if an investigation was conducted to investigate this variable in detail and any specific effects it would have.</w:t>
      </w:r>
    </w:p>
    <w:p w:rsidR="003C4B94" w:rsidRPr="000906E1" w:rsidRDefault="003C4B94" w:rsidP="003C4B94">
      <w:pPr>
        <w:spacing w:line="360" w:lineRule="auto"/>
        <w:jc w:val="both"/>
        <w:rPr>
          <w:rFonts w:ascii="Times New Roman" w:hAnsi="Times New Roman" w:cs="Times New Roman"/>
          <w:b/>
        </w:rPr>
      </w:pPr>
      <w:r w:rsidRPr="000906E1">
        <w:rPr>
          <w:rFonts w:ascii="Times New Roman" w:hAnsi="Times New Roman" w:cs="Times New Roman"/>
          <w:b/>
        </w:rPr>
        <w:t>LCA – Ferroalloys</w:t>
      </w:r>
    </w:p>
    <w:p w:rsidR="003C4B94" w:rsidRPr="000906E1" w:rsidRDefault="003C4B94" w:rsidP="00EE7761">
      <w:pPr>
        <w:pStyle w:val="ListParagraph"/>
        <w:numPr>
          <w:ilvl w:val="0"/>
          <w:numId w:val="29"/>
        </w:numPr>
        <w:spacing w:line="360" w:lineRule="auto"/>
        <w:jc w:val="both"/>
        <w:rPr>
          <w:rFonts w:ascii="Times New Roman" w:hAnsi="Times New Roman" w:cs="Times New Roman"/>
        </w:rPr>
      </w:pPr>
      <w:r w:rsidRPr="000906E1">
        <w:rPr>
          <w:rFonts w:ascii="Times New Roman" w:eastAsia="Calibri" w:hAnsi="Times New Roman" w:cs="Times New Roman"/>
        </w:rPr>
        <w:t>Other variations that could have been modelled were sources of carbon and ore grades.  Sources of carbon would have been based on use of renewable biochar or replacements of coal and coke and would have been useful as it is currently a topic of interest. In regards to ore grades, a similar procedure could have been adopted to ferro-alloys, and ore grades modelled for each ferro-alloy and investigated in terms of its impact or lack of it.</w:t>
      </w:r>
    </w:p>
    <w:p w:rsidR="00562C70" w:rsidRPr="000906E1" w:rsidRDefault="003C4B94" w:rsidP="00EE7761">
      <w:pPr>
        <w:pStyle w:val="ListParagraph"/>
        <w:numPr>
          <w:ilvl w:val="0"/>
          <w:numId w:val="29"/>
        </w:numPr>
        <w:spacing w:line="360" w:lineRule="auto"/>
        <w:jc w:val="both"/>
        <w:rPr>
          <w:rFonts w:ascii="Times New Roman" w:eastAsia="Calibri" w:hAnsi="Times New Roman" w:cs="Times New Roman"/>
        </w:rPr>
      </w:pPr>
      <w:r w:rsidRPr="000906E1">
        <w:rPr>
          <w:rFonts w:ascii="Times New Roman" w:eastAsia="Calibri" w:hAnsi="Times New Roman" w:cs="Times New Roman"/>
        </w:rPr>
        <w:t xml:space="preserve">There is also an opportunity to create a Fe-V process which this research attempted but could not complete due to insufficient data. </w:t>
      </w:r>
    </w:p>
    <w:p w:rsidR="00562C70" w:rsidRPr="000906E1" w:rsidRDefault="00562C70" w:rsidP="00562C70">
      <w:pPr>
        <w:spacing w:line="360" w:lineRule="auto"/>
        <w:jc w:val="both"/>
        <w:rPr>
          <w:rFonts w:ascii="Times New Roman" w:hAnsi="Times New Roman" w:cs="Times New Roman"/>
          <w:b/>
        </w:rPr>
      </w:pPr>
      <w:r w:rsidRPr="000906E1">
        <w:rPr>
          <w:rFonts w:ascii="Times New Roman" w:hAnsi="Times New Roman" w:cs="Times New Roman"/>
          <w:b/>
        </w:rPr>
        <w:t>LCA – Alloying additions</w:t>
      </w:r>
    </w:p>
    <w:p w:rsidR="004366CF" w:rsidRPr="000906E1" w:rsidRDefault="00562C70" w:rsidP="00EE7761">
      <w:pPr>
        <w:pStyle w:val="ListParagraph"/>
        <w:numPr>
          <w:ilvl w:val="0"/>
          <w:numId w:val="30"/>
        </w:numPr>
        <w:spacing w:line="360" w:lineRule="auto"/>
        <w:jc w:val="both"/>
        <w:rPr>
          <w:rFonts w:ascii="Times New Roman" w:hAnsi="Times New Roman" w:cs="Times New Roman"/>
        </w:rPr>
      </w:pPr>
      <w:r w:rsidRPr="000906E1">
        <w:rPr>
          <w:rFonts w:ascii="Times New Roman" w:hAnsi="Times New Roman" w:cs="Times New Roman"/>
        </w:rPr>
        <w:t>Increase the range of grades of steel investigated as well as the potential for application in related steel fields such as stainless and aerospace steels.</w:t>
      </w:r>
    </w:p>
    <w:p w:rsidR="00785EBA" w:rsidRPr="000906E1" w:rsidRDefault="00562C70" w:rsidP="006032B5">
      <w:pPr>
        <w:pStyle w:val="ListParagraph"/>
        <w:numPr>
          <w:ilvl w:val="0"/>
          <w:numId w:val="30"/>
        </w:numPr>
        <w:spacing w:line="360" w:lineRule="auto"/>
        <w:jc w:val="both"/>
        <w:rPr>
          <w:rFonts w:ascii="Times New Roman" w:hAnsi="Times New Roman" w:cs="Times New Roman"/>
        </w:rPr>
        <w:sectPr w:rsidR="00785EBA" w:rsidRPr="000906E1" w:rsidSect="00C24042">
          <w:pgSz w:w="11906" w:h="16838"/>
          <w:pgMar w:top="1440" w:right="1440" w:bottom="1440" w:left="1440" w:header="708" w:footer="708" w:gutter="0"/>
          <w:cols w:space="708"/>
          <w:docGrid w:linePitch="360"/>
        </w:sectPr>
      </w:pPr>
      <w:r w:rsidRPr="000906E1">
        <w:rPr>
          <w:rFonts w:ascii="Times New Roman" w:hAnsi="Times New Roman" w:cs="Times New Roman"/>
        </w:rPr>
        <w:t>Build upon previously conducte</w:t>
      </w:r>
      <w:r w:rsidR="00D2436E">
        <w:rPr>
          <w:rFonts w:ascii="Times New Roman" w:hAnsi="Times New Roman" w:cs="Times New Roman"/>
        </w:rPr>
        <w:t>d work by Kerry Tudor on ‘Life C</w:t>
      </w:r>
      <w:r w:rsidRPr="000906E1">
        <w:rPr>
          <w:rFonts w:ascii="Times New Roman" w:hAnsi="Times New Roman" w:cs="Times New Roman"/>
        </w:rPr>
        <w:t>ycle CO</w:t>
      </w:r>
      <w:r w:rsidRPr="000906E1">
        <w:rPr>
          <w:rFonts w:ascii="Times New Roman" w:hAnsi="Times New Roman" w:cs="Times New Roman"/>
          <w:vertAlign w:val="subscript"/>
        </w:rPr>
        <w:t>2</w:t>
      </w:r>
      <w:r w:rsidRPr="000906E1">
        <w:rPr>
          <w:rFonts w:ascii="Times New Roman" w:hAnsi="Times New Roman" w:cs="Times New Roman"/>
        </w:rPr>
        <w:t xml:space="preserve"> analysis of AHSS in vehicles’ by inputting the alloying additions data and processes created in this research to determine the true benefit cradle to grave of AHSS.</w:t>
      </w:r>
    </w:p>
    <w:p w:rsidR="00A30BF4" w:rsidRPr="005B3139" w:rsidRDefault="00A30BF4" w:rsidP="00A30BF4">
      <w:pPr>
        <w:pStyle w:val="Heading1"/>
        <w:rPr>
          <w:rFonts w:eastAsia="Calibri Light"/>
        </w:rPr>
      </w:pPr>
      <w:r w:rsidRPr="005B3139">
        <w:rPr>
          <w:rFonts w:eastAsia="Calibri Light"/>
        </w:rPr>
        <w:lastRenderedPageBreak/>
        <w:t>Appendices</w:t>
      </w:r>
    </w:p>
    <w:p w:rsidR="00A20F9B" w:rsidRPr="00A20F9B" w:rsidRDefault="00A30BF4" w:rsidP="00A20F9B">
      <w:pPr>
        <w:pStyle w:val="Heading2"/>
        <w:rPr>
          <w:rFonts w:eastAsia="Calibri Light"/>
        </w:rPr>
      </w:pPr>
      <w:r w:rsidRPr="005B3139">
        <w:rPr>
          <w:rFonts w:eastAsia="Calibri Light"/>
        </w:rPr>
        <w:t>A. References</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Achzet B., Reller A., Zepf V., (University of Augsburg), Rennie C., (B</w:t>
      </w:r>
      <w:r>
        <w:rPr>
          <w:rFonts w:ascii="Calibri" w:hAnsi="Calibri" w:cs="Times New Roman"/>
          <w:noProof/>
          <w:szCs w:val="24"/>
        </w:rPr>
        <w:t xml:space="preserve">P), Ashfield M. and Simmons J., </w:t>
      </w:r>
      <w:r w:rsidRPr="00A20F9B">
        <w:rPr>
          <w:rFonts w:ascii="Calibri" w:hAnsi="Calibri" w:cs="Times New Roman"/>
          <w:noProof/>
          <w:szCs w:val="24"/>
        </w:rPr>
        <w:t>(ON Communication) (2011): Materials critical to the energy i</w:t>
      </w:r>
      <w:r w:rsidR="00F10B41">
        <w:rPr>
          <w:rFonts w:ascii="Calibri" w:hAnsi="Calibri" w:cs="Times New Roman"/>
          <w:noProof/>
          <w:szCs w:val="24"/>
        </w:rPr>
        <w:t>ndustry. An introduction. [PDF].</w:t>
      </w: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Adriaanse, A., Bringezu, Stefan, Hammond, A., Moriguchi, Yuichi, Rodenburg, Eric, Rogich, Don, and Schütz, Helmut (1997): Resource Flows, The Material Basis of Industrial Economies. Washington DC: World Resources Institute</w:t>
      </w:r>
      <w:r w:rsidR="00F10B41">
        <w:rPr>
          <w:rFonts w:ascii="Calibri" w:hAnsi="Calibri" w:cs="Times New Roman"/>
          <w:noProof/>
          <w:szCs w:val="24"/>
        </w:rPr>
        <w:t>.</w:t>
      </w:r>
    </w:p>
    <w:p w:rsidR="00DC3F87" w:rsidRPr="00A20F9B" w:rsidRDefault="00DC3F87" w:rsidP="00DC3F87">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AEA, 2010. Review of the Future Resource Risks Faced by UK Business and an Assessment of Future Viability AE</w:t>
      </w:r>
      <w:r>
        <w:rPr>
          <w:rFonts w:ascii="Calibri" w:hAnsi="Calibri" w:cs="Times New Roman"/>
          <w:noProof/>
          <w:szCs w:val="24"/>
        </w:rPr>
        <w:t xml:space="preserve">A Technology plc, London, UK. </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Allwood, J.M., 2015. Private communication</w:t>
      </w:r>
      <w:r w:rsidR="00F10B41">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Amann, C. (2004). Development of material use in the EU-15 : 1970-2001. Types of materials, cross-country comparison and indicator improvement. Draft Working Paper. Office for Official Publications of the European Communities, Luxembourg.</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Angerer, G., Marscheider-Weidemann, F., Lüllmann, A., Erdmann, L., Scharp, M., Handke, V. and Marwede, M., (2009). Raw materials for emerging technologies. Karlsruhe: Fraunhofer.</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Atlantic Ltd, (2013). Vanadium Market Outlook. (Powerpoint Presentation). Available: http://www.mantaring.com/AlloyMTD/VanadiumMarketOutlook.pdf [Accessed 22th April 2013]</w:t>
      </w:r>
      <w:r w:rsidR="00F10B41">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 xml:space="preserve">Ayres, R.U. and Kneese, A.V., 1969. Production, consumption, and externalities. The American Economic Review, 59(3), pp.282-297. </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Bartzas, G. and Komnitsas, K., 2015. Life cycle assessment of ferronickel production in Greece. Resources, Conservation and Recycling, 105, pp.113-122.</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 xml:space="preserve">Bauer, D., Diamond, D., Li, J., McKittrick, M., Sandalow, D. and Telleen, P., 2011. Critical Materials Strategy. US Department of Energy. Washington DC, 2011. </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Baumann, H. and Tillman, A.M., 2004. The Hitch Hiker's Guide to LCA. An orientation in life cycle assessment methodology and application. External organization.</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Bedinger, George M, Corathers, Lisa A. Kuck, Peter H Papp, John F. Polyak, Désirée E. Shedd, Kim B and Tuck, Christopher A (2014). Ferro-alloys Advance Release. Available: http:// www.usgs.com</w:t>
      </w:r>
      <w:r w:rsidR="00F10B41">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Bergbäck, B., Johansson, K. and Mohlander, U., 2001. Urban metal flows–a case study of Stockholm. Review and Conclusions. Water, air and soil pollution: Focus, 1(3-4), pp.3-24.</w:t>
      </w:r>
    </w:p>
    <w:p w:rsidR="00F576AE"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Berkel</w:t>
      </w:r>
      <w:r w:rsidR="00BA77D9">
        <w:rPr>
          <w:rFonts w:ascii="Calibri" w:hAnsi="Calibri" w:cs="Times New Roman"/>
          <w:noProof/>
          <w:szCs w:val="24"/>
        </w:rPr>
        <w:t xml:space="preserve"> van</w:t>
      </w:r>
      <w:r w:rsidRPr="00A20F9B">
        <w:rPr>
          <w:rFonts w:ascii="Calibri" w:hAnsi="Calibri" w:cs="Times New Roman"/>
          <w:noProof/>
          <w:szCs w:val="24"/>
        </w:rPr>
        <w:t xml:space="preserve">, R., 2007. Eco-efficiency in primary metals production: Context, perspectives and methods. </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 xml:space="preserve">Resources, Conservation and </w:t>
      </w:r>
      <w:r w:rsidR="00DC3F87">
        <w:rPr>
          <w:rFonts w:ascii="Calibri" w:hAnsi="Calibri" w:cs="Times New Roman"/>
          <w:noProof/>
          <w:szCs w:val="24"/>
        </w:rPr>
        <w:t>R</w:t>
      </w:r>
      <w:r w:rsidRPr="00A20F9B">
        <w:rPr>
          <w:rFonts w:ascii="Calibri" w:hAnsi="Calibri" w:cs="Times New Roman"/>
          <w:noProof/>
          <w:szCs w:val="24"/>
        </w:rPr>
        <w:t>ecycling, 51(3), pp.511-540.</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British Geological Survey (2011) Niobium-Tantalum. Available: http://www.bgs.ac.uk/mineralsuk/statistics/mineralProfiles.html [Accessed 20th April 2012]</w:t>
      </w:r>
      <w:r w:rsidR="00F10B41">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British Geological Survey (BGS) Risk list, 2012, [Pdf], Available at: http://www.bgs.ac.uk/mineralsuk/statistics/riskList.html [Accessed 20th April 2012]</w:t>
      </w:r>
      <w:r w:rsidR="00F10B41">
        <w:rPr>
          <w:rFonts w:ascii="Calibri" w:hAnsi="Calibri" w:cs="Times New Roman"/>
          <w:noProof/>
          <w:szCs w:val="24"/>
        </w:rPr>
        <w:t>.</w:t>
      </w: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Blossom, J.W., 2002. Molybdenum recycling in the United States in 1998. Open-file Report. U. S. Geological Survey, (165), p.16.</w:t>
      </w:r>
    </w:p>
    <w:p w:rsidR="00113DEB" w:rsidRPr="00A20F9B" w:rsidRDefault="00113DEB" w:rsidP="00A20F9B">
      <w:pPr>
        <w:widowControl w:val="0"/>
        <w:autoSpaceDE w:val="0"/>
        <w:autoSpaceDN w:val="0"/>
        <w:adjustRightInd w:val="0"/>
        <w:spacing w:line="240" w:lineRule="auto"/>
        <w:ind w:left="480" w:hanging="480"/>
        <w:jc w:val="both"/>
        <w:rPr>
          <w:rFonts w:ascii="Calibri" w:hAnsi="Calibri" w:cs="Times New Roman"/>
          <w:noProof/>
          <w:szCs w:val="24"/>
        </w:rPr>
      </w:pP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lastRenderedPageBreak/>
        <w:t>Browning, C., Northey, S., Haque, N., Bruckard, W. and Cooksey, M., 2016. Life cycle assessment of rare earth production from monazite. In Rewas 2016 (pp. 83-88). Springer International</w:t>
      </w:r>
      <w:r w:rsidR="00F10B41">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Brunner, P.H., Daxbeck, H. and Baccini, P., 1994. Industrial metabolism at the regional and local level: A case-study on a Swiss region. Industrial metabolism: Restructuring for sustainable development, pp.163-193.</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Brunner, P.H. and Rechberger, H., 2004. Practical handbook of material flow analysis.</w:t>
      </w: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Buchert, M., Schüler, D. and Bleher, D., 2009. Critical metals for future sustainable technologies and their recycling potential: United Nations Environment Programme &amp; United Nations University, 81 p., accessed February 1, 2013.</w:t>
      </w:r>
    </w:p>
    <w:p w:rsidR="003807CF" w:rsidRPr="00A20F9B" w:rsidRDefault="003807CF" w:rsidP="00A20F9B">
      <w:pPr>
        <w:widowControl w:val="0"/>
        <w:autoSpaceDE w:val="0"/>
        <w:autoSpaceDN w:val="0"/>
        <w:adjustRightInd w:val="0"/>
        <w:spacing w:line="240" w:lineRule="auto"/>
        <w:ind w:left="480" w:hanging="480"/>
        <w:jc w:val="both"/>
        <w:rPr>
          <w:rFonts w:ascii="Calibri" w:hAnsi="Calibri" w:cs="Times New Roman"/>
          <w:noProof/>
          <w:szCs w:val="24"/>
        </w:rPr>
      </w:pPr>
      <w:r w:rsidRPr="003807CF">
        <w:rPr>
          <w:rFonts w:ascii="Calibri" w:hAnsi="Calibri" w:cs="Times New Roman"/>
          <w:noProof/>
          <w:szCs w:val="24"/>
        </w:rPr>
        <w:t>Burgert,</w:t>
      </w:r>
      <w:r>
        <w:rPr>
          <w:rFonts w:ascii="Calibri" w:hAnsi="Calibri" w:cs="Times New Roman"/>
          <w:noProof/>
          <w:szCs w:val="24"/>
        </w:rPr>
        <w:t xml:space="preserve"> P</w:t>
      </w:r>
      <w:r w:rsidRPr="003807CF">
        <w:rPr>
          <w:rFonts w:ascii="Calibri" w:hAnsi="Calibri" w:cs="Times New Roman"/>
          <w:noProof/>
          <w:szCs w:val="24"/>
        </w:rPr>
        <w:t xml:space="preserve"> 2012. ‘Supply Disruption threats looming for Cobalt’, Investing in African Mining Indaba. Online Review February 9, 2012 Available at www.miningjournal.com.</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Castellano, H., 2001. Material flow analysis in Venezuela. Report to the European Commission DG XI, EU FP4 INCO-DEV project" Amazonia21".,-unpublished.</w:t>
      </w: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Chegwidden, J. and Kingsnorth, D.J., 2011. Rare earths—an evaluation of current and future supply. Presentation to the Institute for the Analysis of Global Security.</w:t>
      </w:r>
    </w:p>
    <w:p w:rsidR="00DC3F87" w:rsidRPr="00A20F9B" w:rsidRDefault="00DC3F87" w:rsidP="00DC3F87">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 xml:space="preserve">Chen, W.Q. and Graedel, T.E., 2012. Anthropogenic cycles of the elements: A </w:t>
      </w:r>
      <w:r>
        <w:rPr>
          <w:rFonts w:ascii="Calibri" w:hAnsi="Calibri" w:cs="Times New Roman"/>
          <w:noProof/>
          <w:szCs w:val="24"/>
        </w:rPr>
        <w:t>critical review. Environmental Science &amp; T</w:t>
      </w:r>
      <w:r w:rsidRPr="00A20F9B">
        <w:rPr>
          <w:rFonts w:ascii="Calibri" w:hAnsi="Calibri" w:cs="Times New Roman"/>
          <w:noProof/>
          <w:szCs w:val="24"/>
        </w:rPr>
        <w:t>e</w:t>
      </w:r>
      <w:r>
        <w:rPr>
          <w:rFonts w:ascii="Calibri" w:hAnsi="Calibri" w:cs="Times New Roman"/>
          <w:noProof/>
          <w:szCs w:val="24"/>
        </w:rPr>
        <w:t>chnology, 46(16), pp.8574-8586.</w:t>
      </w: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Chen, S., Fu, X., Chu, M., Liu, Z. and Tang, J., 2015. Life cycle assessment of the comprehensive utilisation of vanadium titano-magnetite. Journal of Cleaner Production, 101, pp.122-128.</w:t>
      </w:r>
    </w:p>
    <w:p w:rsidR="00DC3F87" w:rsidRPr="00A20F9B" w:rsidRDefault="00DC3F87" w:rsidP="00DC3F87">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Cullen, J.M., Allwood, J.M. and Bambach, M.D., 2012. Mapping the global flow of steel: from steelmaking t</w:t>
      </w:r>
      <w:r>
        <w:rPr>
          <w:rFonts w:ascii="Calibri" w:hAnsi="Calibri" w:cs="Times New Roman"/>
          <w:noProof/>
          <w:szCs w:val="24"/>
        </w:rPr>
        <w:t>o end-use goods. Environmental Science &amp; T</w:t>
      </w:r>
      <w:r w:rsidRPr="00A20F9B">
        <w:rPr>
          <w:rFonts w:ascii="Calibri" w:hAnsi="Calibri" w:cs="Times New Roman"/>
          <w:noProof/>
          <w:szCs w:val="24"/>
        </w:rPr>
        <w:t>ech</w:t>
      </w:r>
      <w:r>
        <w:rPr>
          <w:rFonts w:ascii="Calibri" w:hAnsi="Calibri" w:cs="Times New Roman"/>
          <w:noProof/>
          <w:szCs w:val="24"/>
        </w:rPr>
        <w:t>nology, 46(24), pp.13048-13055.</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Cullen, J.M. and Allwood, J.M., 2013. Mapping the global flow of aluminium: From liquid aluminium t</w:t>
      </w:r>
      <w:r w:rsidR="00DC3F87">
        <w:rPr>
          <w:rFonts w:ascii="Calibri" w:hAnsi="Calibri" w:cs="Times New Roman"/>
          <w:noProof/>
          <w:szCs w:val="24"/>
        </w:rPr>
        <w:t>o end-use goods. Environmental Science &amp; T</w:t>
      </w:r>
      <w:r w:rsidRPr="00A20F9B">
        <w:rPr>
          <w:rFonts w:ascii="Calibri" w:hAnsi="Calibri" w:cs="Times New Roman"/>
          <w:noProof/>
          <w:szCs w:val="24"/>
        </w:rPr>
        <w:t>echnology, 47(7), pp.3057-3064.</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Cunningham, L.D., 1998. Columbium (niobium). Plunkert, PA, and Jones, TS, comps., Metal prices in the United States through, pp.35-38.</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Daigo, I., Hashimoto, S., Matsuno, Y. and Adachi, Y., 2009. Material stocks and flows accounting for copper and copper-based alloys in Japan. Resources, Conservation and Recycling, 53(4), pp.208-217.</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Daigo, I., Matsuno, Y. and Adachi, Y., 2010. Substance flow analysis of chromium and nickel in the material flow of stainless steel in Japan. Resources, Conservation and Recycling, 54(11), pp.851-863.</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Danish Energy Authority, Elkraft and Eltra (2004), Technology data for electricity and heat generating plants. Danish Energy Autho</w:t>
      </w:r>
      <w:r>
        <w:rPr>
          <w:rFonts w:ascii="Calibri" w:hAnsi="Calibri" w:cs="Times New Roman"/>
          <w:noProof/>
          <w:szCs w:val="24"/>
        </w:rPr>
        <w:t>rity, Copen</w:t>
      </w:r>
      <w:r w:rsidR="00F10B41">
        <w:rPr>
          <w:rFonts w:ascii="Calibri" w:hAnsi="Calibri" w:cs="Times New Roman"/>
          <w:noProof/>
          <w:szCs w:val="24"/>
        </w:rPr>
        <w:t>hagen.</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 xml:space="preserve">Du, X. and Graedel, T.E., 2011. Global in-use stocks of the rare earth elements: a first estimate. Environmental </w:t>
      </w:r>
      <w:r w:rsidR="00DC3F87">
        <w:rPr>
          <w:rFonts w:ascii="Calibri" w:hAnsi="Calibri" w:cs="Times New Roman"/>
          <w:noProof/>
          <w:szCs w:val="24"/>
        </w:rPr>
        <w:t>S</w:t>
      </w:r>
      <w:r w:rsidRPr="00A20F9B">
        <w:rPr>
          <w:rFonts w:ascii="Calibri" w:hAnsi="Calibri" w:cs="Times New Roman"/>
          <w:noProof/>
          <w:szCs w:val="24"/>
        </w:rPr>
        <w:t xml:space="preserve">cience &amp; </w:t>
      </w:r>
      <w:r w:rsidR="00DC3F87">
        <w:rPr>
          <w:rFonts w:ascii="Calibri" w:hAnsi="Calibri" w:cs="Times New Roman"/>
          <w:noProof/>
          <w:szCs w:val="24"/>
        </w:rPr>
        <w:t>T</w:t>
      </w:r>
      <w:r w:rsidRPr="00A20F9B">
        <w:rPr>
          <w:rFonts w:ascii="Calibri" w:hAnsi="Calibri" w:cs="Times New Roman"/>
          <w:noProof/>
          <w:szCs w:val="24"/>
        </w:rPr>
        <w:t>echnology, 45(9), pp.4096-4101.</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Du, X. and Graedel, T.E., 2011. Uncovering the global life cycles of the rare earth elements. Scientific reports, 1, p.145.</w:t>
      </w:r>
    </w:p>
    <w:p w:rsidR="006032B5" w:rsidRDefault="00A20F9B" w:rsidP="006032B5">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Duclos, S.J., Otto, J.P. and Konitzer, D.G., 2010. Design in an era of constrained resources. Mechanical Engineering, 132(9), p.36.</w:t>
      </w:r>
    </w:p>
    <w:p w:rsidR="006032B5" w:rsidRPr="00A20F9B" w:rsidRDefault="006032B5" w:rsidP="006032B5">
      <w:pPr>
        <w:widowControl w:val="0"/>
        <w:autoSpaceDE w:val="0"/>
        <w:autoSpaceDN w:val="0"/>
        <w:adjustRightInd w:val="0"/>
        <w:spacing w:line="240" w:lineRule="auto"/>
        <w:ind w:left="480" w:hanging="480"/>
        <w:jc w:val="both"/>
        <w:rPr>
          <w:rFonts w:ascii="Calibri" w:hAnsi="Calibri" w:cs="Times New Roman"/>
          <w:noProof/>
          <w:szCs w:val="24"/>
        </w:rPr>
      </w:pPr>
    </w:p>
    <w:p w:rsidR="00113DEB" w:rsidRPr="00A20F9B" w:rsidRDefault="00A20F9B" w:rsidP="006032B5">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lastRenderedPageBreak/>
        <w:t>Elshkaki, A., van der Voet, E., Timmermans, V. and Van Holderbeke, M., 2005. Dynamic stock modelling: A method for the identification and estimation of future waste streams and emissions based on past production and product stock characteristics. Energy, 30(8), pp.1353-1363.</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Elshkaki, A. and Van Der Voet, E., 2006. The consequences of the use of platinum in new technologies on its availability and on other metals cycles. Conservation &amp; Recycling and Resources: New Re</w:t>
      </w:r>
      <w:r>
        <w:rPr>
          <w:rFonts w:ascii="Calibri" w:hAnsi="Calibri" w:cs="Times New Roman"/>
          <w:noProof/>
          <w:szCs w:val="24"/>
        </w:rPr>
        <w:t>search. Nova Science, pp.61-92.</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 xml:space="preserve">Erdmann, L. and Graedel, T.E., 2011. Criticality of non-fuel minerals: a review of major approaches and analyses. Environmental </w:t>
      </w:r>
      <w:r w:rsidR="006E7DFB">
        <w:rPr>
          <w:rFonts w:ascii="Calibri" w:hAnsi="Calibri" w:cs="Times New Roman"/>
          <w:noProof/>
          <w:szCs w:val="24"/>
        </w:rPr>
        <w:t>Science &amp; T</w:t>
      </w:r>
      <w:r w:rsidR="00146447">
        <w:rPr>
          <w:rFonts w:ascii="Calibri" w:hAnsi="Calibri" w:cs="Times New Roman"/>
          <w:noProof/>
          <w:szCs w:val="24"/>
        </w:rPr>
        <w:t xml:space="preserve"> </w:t>
      </w:r>
      <w:r w:rsidRPr="00A20F9B">
        <w:rPr>
          <w:rFonts w:ascii="Calibri" w:hAnsi="Calibri" w:cs="Times New Roman"/>
          <w:noProof/>
          <w:szCs w:val="24"/>
        </w:rPr>
        <w:t>echnology, 45(18), pp.7620-7630.</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 xml:space="preserve">Eurometaux, (2014).  Chapter 8 - Processes to Produce Ferro-alloys. </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European Union Commission, 2010. Critical raw materials for the EU. Report of the Ad-hoc Working Group on defining critical raw materials. Ad-hoc Working Group: July, 2010, p.84.</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European Union Commission, 2014. Report on Critical Raw materials for the EU. Retrieved April, 30, p.2015.</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Eurostat, H.W., Fischer-Kowalski, M., Amann, C., Eisenmenger, N., Erb, K., Hubacek, K., Krausmann, F. and Schultz, N.B., 2002. Material use in the European Union 1980—2000: Indicators and analysis. Working Paper and Studies series. Luxembourg: Office for Official Publications of the European Communities.</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Finley, M., 2013. BP statistical review of world energy. 2013)[2015-03]. http://www, bp. com.</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Finnveden, G., Hauschild, M.Z., Ekvall, T., Guinée, J., Heijungs, R., Hellweg, S., Koehler, A., Pennington, D. and Suh, S., 2009. Recent developments in lif</w:t>
      </w:r>
      <w:r w:rsidR="00146447">
        <w:rPr>
          <w:rFonts w:ascii="Calibri" w:hAnsi="Calibri" w:cs="Times New Roman"/>
          <w:noProof/>
          <w:szCs w:val="24"/>
        </w:rPr>
        <w:t>e cycle assessment. Journal of E</w:t>
      </w:r>
      <w:r w:rsidRPr="00A20F9B">
        <w:rPr>
          <w:rFonts w:ascii="Calibri" w:hAnsi="Calibri" w:cs="Times New Roman"/>
          <w:noProof/>
          <w:szCs w:val="24"/>
        </w:rPr>
        <w:t>nvironment</w:t>
      </w:r>
      <w:r w:rsidR="00146447">
        <w:rPr>
          <w:rFonts w:ascii="Calibri" w:hAnsi="Calibri" w:cs="Times New Roman"/>
          <w:noProof/>
          <w:szCs w:val="24"/>
        </w:rPr>
        <w:t>al M</w:t>
      </w:r>
      <w:r w:rsidRPr="00A20F9B">
        <w:rPr>
          <w:rFonts w:ascii="Calibri" w:hAnsi="Calibri" w:cs="Times New Roman"/>
          <w:noProof/>
          <w:szCs w:val="24"/>
        </w:rPr>
        <w:t>anagement, 91(1), pp.1-21.</w:t>
      </w: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Fischer-Kowalski, M., Haberl, H. and Payer, H., 1994. A plethora of paradigms: Outlining an information system on physical exchanges between the economy and nature. Industrial metabolism: Restructuring for sustainable development.</w:t>
      </w:r>
    </w:p>
    <w:p w:rsidR="00146447" w:rsidRPr="00A20F9B" w:rsidRDefault="00146447" w:rsidP="00146447">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Fischer-Kowalski, M., 1997. Society</w:t>
      </w:r>
      <w:r>
        <w:rPr>
          <w:rFonts w:ascii="Calibri" w:hAnsi="Calibri" w:cs="Times New Roman"/>
          <w:noProof/>
          <w:szCs w:val="24"/>
        </w:rPr>
        <w:t>’</w:t>
      </w:r>
      <w:r w:rsidRPr="00A20F9B">
        <w:rPr>
          <w:rFonts w:ascii="Calibri" w:hAnsi="Calibri" w:cs="Times New Roman"/>
          <w:noProof/>
          <w:szCs w:val="24"/>
        </w:rPr>
        <w:t>s Metabolism. On the Development of Concepts and Methodology of Material Flow Analysis. A Review of the Literature. In ConAccount Conference on Material Flow Accounting, Univ. of Leiden, Jan</w:t>
      </w:r>
      <w:r>
        <w:rPr>
          <w:rFonts w:ascii="Calibri" w:hAnsi="Calibri" w:cs="Times New Roman"/>
          <w:noProof/>
          <w:szCs w:val="24"/>
        </w:rPr>
        <w:t>uary (pp. 21-23).</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Fossay, C., 2012. KPMG - Special Commodity Insights Bulletin: Chrome and Ferrochrome.[PDF] Publication number: 120420</w:t>
      </w:r>
      <w:r w:rsidR="00F10B41">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Frischknecht, R., Jungbluth, N., Althaus, H.J., Bauer, C., Doka, G., Dones, R., Hischier, R., Hellweg, S., Humbert, S., Köllner, T. and Loerincik, Y., 2007. Implementation of life cycle impact assessment methods. Ecoinvent report.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Fthenakis, V., 2009. Sustainability of photovoltaics: The case for thin-film solar cells. Renewable and Sustainable Energy Reviews, 13(9), pp.2746-2750.</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Fund for Peace (2016). Fragile State Indicators. [Online]. Available: http://fsi.fundforpeace.org/indicators [Accessed 23rd August 2015]</w:t>
      </w:r>
      <w:r w:rsidR="00F10B41">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Gasik, M. ed., 2013. Handbook of ferroalloys: theory and technology. Butterworth-Heinemann.</w:t>
      </w:r>
    </w:p>
    <w:p w:rsidR="00113DEB" w:rsidRDefault="00A20F9B" w:rsidP="00146447">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hint="eastAsia"/>
          <w:noProof/>
          <w:szCs w:val="24"/>
        </w:rPr>
        <w:t>Giljum, S., 2004. Trade, materials flows, and economic development in the South: the example of Chile. Journal of Industrial Ecology, 8(1</w:t>
      </w:r>
      <w:r w:rsidRPr="00A20F9B">
        <w:rPr>
          <w:rFonts w:ascii="Calibri" w:hAnsi="Calibri" w:cs="Times New Roman" w:hint="eastAsia"/>
          <w:noProof/>
          <w:szCs w:val="24"/>
        </w:rPr>
        <w:t>‐</w:t>
      </w:r>
      <w:r w:rsidRPr="00A20F9B">
        <w:rPr>
          <w:rFonts w:ascii="Calibri" w:hAnsi="Calibri" w:cs="Times New Roman" w:hint="eastAsia"/>
          <w:noProof/>
          <w:szCs w:val="24"/>
        </w:rPr>
        <w:t>2), pp.241-261.</w:t>
      </w:r>
    </w:p>
    <w:p w:rsidR="006032B5" w:rsidRDefault="006032B5" w:rsidP="00146447">
      <w:pPr>
        <w:widowControl w:val="0"/>
        <w:autoSpaceDE w:val="0"/>
        <w:autoSpaceDN w:val="0"/>
        <w:adjustRightInd w:val="0"/>
        <w:spacing w:line="240" w:lineRule="auto"/>
        <w:ind w:left="480" w:hanging="480"/>
        <w:jc w:val="both"/>
        <w:rPr>
          <w:rFonts w:ascii="Calibri" w:hAnsi="Calibri" w:cs="Times New Roman"/>
          <w:noProof/>
          <w:szCs w:val="24"/>
        </w:rPr>
      </w:pPr>
    </w:p>
    <w:p w:rsidR="006032B5" w:rsidRPr="00A20F9B" w:rsidRDefault="006032B5" w:rsidP="00146447">
      <w:pPr>
        <w:widowControl w:val="0"/>
        <w:autoSpaceDE w:val="0"/>
        <w:autoSpaceDN w:val="0"/>
        <w:adjustRightInd w:val="0"/>
        <w:spacing w:line="240" w:lineRule="auto"/>
        <w:ind w:left="480" w:hanging="480"/>
        <w:jc w:val="both"/>
        <w:rPr>
          <w:rFonts w:ascii="Calibri" w:hAnsi="Calibri" w:cs="Times New Roman"/>
          <w:noProof/>
          <w:szCs w:val="24"/>
        </w:rPr>
      </w:pPr>
    </w:p>
    <w:p w:rsidR="000F0754" w:rsidRDefault="00A20F9B" w:rsidP="006032B5">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lastRenderedPageBreak/>
        <w:t>Graedel, T.E., Van Beers, D., Bertram, M., Fuse, K., Gordon, R.B., Gritsinin, A., Kapur, A., Klee, R.J., Lifset, R.J., Memon, L. and Rechberger, H., 2004. Multilevel cycle of anthr</w:t>
      </w:r>
      <w:r w:rsidR="00146447">
        <w:rPr>
          <w:rFonts w:ascii="Calibri" w:hAnsi="Calibri" w:cs="Times New Roman"/>
          <w:noProof/>
          <w:szCs w:val="24"/>
        </w:rPr>
        <w:t>opogenic copper. Environmental Science &amp; T</w:t>
      </w:r>
      <w:r w:rsidR="00113DEB">
        <w:rPr>
          <w:rFonts w:ascii="Calibri" w:hAnsi="Calibri" w:cs="Times New Roman"/>
          <w:noProof/>
          <w:szCs w:val="24"/>
        </w:rPr>
        <w:t>echnology, 38(4), pp.1242-1252.</w:t>
      </w: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Graedel, T.E., Beers, D., Bertram, M., Fuse, K., Gordon, R.B., Gritsinin, A., Harper, E.M., Kapur, A., Klee, R.J., Lifset, R. and Memon, L., 2005. The multilevel cycle of anthropogenic zinc. Journal of Industrial Ecology, 9(3), pp.67-90.</w:t>
      </w:r>
    </w:p>
    <w:p w:rsidR="00146447" w:rsidRPr="00A20F9B" w:rsidRDefault="00146447" w:rsidP="00146447">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Graedel, T.E., Barr, R., Chandler, C., Chase, T., Choi, J., Christoffersen, L., Friedlander, E., Henly, C., Jun, C., Nassar, N.T. and Schechner, D., 2012. Methodology of metal criticalit</w:t>
      </w:r>
      <w:r>
        <w:rPr>
          <w:rFonts w:ascii="Calibri" w:hAnsi="Calibri" w:cs="Times New Roman"/>
          <w:noProof/>
          <w:szCs w:val="24"/>
        </w:rPr>
        <w:t>y determination. Environmental S</w:t>
      </w:r>
      <w:r w:rsidRPr="00A20F9B">
        <w:rPr>
          <w:rFonts w:ascii="Calibri" w:hAnsi="Calibri" w:cs="Times New Roman"/>
          <w:noProof/>
          <w:szCs w:val="24"/>
        </w:rPr>
        <w:t xml:space="preserve">cience &amp; </w:t>
      </w:r>
      <w:r>
        <w:rPr>
          <w:rFonts w:ascii="Calibri" w:hAnsi="Calibri" w:cs="Times New Roman"/>
          <w:noProof/>
          <w:szCs w:val="24"/>
        </w:rPr>
        <w:t>T</w:t>
      </w:r>
      <w:r w:rsidRPr="00A20F9B">
        <w:rPr>
          <w:rFonts w:ascii="Calibri" w:hAnsi="Calibri" w:cs="Times New Roman"/>
          <w:noProof/>
          <w:szCs w:val="24"/>
        </w:rPr>
        <w:t>echnology, 46(2), pp.1063-1070.</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Gregory, J., (2006). Massachusetts Institute of Technology- Department of Materials Science &amp; Engineering.  ‘Material Flow Analysis’ [Power point presentation]. , pp.1–37.</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Gruber, P., 2010. Global Lithium availability: a constraint for electric vehicles? (Doctoral dissertation, University of Michigan).</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Guinee, J.B., Heijungs, R., Huppes, G., Zamagni, A., Masoni, P., Buonamici, R., Ekvall, T. and Rydberg, T., 2010. Life cycle assessment: past, present, and future.</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Guo, X. and Song, Y., 2008. Substance flow analysis of copper in China. Resources, Conservation and Recycling, 52(6), pp.874-882.</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Guo, X., Zhong, J., Song, Y. and Tian, Q., 2010. Substance flow analysis of zinc in China. Resources, Conservation and Recycling, 54(3), pp.171-177.</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Haberl, H., Weisz, H., Bartley, D.M., Brugère, C., Soto, D., Gerber, P. and Harvey, B., 2007. The potential use of the Materials and Energy Flow Analysis (MEFA) framework to evaluate the environmental costs of agricultural production systems and possible applications to aquaculture.</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Hagelüken, C. and Meskers, C.E., 2010. Complex life cycles of precious and special metals. Linkages of sustainability, 4.</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Halada, K. Japanese Data on Metals Flow, New Haven, 2008. http://www.nims.go.jp/ecomaterial/hal/MR/doc/Yale080815b.pdf.</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 xml:space="preserve">Haque, N. and Norgate, T., 2013. Estimation of greenhouse gas emissions from ferroalloy production using life cycle assessment with particular reference to Australia. </w:t>
      </w:r>
      <w:r w:rsidR="00F10B41">
        <w:rPr>
          <w:rFonts w:ascii="Calibri" w:hAnsi="Calibri" w:cs="Times New Roman"/>
          <w:noProof/>
          <w:szCs w:val="24"/>
        </w:rPr>
        <w:t>Journal of Cleaner P</w:t>
      </w:r>
      <w:r w:rsidRPr="00A20F9B">
        <w:rPr>
          <w:rFonts w:ascii="Calibri" w:hAnsi="Calibri" w:cs="Times New Roman"/>
          <w:noProof/>
          <w:szCs w:val="24"/>
        </w:rPr>
        <w:t>roduction, 39, pp.220-230.</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Harper, E.M. and Graedel, T.E., 2008. Illuminating tungsten’s life cycle in the United States: 1975− 2000. Environmental Science &amp; Technology, 42(10), pp.3835-3842.</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Hatayama, H., Yamada, H., Daigo, I., Matsuno, Y. and Adachi, Y., 2007. Dynamic substance flow analysis of aluminium and it</w:t>
      </w:r>
      <w:r w:rsidR="00F10B41">
        <w:rPr>
          <w:rFonts w:ascii="Calibri" w:hAnsi="Calibri" w:cs="Times New Roman"/>
          <w:noProof/>
          <w:szCs w:val="24"/>
        </w:rPr>
        <w:t>s alloying elements. Materials T</w:t>
      </w:r>
      <w:r w:rsidRPr="00A20F9B">
        <w:rPr>
          <w:rFonts w:ascii="Calibri" w:hAnsi="Calibri" w:cs="Times New Roman"/>
          <w:noProof/>
          <w:szCs w:val="24"/>
        </w:rPr>
        <w:t>ransactions, 48(9), pp.2518-2524.</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Hatayama, H., Daigo, I., Matsuno, Y. and Adachi, Y., 2010. Outlook of the world steel cycle based on the stock an</w:t>
      </w:r>
      <w:r w:rsidR="00F10B41">
        <w:rPr>
          <w:rFonts w:ascii="Calibri" w:hAnsi="Calibri" w:cs="Times New Roman"/>
          <w:noProof/>
          <w:szCs w:val="24"/>
        </w:rPr>
        <w:t>d flow dynamics. Environmental Science &amp; T</w:t>
      </w:r>
      <w:r w:rsidRPr="00A20F9B">
        <w:rPr>
          <w:rFonts w:ascii="Calibri" w:hAnsi="Calibri" w:cs="Times New Roman"/>
          <w:noProof/>
          <w:szCs w:val="24"/>
        </w:rPr>
        <w:t>echnology, 44(16), pp.6457-6463.</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Hatch (2014) Lifecycle assessment of global manganese alloy production. International Manganese Institute</w:t>
      </w:r>
      <w:r w:rsidR="00F10B41">
        <w:rPr>
          <w:rFonts w:ascii="Calibri" w:hAnsi="Calibri" w:cs="Times New Roman"/>
          <w:noProof/>
          <w:szCs w:val="24"/>
        </w:rPr>
        <w:t xml:space="preserve"> (IMnI)</w:t>
      </w:r>
      <w:r w:rsidRPr="00A20F9B">
        <w:rPr>
          <w:rFonts w:ascii="Calibri" w:hAnsi="Calibri" w:cs="Times New Roman"/>
          <w:noProof/>
          <w:szCs w:val="24"/>
        </w:rPr>
        <w:t>, Paris, Available online: http://www.manganese.org</w:t>
      </w:r>
      <w:r w:rsidR="00F10B41">
        <w:rPr>
          <w:rFonts w:ascii="Calibri" w:hAnsi="Calibri" w:cs="Times New Roman"/>
          <w:noProof/>
          <w:szCs w:val="24"/>
        </w:rPr>
        <w:t>.</w:t>
      </w: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Hendrickson, C.T., Lave, L.B. and Matthews, H.S., 2006. Environmental life cycle assessment of goods and services: an input-output approach. Resources for the Future.</w:t>
      </w:r>
    </w:p>
    <w:p w:rsidR="006032B5" w:rsidRDefault="006032B5" w:rsidP="00A20F9B">
      <w:pPr>
        <w:widowControl w:val="0"/>
        <w:autoSpaceDE w:val="0"/>
        <w:autoSpaceDN w:val="0"/>
        <w:adjustRightInd w:val="0"/>
        <w:spacing w:line="240" w:lineRule="auto"/>
        <w:ind w:left="480" w:hanging="480"/>
        <w:jc w:val="both"/>
        <w:rPr>
          <w:rFonts w:ascii="Calibri" w:hAnsi="Calibri" w:cs="Times New Roman"/>
          <w:noProof/>
          <w:szCs w:val="24"/>
        </w:rPr>
      </w:pPr>
    </w:p>
    <w:p w:rsidR="006032B5" w:rsidRPr="00A20F9B" w:rsidRDefault="006032B5" w:rsidP="00A20F9B">
      <w:pPr>
        <w:widowControl w:val="0"/>
        <w:autoSpaceDE w:val="0"/>
        <w:autoSpaceDN w:val="0"/>
        <w:adjustRightInd w:val="0"/>
        <w:spacing w:line="240" w:lineRule="auto"/>
        <w:ind w:left="480" w:hanging="480"/>
        <w:jc w:val="both"/>
        <w:rPr>
          <w:rFonts w:ascii="Calibri" w:hAnsi="Calibri" w:cs="Times New Roman"/>
          <w:noProof/>
          <w:szCs w:val="24"/>
        </w:rPr>
      </w:pP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lastRenderedPageBreak/>
        <w:t>Herczeg, M., Carlsen, R., Nemeskéri, R., Πειραιά, Β.Π. and στο KETlib, Α., 2007. Feasibility assessment of using the Substance Flow Analysis Methodology for chemicals information at macro-level (No. 1). Technical report.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Hilliard, H.E., 1994. The materials flow of vanadium in the United States. Washington, DC: US Department of the Interior, Bureau of Mines.</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Hinterberger, F., Giljum, S. and Hammer, M., 2012. Material Flow Accounting and Analysis (MFA): A Valuable Tool for Analyses of Society-Nature Interrelationships. Vienna: Sustainable Europe Research Institute (SERI). Info Agro.(2010)."</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Hofman &amp; Basler., 1974.  Study Environment and Economics, Comparison of environmental pollution Of PVC, glass, sheet and cardboard containers; Swiss Confederation Environmental protection: Bern, Switzerland.</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Hope, B.K., 2008. A dynamic model for the global cycling of anthropogenic vanadium. Global Biogeochemical Cycles, 22(4).</w:t>
      </w: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Hunt, R.G., 1974. Resource and environmental profile analysis of nine beverage container alternatives</w:t>
      </w:r>
      <w:r w:rsidR="00F10B41">
        <w:rPr>
          <w:rFonts w:ascii="Calibri" w:hAnsi="Calibri" w:cs="Times New Roman"/>
          <w:noProof/>
          <w:szCs w:val="24"/>
        </w:rPr>
        <w:t>.</w:t>
      </w:r>
    </w:p>
    <w:p w:rsidR="00F10B41" w:rsidRPr="00A20F9B" w:rsidRDefault="00F10B41" w:rsidP="00F10B41">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International Chrome Development Association (ICDA), 2013. Activity Report. Available:http://www.icdacr</w:t>
      </w:r>
      <w:r>
        <w:rPr>
          <w:rFonts w:ascii="Calibri" w:hAnsi="Calibri" w:cs="Times New Roman"/>
          <w:noProof/>
          <w:szCs w:val="24"/>
        </w:rPr>
        <w:t>.com. [Accessed Spetember 2013].</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International Chrome Development Association (ICDA), 2015. A record year for record year ferrochrome only ferrochrome only. Minerals and Metals Review, (June), pp.48–49.</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International Energy Agency (IEA), (2015). Percentage breakdown of fuel source by individual country. [Online]. Available: https://www.iea.org [Accessed 14th January 2014]</w:t>
      </w:r>
      <w:r w:rsidR="00F10B41">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International Manganese Institute (IMnI), 2011. Annual Market Research Report. Available: http://cn.manganese.org/ [Accessed 20th September]</w:t>
      </w:r>
      <w:r w:rsidR="00F10B41">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International Molybdneum Association (IMOA), (2005).  Private communication - Ferromolybdenum data.</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International Molybdneum Association (IMOA), 2013. Molybdenum scrap saves resources. Excerpt from MolyReview 2/2013. [PDF]</w:t>
      </w:r>
      <w:r w:rsidR="00F10B41">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International Molybdneum Association (IMOA), 2015a. Uses of new Molybdenum. Available at: http://www.imoa.info/molybdenum/molybdenum-global-production-use.php. {Accessed 23rd August 2014]</w:t>
      </w:r>
      <w:r w:rsidR="00F10B41">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International Molybdneum Association (IMOA), 2015b. Molybdenum Processing. Available at: http://www.imoa.info/molybdenum/molybdenum-global-production-use.php. {Accessed 23rd August 2014]</w:t>
      </w:r>
      <w:r w:rsidR="00F10B41">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Iosif, A.M., Hanrot, F. and Ablitzer, D., 2008. Process integrated modelling for steelmaking life cycle inventory analysis. Environmental Impact Assessment Review, 28(7), pp.429-438.</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ISO. Technical Committee ISO/TC 207, Environmental management. Subcommittee SC 5, Life cycle assessment, 2006. Environmental Management: Life Cycle Assessment: Principles and Framework. ISO.</w:t>
      </w: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ISO. Technical Committee ISO/TC 207, Environmental management. Subcommittee SC 5, Life cycle assessment, 2006. Environmental Management: Life Cycle Assessment: Requirements and Guidelines. ISO.</w:t>
      </w:r>
    </w:p>
    <w:p w:rsidR="006032B5" w:rsidRPr="00A20F9B" w:rsidRDefault="006032B5" w:rsidP="00A20F9B">
      <w:pPr>
        <w:widowControl w:val="0"/>
        <w:autoSpaceDE w:val="0"/>
        <w:autoSpaceDN w:val="0"/>
        <w:adjustRightInd w:val="0"/>
        <w:spacing w:line="240" w:lineRule="auto"/>
        <w:ind w:left="480" w:hanging="480"/>
        <w:jc w:val="both"/>
        <w:rPr>
          <w:rFonts w:ascii="Calibri" w:hAnsi="Calibri" w:cs="Times New Roman"/>
          <w:noProof/>
          <w:szCs w:val="24"/>
        </w:rPr>
      </w:pP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lastRenderedPageBreak/>
        <w:t>Itten, R., Frischknecht, R., Stucki, M., Scherrer, P. and Psi, I., 2012. Life cycle inventories of electricity mixes and grid.</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Izard, C.F. and Müller, D.B., 2010. Tracking the devil's metal: Historical global and contemporary US tin cycles. Resources, Conservation and Recycling, 54(12), pp.1436-1441.</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Japan Environment Agency. 1997. Quality of the Environment in Japan 1997. Japan Environment Association, Tokyo.</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Johnson, J., Jirikowic, J., Bertram, M., Van Beers, D., Gordon, R.B., Henderson, K., Klee, R.J., Lanzano, T., Lifset, R., Oetjen, L. and Graedel, T.E., 2005. Contemporary anthropogenic silver cycle: A multilevel ana</w:t>
      </w:r>
      <w:r w:rsidR="00F10B41">
        <w:rPr>
          <w:rFonts w:ascii="Calibri" w:hAnsi="Calibri" w:cs="Times New Roman"/>
          <w:noProof/>
          <w:szCs w:val="24"/>
        </w:rPr>
        <w:t>lysis. Environmental S</w:t>
      </w:r>
      <w:r w:rsidRPr="00A20F9B">
        <w:rPr>
          <w:rFonts w:ascii="Calibri" w:hAnsi="Calibri" w:cs="Times New Roman"/>
          <w:noProof/>
          <w:szCs w:val="24"/>
        </w:rPr>
        <w:t xml:space="preserve">cience &amp; </w:t>
      </w:r>
      <w:r w:rsidR="00F10B41">
        <w:rPr>
          <w:rFonts w:ascii="Calibri" w:hAnsi="Calibri" w:cs="Times New Roman"/>
          <w:noProof/>
          <w:szCs w:val="24"/>
        </w:rPr>
        <w:t>T</w:t>
      </w:r>
      <w:r w:rsidRPr="00A20F9B">
        <w:rPr>
          <w:rFonts w:ascii="Calibri" w:hAnsi="Calibri" w:cs="Times New Roman"/>
          <w:noProof/>
          <w:szCs w:val="24"/>
        </w:rPr>
        <w:t>echnology, 39(12), pp.4655-4665.</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Johnson, J., Schewel, L. and Graedel, T.E., 2006. The contemporary anthropogenic</w:t>
      </w:r>
      <w:r w:rsidR="00DF057B">
        <w:rPr>
          <w:rFonts w:ascii="Calibri" w:hAnsi="Calibri" w:cs="Times New Roman"/>
          <w:noProof/>
          <w:szCs w:val="24"/>
        </w:rPr>
        <w:t xml:space="preserve"> chromium cycle. Environmental S</w:t>
      </w:r>
      <w:r w:rsidRPr="00A20F9B">
        <w:rPr>
          <w:rFonts w:ascii="Calibri" w:hAnsi="Calibri" w:cs="Times New Roman"/>
          <w:noProof/>
          <w:szCs w:val="24"/>
        </w:rPr>
        <w:t xml:space="preserve">cience &amp; </w:t>
      </w:r>
      <w:r w:rsidR="00DF057B">
        <w:rPr>
          <w:rFonts w:ascii="Calibri" w:hAnsi="Calibri" w:cs="Times New Roman"/>
          <w:noProof/>
          <w:szCs w:val="24"/>
        </w:rPr>
        <w:t>T</w:t>
      </w:r>
      <w:r w:rsidRPr="00A20F9B">
        <w:rPr>
          <w:rFonts w:ascii="Calibri" w:hAnsi="Calibri" w:cs="Times New Roman"/>
          <w:noProof/>
          <w:szCs w:val="24"/>
        </w:rPr>
        <w:t>echnology, 40(22), pp.7060-7069.</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Jolly, J.H., 1993. Materials flow of zinc in the Unite</w:t>
      </w:r>
      <w:r w:rsidR="00DF057B">
        <w:rPr>
          <w:rFonts w:ascii="Calibri" w:hAnsi="Calibri" w:cs="Times New Roman"/>
          <w:noProof/>
          <w:szCs w:val="24"/>
        </w:rPr>
        <w:t>d States 1850–1990. Resources, Conservation and R</w:t>
      </w:r>
      <w:r w:rsidRPr="00A20F9B">
        <w:rPr>
          <w:rFonts w:ascii="Calibri" w:hAnsi="Calibri" w:cs="Times New Roman"/>
          <w:noProof/>
          <w:szCs w:val="24"/>
        </w:rPr>
        <w:t>ecycling, 9(1-2), pp.1-30.</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Kara, H., Chapman, A., Crichton, T., Willis, P., Morley, N. and Deegan, K., 2010. Lanthanide resources and alternatives. A report for the Department for Transport and the Department for Business, Innovation and Skills.</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Kaufmann, D., Kraay, A. and Mastruzzi, M., 2011. The worldwide governance indicators: methodology and analytical issues. Hague Journal on the Rule of Law, 3(2), pp.220-246.</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Khoo, J.Z., Haque, N., Woodbridge, G., McDonald, R. and Bhattacharya, S., 2017. A life cycle assessment of a new laterite processing technology. Journal of Cleaner Production, 142, pp.1765-1777.</w:t>
      </w: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Kleijn, R., Van Der Voet, E. and de Haes, H.A.U., 1994. Controlling substance flows: The case of chlorine. Environmental Management, 18(4), pp.523-542.</w:t>
      </w:r>
    </w:p>
    <w:p w:rsidR="00DF057B" w:rsidRPr="00A20F9B" w:rsidRDefault="00DF057B" w:rsidP="00DF057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Kleijn, R., Bringezu, S., Fischer-Kowalski, M. and Palm, V., 1999. ConAccount workshop Ecologizing societal metabolism: designing scenarios for sustainable materials management, November 21st 19</w:t>
      </w:r>
      <w:r>
        <w:rPr>
          <w:rFonts w:ascii="Calibri" w:hAnsi="Calibri" w:cs="Times New Roman"/>
          <w:noProof/>
          <w:szCs w:val="24"/>
        </w:rPr>
        <w:t>98, Amsterdam, The Netherlands.</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Leal-Ayala, D.R., Allwood, J.M., Petavratzi, E., Brown, T.J. and Gunn, G., 2015. Mapping the global flow of tungsten to identify key material efficiency and supply security opportunities. Resources, Conservation and Recycling, 103, pp.19-28.</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Levasseur, A., Lesage, P., Margni, M., Deschenes, L. and Samson, R., 2010. Considering time in LCA: dynamic LCA and its application to global warming imp</w:t>
      </w:r>
      <w:r w:rsidR="00DF057B">
        <w:rPr>
          <w:rFonts w:ascii="Calibri" w:hAnsi="Calibri" w:cs="Times New Roman"/>
          <w:noProof/>
          <w:szCs w:val="24"/>
        </w:rPr>
        <w:t>act assessments. Environmental Science &amp; T</w:t>
      </w:r>
      <w:r w:rsidRPr="00A20F9B">
        <w:rPr>
          <w:rFonts w:ascii="Calibri" w:hAnsi="Calibri" w:cs="Times New Roman"/>
          <w:noProof/>
          <w:szCs w:val="24"/>
        </w:rPr>
        <w:t>echnology, 44(8), pp.3169-3174.</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Lindstad, T., Olsen, S.E., Tranell, G., Færden, T. and Lubetsky, J., 2007, February. Greenhouse gas emissions from ferroalloy production. In International Ferro-Alloys Congress (INFACON XI).</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Lukesch</w:t>
      </w:r>
      <w:r w:rsidR="00DF057B">
        <w:rPr>
          <w:rFonts w:ascii="Calibri" w:hAnsi="Calibri" w:cs="Times New Roman"/>
          <w:noProof/>
          <w:szCs w:val="24"/>
        </w:rPr>
        <w:t xml:space="preserve">, R., </w:t>
      </w:r>
      <w:r w:rsidRPr="00A20F9B">
        <w:rPr>
          <w:rFonts w:ascii="Calibri" w:hAnsi="Calibri" w:cs="Times New Roman"/>
          <w:noProof/>
          <w:szCs w:val="24"/>
        </w:rPr>
        <w:t>Payer</w:t>
      </w:r>
      <w:r w:rsidR="00DF057B">
        <w:rPr>
          <w:rFonts w:ascii="Calibri" w:hAnsi="Calibri" w:cs="Times New Roman"/>
          <w:noProof/>
          <w:szCs w:val="24"/>
        </w:rPr>
        <w:t xml:space="preserve">, H. (Eds.) </w:t>
      </w:r>
      <w:r w:rsidRPr="00A20F9B">
        <w:rPr>
          <w:rFonts w:ascii="Calibri" w:hAnsi="Calibri" w:cs="Times New Roman"/>
          <w:noProof/>
          <w:szCs w:val="24"/>
        </w:rPr>
        <w:t>Amann,</w:t>
      </w:r>
      <w:r w:rsidR="00DF057B">
        <w:rPr>
          <w:rFonts w:ascii="Calibri" w:hAnsi="Calibri" w:cs="Times New Roman"/>
          <w:noProof/>
          <w:szCs w:val="24"/>
        </w:rPr>
        <w:t xml:space="preserve"> C.,</w:t>
      </w:r>
      <w:r w:rsidRPr="00A20F9B">
        <w:rPr>
          <w:rFonts w:ascii="Calibri" w:hAnsi="Calibri" w:cs="Times New Roman"/>
          <w:noProof/>
          <w:szCs w:val="24"/>
        </w:rPr>
        <w:t xml:space="preserve"> Binder,</w:t>
      </w:r>
      <w:r w:rsidR="00DF057B">
        <w:rPr>
          <w:rFonts w:ascii="Calibri" w:hAnsi="Calibri" w:cs="Times New Roman"/>
          <w:noProof/>
          <w:szCs w:val="24"/>
        </w:rPr>
        <w:t xml:space="preserve"> M.,</w:t>
      </w:r>
      <w:r w:rsidRPr="00A20F9B">
        <w:rPr>
          <w:rFonts w:ascii="Calibri" w:hAnsi="Calibri" w:cs="Times New Roman"/>
          <w:noProof/>
          <w:szCs w:val="24"/>
        </w:rPr>
        <w:t xml:space="preserve"> Bruckner,</w:t>
      </w:r>
      <w:r w:rsidR="00DF057B">
        <w:rPr>
          <w:rFonts w:ascii="Calibri" w:hAnsi="Calibri" w:cs="Times New Roman"/>
          <w:noProof/>
          <w:szCs w:val="24"/>
        </w:rPr>
        <w:t xml:space="preserve"> W.,</w:t>
      </w:r>
      <w:r w:rsidRPr="00A20F9B">
        <w:rPr>
          <w:rFonts w:ascii="Calibri" w:hAnsi="Calibri" w:cs="Times New Roman"/>
          <w:noProof/>
          <w:szCs w:val="24"/>
        </w:rPr>
        <w:t>van Drunen,</w:t>
      </w:r>
      <w:r w:rsidR="00DF057B">
        <w:rPr>
          <w:rFonts w:ascii="Calibri" w:hAnsi="Calibri" w:cs="Times New Roman"/>
          <w:noProof/>
          <w:szCs w:val="24"/>
        </w:rPr>
        <w:t xml:space="preserve"> M., </w:t>
      </w:r>
      <w:r w:rsidRPr="00A20F9B">
        <w:rPr>
          <w:rFonts w:ascii="Calibri" w:hAnsi="Calibri" w:cs="Times New Roman"/>
          <w:noProof/>
          <w:szCs w:val="24"/>
        </w:rPr>
        <w:t>Hinojosa,</w:t>
      </w:r>
      <w:r w:rsidR="00DF057B">
        <w:rPr>
          <w:rFonts w:ascii="Calibri" w:hAnsi="Calibri" w:cs="Times New Roman"/>
          <w:noProof/>
          <w:szCs w:val="24"/>
        </w:rPr>
        <w:t xml:space="preserve"> E., </w:t>
      </w:r>
      <w:r w:rsidRPr="00A20F9B">
        <w:rPr>
          <w:rFonts w:ascii="Calibri" w:hAnsi="Calibri" w:cs="Times New Roman"/>
          <w:noProof/>
          <w:szCs w:val="24"/>
        </w:rPr>
        <w:t>Fenzl,</w:t>
      </w:r>
      <w:r w:rsidR="00DF057B">
        <w:rPr>
          <w:rFonts w:ascii="Calibri" w:hAnsi="Calibri" w:cs="Times New Roman"/>
          <w:noProof/>
          <w:szCs w:val="24"/>
        </w:rPr>
        <w:t xml:space="preserve"> N., </w:t>
      </w:r>
      <w:r w:rsidRPr="00A20F9B">
        <w:rPr>
          <w:rFonts w:ascii="Calibri" w:hAnsi="Calibri" w:cs="Times New Roman"/>
          <w:noProof/>
          <w:szCs w:val="24"/>
        </w:rPr>
        <w:t>Fischer-Kowalski,</w:t>
      </w:r>
      <w:r w:rsidR="00DF057B">
        <w:rPr>
          <w:rFonts w:ascii="Calibri" w:hAnsi="Calibri" w:cs="Times New Roman"/>
          <w:noProof/>
          <w:szCs w:val="24"/>
        </w:rPr>
        <w:t xml:space="preserve"> M., </w:t>
      </w:r>
      <w:r w:rsidRPr="00A20F9B">
        <w:rPr>
          <w:rFonts w:ascii="Calibri" w:hAnsi="Calibri" w:cs="Times New Roman"/>
          <w:noProof/>
          <w:szCs w:val="24"/>
        </w:rPr>
        <w:t>Grünbühel,</w:t>
      </w:r>
      <w:r w:rsidR="00DF057B">
        <w:rPr>
          <w:rFonts w:ascii="Calibri" w:hAnsi="Calibri" w:cs="Times New Roman"/>
          <w:noProof/>
          <w:szCs w:val="24"/>
        </w:rPr>
        <w:t xml:space="preserve"> C., </w:t>
      </w:r>
      <w:r w:rsidRPr="00A20F9B">
        <w:rPr>
          <w:rFonts w:ascii="Calibri" w:hAnsi="Calibri" w:cs="Times New Roman"/>
          <w:noProof/>
          <w:szCs w:val="24"/>
        </w:rPr>
        <w:t>de Lisio,</w:t>
      </w:r>
      <w:r w:rsidR="00DF057B">
        <w:rPr>
          <w:rFonts w:ascii="Calibri" w:hAnsi="Calibri" w:cs="Times New Roman"/>
          <w:noProof/>
          <w:szCs w:val="24"/>
        </w:rPr>
        <w:t xml:space="preserve"> A.,</w:t>
      </w:r>
      <w:r w:rsidRPr="00A20F9B">
        <w:rPr>
          <w:rFonts w:ascii="Calibri" w:hAnsi="Calibri" w:cs="Times New Roman"/>
          <w:noProof/>
          <w:szCs w:val="24"/>
        </w:rPr>
        <w:t xml:space="preserve"> </w:t>
      </w:r>
      <w:r w:rsidR="00DF057B">
        <w:rPr>
          <w:rFonts w:ascii="Calibri" w:hAnsi="Calibri" w:cs="Times New Roman"/>
          <w:noProof/>
          <w:szCs w:val="24"/>
        </w:rPr>
        <w:t>R</w:t>
      </w:r>
      <w:r w:rsidRPr="00A20F9B">
        <w:rPr>
          <w:rFonts w:ascii="Calibri" w:hAnsi="Calibri" w:cs="Times New Roman"/>
          <w:noProof/>
          <w:szCs w:val="24"/>
        </w:rPr>
        <w:t>ennie,</w:t>
      </w:r>
      <w:r w:rsidR="00DF057B">
        <w:rPr>
          <w:rFonts w:ascii="Calibri" w:hAnsi="Calibri" w:cs="Times New Roman"/>
          <w:noProof/>
          <w:szCs w:val="24"/>
        </w:rPr>
        <w:t xml:space="preserve"> F., Zárate, C.</w:t>
      </w:r>
      <w:r w:rsidRPr="00A20F9B">
        <w:rPr>
          <w:rFonts w:ascii="Calibri" w:hAnsi="Calibri" w:cs="Times New Roman"/>
          <w:noProof/>
          <w:szCs w:val="24"/>
        </w:rPr>
        <w:t xml:space="preserve"> (2002) Amazonia 21. Operational Features for Managing Sustainable Development in Amazonia (Final Report) Publication Series Vol. 1</w:t>
      </w:r>
      <w:r w:rsidR="00DF057B">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Ma, H.W., Hung, M.L. and Chen, P.C., 2007. A systemic health risk assessment for the chromiu</w:t>
      </w:r>
      <w:r w:rsidR="00DF057B">
        <w:rPr>
          <w:rFonts w:ascii="Calibri" w:hAnsi="Calibri" w:cs="Times New Roman"/>
          <w:noProof/>
          <w:szCs w:val="24"/>
        </w:rPr>
        <w:t>m cycle in Taiwan. Environment I</w:t>
      </w:r>
      <w:r w:rsidRPr="00A20F9B">
        <w:rPr>
          <w:rFonts w:ascii="Calibri" w:hAnsi="Calibri" w:cs="Times New Roman"/>
          <w:noProof/>
          <w:szCs w:val="24"/>
        </w:rPr>
        <w:t>nternational, 33(2), pp.206-218.</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Mackay, D.A. and Simandl, G.J., 2014. Geology, market and supply chain of niobium and tantalum—a review. Mineralium Deposita, 49(8), pp.1025-1047.</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hint="eastAsia"/>
          <w:noProof/>
          <w:szCs w:val="24"/>
        </w:rPr>
        <w:lastRenderedPageBreak/>
        <w:t>Mao, J. and Graedel, T.E., 2009. Lead In</w:t>
      </w:r>
      <w:r w:rsidRPr="00A20F9B">
        <w:rPr>
          <w:rFonts w:ascii="Calibri" w:hAnsi="Calibri" w:cs="Times New Roman" w:hint="eastAsia"/>
          <w:noProof/>
          <w:szCs w:val="24"/>
        </w:rPr>
        <w:t>‐</w:t>
      </w:r>
      <w:r w:rsidRPr="00A20F9B">
        <w:rPr>
          <w:rFonts w:ascii="Calibri" w:hAnsi="Calibri" w:cs="Times New Roman" w:hint="eastAsia"/>
          <w:noProof/>
          <w:szCs w:val="24"/>
        </w:rPr>
        <w:t>Use Stock. Journal of Industrial Ecology, 13(1), pp.112-126.</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Martchek, K., 2006. Modelling More Sustainable Aluminium (4 pp). The International Journal of Life Cycle Assessment, 11(1), pp.34-37.</w:t>
      </w: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Matthews, E., Amann, C., Bringezu, S., Hüttler, W., Ottke, C., Rodenburg, E., Rogich, D., Schandl, H., Van, E., Voet, D. and Weisz, H., 2000. The weight of nations-material outflows from industrial economies. In World Resources Institute.</w:t>
      </w:r>
    </w:p>
    <w:p w:rsidR="00DF057B" w:rsidRPr="00A20F9B" w:rsidRDefault="00DF057B" w:rsidP="00DF057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McMahon, F. and Cervantes, M., 2011. Survey of Mining Companies.</w:t>
      </w:r>
    </w:p>
    <w:p w:rsidR="00DF057B" w:rsidRPr="00A20F9B" w:rsidRDefault="00DF057B" w:rsidP="00DF057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Milbourn, D.(2015) V</w:t>
      </w:r>
      <w:r>
        <w:rPr>
          <w:rFonts w:ascii="Calibri" w:hAnsi="Calibri" w:cs="Times New Roman"/>
          <w:noProof/>
          <w:szCs w:val="24"/>
        </w:rPr>
        <w:t>anitec. Personal communication.</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Morley,N &amp; Eatherley, D. (2008), Material Security. Ensuring resource availability for the UK economy O. Hollins, ed., Chester, UK.: C-Tech Innovation Ltd.</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Moss, R.L., Tzimas, E., Kara, H., Willis, P. and Kooroshy, J., 2011. Critical metals in strategic energy technologies. JRC-scientific and strategic reports, European Commission Joint Research Centre Institute for Energy and Transport.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Mudd, G.M., 2007. Global trends in gold mining: Towards quantifying environmental and resource sustainability. Resources Policy, 32(1), pp.42-56.</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Müller, E., Hilty, L.M., Widmer, R., Schluep, M. and Faulstich, M., 2014. Modeling metal stocks and flows: A review of dynamic material flow analysis methods. Environmenta</w:t>
      </w:r>
      <w:r w:rsidR="00DF057B">
        <w:rPr>
          <w:rFonts w:ascii="Calibri" w:hAnsi="Calibri" w:cs="Times New Roman"/>
          <w:noProof/>
          <w:szCs w:val="24"/>
        </w:rPr>
        <w:t>l Science &amp; T</w:t>
      </w:r>
      <w:r w:rsidRPr="00A20F9B">
        <w:rPr>
          <w:rFonts w:ascii="Calibri" w:hAnsi="Calibri" w:cs="Times New Roman"/>
          <w:noProof/>
          <w:szCs w:val="24"/>
        </w:rPr>
        <w:t>echnology, 48(4), pp.2102-2113.</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Nakajima, K., Yokoyama, K., Matsuno, Y. and Nagasaka, T., 2007. Substance flow analysis of molybdenum associated with iron and steel flow in Japanese economy. I</w:t>
      </w:r>
      <w:r w:rsidR="00DF057B">
        <w:rPr>
          <w:rFonts w:ascii="Calibri" w:hAnsi="Calibri" w:cs="Times New Roman"/>
          <w:noProof/>
          <w:szCs w:val="24"/>
        </w:rPr>
        <w:t xml:space="preserve">nternational </w:t>
      </w:r>
      <w:r w:rsidRPr="00A20F9B">
        <w:rPr>
          <w:rFonts w:ascii="Calibri" w:hAnsi="Calibri" w:cs="Times New Roman"/>
          <w:noProof/>
          <w:szCs w:val="24"/>
        </w:rPr>
        <w:t>S</w:t>
      </w:r>
      <w:r w:rsidR="00DF057B">
        <w:rPr>
          <w:rFonts w:ascii="Calibri" w:hAnsi="Calibri" w:cs="Times New Roman"/>
          <w:noProof/>
          <w:szCs w:val="24"/>
        </w:rPr>
        <w:t>tee</w:t>
      </w:r>
      <w:r w:rsidRPr="00A20F9B">
        <w:rPr>
          <w:rFonts w:ascii="Calibri" w:hAnsi="Calibri" w:cs="Times New Roman"/>
          <w:noProof/>
          <w:szCs w:val="24"/>
        </w:rPr>
        <w:t>I</w:t>
      </w:r>
      <w:r w:rsidR="00DF057B">
        <w:rPr>
          <w:rFonts w:ascii="Calibri" w:hAnsi="Calibri" w:cs="Times New Roman"/>
          <w:noProof/>
          <w:szCs w:val="24"/>
        </w:rPr>
        <w:t xml:space="preserve"> Institute </w:t>
      </w:r>
      <w:r w:rsidRPr="00A20F9B">
        <w:rPr>
          <w:rFonts w:ascii="Calibri" w:hAnsi="Calibri" w:cs="Times New Roman"/>
          <w:noProof/>
          <w:szCs w:val="24"/>
        </w:rPr>
        <w:t>J</w:t>
      </w:r>
      <w:r w:rsidR="00DF057B">
        <w:rPr>
          <w:rFonts w:ascii="Calibri" w:hAnsi="Calibri" w:cs="Times New Roman"/>
          <w:noProof/>
          <w:szCs w:val="24"/>
        </w:rPr>
        <w:t>apan (ISIJ)</w:t>
      </w:r>
      <w:r w:rsidRPr="00A20F9B">
        <w:rPr>
          <w:rFonts w:ascii="Calibri" w:hAnsi="Calibri" w:cs="Times New Roman"/>
          <w:noProof/>
          <w:szCs w:val="24"/>
        </w:rPr>
        <w:t xml:space="preserve"> </w:t>
      </w:r>
      <w:r w:rsidR="00DF057B">
        <w:rPr>
          <w:rFonts w:ascii="Calibri" w:hAnsi="Calibri" w:cs="Times New Roman"/>
          <w:noProof/>
          <w:szCs w:val="24"/>
        </w:rPr>
        <w:t>I</w:t>
      </w:r>
      <w:r w:rsidRPr="00A20F9B">
        <w:rPr>
          <w:rFonts w:ascii="Calibri" w:hAnsi="Calibri" w:cs="Times New Roman"/>
          <w:noProof/>
          <w:szCs w:val="24"/>
        </w:rPr>
        <w:t>nternational, 47(3), pp.510-515.</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Nakajima, K., Yokoyama, K. and Nagasaka, T., 2008. Substance flow analysis of manganese associated with iro</w:t>
      </w:r>
      <w:r w:rsidR="00DF057B">
        <w:rPr>
          <w:rFonts w:ascii="Calibri" w:hAnsi="Calibri" w:cs="Times New Roman"/>
          <w:noProof/>
          <w:szCs w:val="24"/>
        </w:rPr>
        <w:t xml:space="preserve">n and steel flow in Japan. </w:t>
      </w:r>
      <w:r w:rsidR="00DF057B" w:rsidRPr="00A20F9B">
        <w:rPr>
          <w:rFonts w:ascii="Calibri" w:hAnsi="Calibri" w:cs="Times New Roman"/>
          <w:noProof/>
          <w:szCs w:val="24"/>
        </w:rPr>
        <w:t>I</w:t>
      </w:r>
      <w:r w:rsidR="00DF057B">
        <w:rPr>
          <w:rFonts w:ascii="Calibri" w:hAnsi="Calibri" w:cs="Times New Roman"/>
          <w:noProof/>
          <w:szCs w:val="24"/>
        </w:rPr>
        <w:t xml:space="preserve">nternational </w:t>
      </w:r>
      <w:r w:rsidR="00DF057B" w:rsidRPr="00A20F9B">
        <w:rPr>
          <w:rFonts w:ascii="Calibri" w:hAnsi="Calibri" w:cs="Times New Roman"/>
          <w:noProof/>
          <w:szCs w:val="24"/>
        </w:rPr>
        <w:t>S</w:t>
      </w:r>
      <w:r w:rsidR="00DF057B">
        <w:rPr>
          <w:rFonts w:ascii="Calibri" w:hAnsi="Calibri" w:cs="Times New Roman"/>
          <w:noProof/>
          <w:szCs w:val="24"/>
        </w:rPr>
        <w:t>tee</w:t>
      </w:r>
      <w:r w:rsidR="00DF057B" w:rsidRPr="00A20F9B">
        <w:rPr>
          <w:rFonts w:ascii="Calibri" w:hAnsi="Calibri" w:cs="Times New Roman"/>
          <w:noProof/>
          <w:szCs w:val="24"/>
        </w:rPr>
        <w:t>I</w:t>
      </w:r>
      <w:r w:rsidR="00DF057B">
        <w:rPr>
          <w:rFonts w:ascii="Calibri" w:hAnsi="Calibri" w:cs="Times New Roman"/>
          <w:noProof/>
          <w:szCs w:val="24"/>
        </w:rPr>
        <w:t xml:space="preserve"> Institute </w:t>
      </w:r>
      <w:r w:rsidR="00DF057B" w:rsidRPr="00A20F9B">
        <w:rPr>
          <w:rFonts w:ascii="Calibri" w:hAnsi="Calibri" w:cs="Times New Roman"/>
          <w:noProof/>
          <w:szCs w:val="24"/>
        </w:rPr>
        <w:t>J</w:t>
      </w:r>
      <w:r w:rsidR="00DF057B">
        <w:rPr>
          <w:rFonts w:ascii="Calibri" w:hAnsi="Calibri" w:cs="Times New Roman"/>
          <w:noProof/>
          <w:szCs w:val="24"/>
        </w:rPr>
        <w:t>apan (ISIJ), I</w:t>
      </w:r>
      <w:r w:rsidRPr="00A20F9B">
        <w:rPr>
          <w:rFonts w:ascii="Calibri" w:hAnsi="Calibri" w:cs="Times New Roman"/>
          <w:noProof/>
          <w:szCs w:val="24"/>
        </w:rPr>
        <w:t>nternational, 48(4), pp.549-553.</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Nassar, N.T., Barr, R., Browning, M., Diao, Z., Friedlander, E., Harper, E.M., Henly, C., Kavlak, G., Kwatra, S., Jun, C. and Warren, S., 2012. Criticality of the geologica</w:t>
      </w:r>
      <w:r w:rsidR="00DF057B">
        <w:rPr>
          <w:rFonts w:ascii="Calibri" w:hAnsi="Calibri" w:cs="Times New Roman"/>
          <w:noProof/>
          <w:szCs w:val="24"/>
        </w:rPr>
        <w:t>l copper family. Environmental Science &amp; T</w:t>
      </w:r>
      <w:r w:rsidRPr="00A20F9B">
        <w:rPr>
          <w:rFonts w:ascii="Calibri" w:hAnsi="Calibri" w:cs="Times New Roman"/>
          <w:noProof/>
          <w:szCs w:val="24"/>
        </w:rPr>
        <w:t>echnology, 46(2), pp.1071-1078.</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National Research Council, 2008. Minerals, critical minerals, and the US economy. National Academies Press.</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New Energy and Industrial Technology Development Organization (NEDO): Trend Report of Development in Materials for Substitution of Scarce Metals, (NEDO, Tokyo, 2009)</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Nishioka, Y., Levy, J.I. and Norris, G.A., 2006. Integrating air pollution, climate change, and economics in a risk-based life-cycle analysis: a case study of residential insulation. Human and Ecological Risk Assessment, 12(3), pp.552-571.</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Norgate, T.E., Jahanshahi, S. and Rankin, W.J., 2004, February. Alternative routes to stainless steel–a life cycle approach. In Tenth International Ferroalloys Congress (pp. 1-4).</w:t>
      </w: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Norgate, T.E., Jahanshahi, S. and Rankin, W.J., 2007. Assessing the environmental impact of metal production processes. Journal of Cleaner Production, 15(8), pp.838-848.</w:t>
      </w:r>
    </w:p>
    <w:p w:rsidR="00DF057B" w:rsidRDefault="00DF057B" w:rsidP="00DF057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Norgate, T. and Jahanshahi, S., 2011. Assessing the energy and greenhouse gas footprints of nickel laterite processing. Minerals Engineering, 24(7), pp.698-707.</w:t>
      </w:r>
    </w:p>
    <w:p w:rsidR="006032B5" w:rsidRDefault="006032B5" w:rsidP="00DF057B">
      <w:pPr>
        <w:widowControl w:val="0"/>
        <w:autoSpaceDE w:val="0"/>
        <w:autoSpaceDN w:val="0"/>
        <w:adjustRightInd w:val="0"/>
        <w:spacing w:line="240" w:lineRule="auto"/>
        <w:ind w:left="480" w:hanging="480"/>
        <w:jc w:val="both"/>
        <w:rPr>
          <w:rFonts w:ascii="Calibri" w:hAnsi="Calibri" w:cs="Times New Roman"/>
          <w:noProof/>
          <w:szCs w:val="24"/>
        </w:rPr>
      </w:pPr>
    </w:p>
    <w:p w:rsidR="00DF057B" w:rsidRPr="00A20F9B" w:rsidRDefault="00DF057B" w:rsidP="00DF057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lastRenderedPageBreak/>
        <w:t>Norgate, T. and Haque, N., 2012. Using life cycle assessment to evaluate some environmental impacts of gold production. Journal of Cl</w:t>
      </w:r>
      <w:r>
        <w:rPr>
          <w:rFonts w:ascii="Calibri" w:hAnsi="Calibri" w:cs="Times New Roman"/>
          <w:noProof/>
          <w:szCs w:val="24"/>
        </w:rPr>
        <w:t>eaner Production, 29, pp.53-63.</w:t>
      </w:r>
    </w:p>
    <w:p w:rsidR="00113DEB" w:rsidRPr="00A20F9B" w:rsidRDefault="00A20F9B" w:rsidP="00DF057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Northey, S.A., Haque, N., Lovel, R. and Cooksey, M.A., 2014. Evaluating the application of water footprint methods to primary metal production systems. Minerals Engineering, 69, pp.65-80.</w:t>
      </w:r>
    </w:p>
    <w:p w:rsidR="000F0754" w:rsidRPr="00A20F9B" w:rsidRDefault="00A20F9B" w:rsidP="006032B5">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Nuss, P. and Eckelman, M.J., 2014. Life cycle assessment of metals: A scientific synthesis. PLoS One, 9(7), p.e101298.</w:t>
      </w: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Oda, T., Daigo, I., Matsuno, Y. and Adachi, Y., 2010. Substance flow and stock of chromium associated with cycl</w:t>
      </w:r>
      <w:r w:rsidR="002B7B41">
        <w:rPr>
          <w:rFonts w:ascii="Calibri" w:hAnsi="Calibri" w:cs="Times New Roman"/>
          <w:noProof/>
          <w:szCs w:val="24"/>
        </w:rPr>
        <w:t xml:space="preserve">ic use of steel in Japan. </w:t>
      </w:r>
      <w:r w:rsidR="002B7B41" w:rsidRPr="00A20F9B">
        <w:rPr>
          <w:rFonts w:ascii="Calibri" w:hAnsi="Calibri" w:cs="Times New Roman"/>
          <w:noProof/>
          <w:szCs w:val="24"/>
        </w:rPr>
        <w:t>I</w:t>
      </w:r>
      <w:r w:rsidR="002B7B41">
        <w:rPr>
          <w:rFonts w:ascii="Calibri" w:hAnsi="Calibri" w:cs="Times New Roman"/>
          <w:noProof/>
          <w:szCs w:val="24"/>
        </w:rPr>
        <w:t xml:space="preserve">nternational </w:t>
      </w:r>
      <w:r w:rsidR="002B7B41" w:rsidRPr="00A20F9B">
        <w:rPr>
          <w:rFonts w:ascii="Calibri" w:hAnsi="Calibri" w:cs="Times New Roman"/>
          <w:noProof/>
          <w:szCs w:val="24"/>
        </w:rPr>
        <w:t>S</w:t>
      </w:r>
      <w:r w:rsidR="002B7B41">
        <w:rPr>
          <w:rFonts w:ascii="Calibri" w:hAnsi="Calibri" w:cs="Times New Roman"/>
          <w:noProof/>
          <w:szCs w:val="24"/>
        </w:rPr>
        <w:t>tee</w:t>
      </w:r>
      <w:r w:rsidR="002B7B41" w:rsidRPr="00A20F9B">
        <w:rPr>
          <w:rFonts w:ascii="Calibri" w:hAnsi="Calibri" w:cs="Times New Roman"/>
          <w:noProof/>
          <w:szCs w:val="24"/>
        </w:rPr>
        <w:t>I</w:t>
      </w:r>
      <w:r w:rsidR="002B7B41">
        <w:rPr>
          <w:rFonts w:ascii="Calibri" w:hAnsi="Calibri" w:cs="Times New Roman"/>
          <w:noProof/>
          <w:szCs w:val="24"/>
        </w:rPr>
        <w:t xml:space="preserve"> Institute </w:t>
      </w:r>
      <w:r w:rsidR="002B7B41" w:rsidRPr="00A20F9B">
        <w:rPr>
          <w:rFonts w:ascii="Calibri" w:hAnsi="Calibri" w:cs="Times New Roman"/>
          <w:noProof/>
          <w:szCs w:val="24"/>
        </w:rPr>
        <w:t>J</w:t>
      </w:r>
      <w:r w:rsidR="002B7B41">
        <w:rPr>
          <w:rFonts w:ascii="Calibri" w:hAnsi="Calibri" w:cs="Times New Roman"/>
          <w:noProof/>
          <w:szCs w:val="24"/>
        </w:rPr>
        <w:t>apan (ISIJ), I</w:t>
      </w:r>
      <w:r w:rsidRPr="00A20F9B">
        <w:rPr>
          <w:rFonts w:ascii="Calibri" w:hAnsi="Calibri" w:cs="Times New Roman"/>
          <w:noProof/>
          <w:szCs w:val="24"/>
        </w:rPr>
        <w:t xml:space="preserve">nternational, 50(2), pp.314-323. </w:t>
      </w:r>
    </w:p>
    <w:p w:rsidR="002B7B41" w:rsidRPr="00A20F9B" w:rsidRDefault="002B7B41" w:rsidP="002B7B41">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Pacific Economic Corporation Council, (PECC) (2013). Seminar on Energy Transition. Energy transition in industrialized island</w:t>
      </w:r>
      <w:r>
        <w:rPr>
          <w:rFonts w:ascii="Calibri" w:hAnsi="Calibri" w:cs="Times New Roman"/>
          <w:noProof/>
          <w:szCs w:val="24"/>
        </w:rPr>
        <w:t>s New Caledonia : a case study.</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Pacific Power Association, 2011. Performance benchmarking for Pacific Power Utilities. Benchmarking report. December.</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Papp, J.F., 1994. Chromium life cycle study (No. 9411). US Bureau of Mines.</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Papp, J.F., 2004, Chromium use by market in the United States: Proceedings of the Tenth Internat</w:t>
      </w:r>
      <w:r w:rsidR="002B7B41">
        <w:rPr>
          <w:rFonts w:ascii="Calibri" w:hAnsi="Calibri" w:cs="Times New Roman"/>
          <w:noProof/>
          <w:szCs w:val="24"/>
        </w:rPr>
        <w:t>ional Ferro Alloys Congress, 1</w:t>
      </w:r>
      <w:r w:rsidR="002B7B41">
        <w:rPr>
          <w:rFonts w:ascii="Calibri" w:hAnsi="Calibri" w:cs="Times New Roman"/>
          <w:noProof/>
          <w:szCs w:val="24"/>
          <w:vertAlign w:val="superscript"/>
        </w:rPr>
        <w:t xml:space="preserve">st </w:t>
      </w:r>
      <w:r w:rsidR="002B7B41">
        <w:rPr>
          <w:rFonts w:ascii="Calibri" w:hAnsi="Calibri" w:cs="Times New Roman"/>
          <w:noProof/>
          <w:szCs w:val="24"/>
        </w:rPr>
        <w:t>– 4</w:t>
      </w:r>
      <w:r w:rsidR="002B7B41" w:rsidRPr="002B7B41">
        <w:rPr>
          <w:rFonts w:ascii="Calibri" w:hAnsi="Calibri" w:cs="Times New Roman"/>
          <w:noProof/>
          <w:szCs w:val="24"/>
          <w:vertAlign w:val="superscript"/>
        </w:rPr>
        <w:t>th</w:t>
      </w:r>
      <w:r w:rsidR="002B7B41">
        <w:rPr>
          <w:rFonts w:ascii="Calibri" w:hAnsi="Calibri" w:cs="Times New Roman"/>
          <w:noProof/>
          <w:szCs w:val="24"/>
        </w:rPr>
        <w:t xml:space="preserve"> </w:t>
      </w:r>
      <w:r w:rsidRPr="00A20F9B">
        <w:rPr>
          <w:rFonts w:ascii="Calibri" w:hAnsi="Calibri" w:cs="Times New Roman"/>
          <w:noProof/>
          <w:szCs w:val="24"/>
        </w:rPr>
        <w:t xml:space="preserve"> February, Cape Town, South Africa. http://minerals.usgs.gov/minerals</w:t>
      </w:r>
      <w:r w:rsidR="002B7B41">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 xml:space="preserve">Papp, J.F., 2011. Niobium (columbium) and tantalum: 2008 US geological survey minerals yearbook 52: 1–14. </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 xml:space="preserve">Paraskevas, D., Kellens, K., Dewulf, W. and Duflou, J.R., 2015. Environmental modelling of aluminium recycling: a Life Cycle Assessment tool for sustainable metal management. Journal of Cleaner Production, 105, pp.357-370. </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Pariser, H.H., 2013. Chromite: World Distribution, Uses, Supply &amp; demand, Future. Heinz H. Pariser Alloy Metals &amp; Steel Market Research Xanten/Germany. Accessed 16 05 2013.</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Parthemore, C., 2011. Elements of security: mitigating the risks of US dependence on critical minerals. Center for a New American Security.</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 xml:space="preserve">Perles, T., 2012. Vanadium Market Fundamentals and Implications. Metal Bulletin 28th International Ferroalloys Conference. Berlin, Germany. </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Polyak, D.E., 2012. Molybdenum: US. Geological Survey Mineral Commodity Summaries, 2012, pp.106-107.</w:t>
      </w:r>
    </w:p>
    <w:p w:rsidR="002B7B41" w:rsidRPr="00A20F9B" w:rsidRDefault="00A20F9B" w:rsidP="002B7B41">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ProBas (2004) Lifecycle Database. Freiburg (Germany): German Fed</w:t>
      </w:r>
      <w:r w:rsidR="002B7B41">
        <w:rPr>
          <w:rFonts w:ascii="Calibri" w:hAnsi="Calibri" w:cs="Times New Roman"/>
          <w:noProof/>
          <w:szCs w:val="24"/>
        </w:rPr>
        <w:t xml:space="preserve">eral Environmental Agency and O </w:t>
      </w:r>
      <w:r w:rsidRPr="00A20F9B">
        <w:rPr>
          <w:rFonts w:ascii="Calibri" w:hAnsi="Calibri" w:cs="Times New Roman"/>
          <w:noProof/>
          <w:szCs w:val="24"/>
        </w:rPr>
        <w:t>Co-institute.</w:t>
      </w:r>
      <w:r w:rsidR="00113DEB">
        <w:rPr>
          <w:rFonts w:ascii="Calibri" w:hAnsi="Calibri" w:cs="Times New Roman"/>
          <w:noProof/>
          <w:szCs w:val="24"/>
        </w:rPr>
        <w:t xml:space="preserve"> Available: http: //www.probas.</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Rapera, C.L., 2004. Southeast Asia in Transition. The Case of the Philippines 1981 to 2000. Part 1.</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Rauch, J.N. and Pacyna, J.M., 2009. Earth's global Ag, Al, Cr, Cu, Fe, Ni, Pb, and Zn cycles. Global Biogeochemical Cycles, 23(2).</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Reck, B.K., Müller, D.B., Rostkowski, K. and Graedel, T.E., 2008. Anthropogenic nickel cycle: Insights into use, trade, and recycling. Environmental Science &amp; Technology, 42(9), pp.3394-3400.</w:t>
      </w: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Rodrigues, J. and Giljum, S., 2005. The accounting of indirect material requirements in material flow-based indicators. ICFAI Journal of Environmental Economics, 3(2), pp.51-69.</w:t>
      </w:r>
    </w:p>
    <w:p w:rsidR="006032B5" w:rsidRPr="00A20F9B" w:rsidRDefault="006032B5" w:rsidP="00A20F9B">
      <w:pPr>
        <w:widowControl w:val="0"/>
        <w:autoSpaceDE w:val="0"/>
        <w:autoSpaceDN w:val="0"/>
        <w:adjustRightInd w:val="0"/>
        <w:spacing w:line="240" w:lineRule="auto"/>
        <w:ind w:left="480" w:hanging="480"/>
        <w:jc w:val="both"/>
        <w:rPr>
          <w:rFonts w:ascii="Calibri" w:hAnsi="Calibri" w:cs="Times New Roman"/>
          <w:noProof/>
          <w:szCs w:val="24"/>
        </w:rPr>
      </w:pP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lastRenderedPageBreak/>
        <w:t>Rosenau-Tornow, D., Buchholz, P., Riemann, A. and Wagner, M., 2009. Assessing the long-term supply risks for mineral raw materials—a combined evaluation of past and future trends. Resources Policy, 34(4), pp.161-175.</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Roskill (2015). Chromium: Global Industry Markets and Outlook Summary. [Online] Available: https://roskill.com. [Accessed 23rd May 2015]</w:t>
      </w:r>
    </w:p>
    <w:p w:rsidR="000F0754" w:rsidRPr="00A20F9B" w:rsidRDefault="00A20F9B" w:rsidP="006032B5">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Science and Technology Committee, 2010. Strategically important metals. Fifth report of session, 12.</w:t>
      </w:r>
    </w:p>
    <w:p w:rsidR="00A20F9B" w:rsidRPr="00A20F9B" w:rsidRDefault="00A20F9B" w:rsidP="00113DE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Schandl, H., Grünbühel, C.M., Thongmanivong, S., Pathoumthong, B. and Inthapanya, P., 2004. National and Local Material Flow Analysis for Lao PDR.</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Schwab, K., Porter, M.E. and Sachs, J., 2002. The global competitiveness report 2001-2002. Oxford University Press, USA.</w:t>
      </w:r>
    </w:p>
    <w:p w:rsid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S</w:t>
      </w:r>
      <w:r w:rsidR="002B7B41">
        <w:rPr>
          <w:rFonts w:ascii="Calibri" w:hAnsi="Calibri" w:cs="Times New Roman"/>
          <w:noProof/>
          <w:szCs w:val="24"/>
        </w:rPr>
        <w:t xml:space="preserve">cotish </w:t>
      </w:r>
      <w:r w:rsidRPr="00A20F9B">
        <w:rPr>
          <w:rFonts w:ascii="Calibri" w:hAnsi="Calibri" w:cs="Times New Roman"/>
          <w:noProof/>
          <w:szCs w:val="24"/>
        </w:rPr>
        <w:t>E</w:t>
      </w:r>
      <w:r w:rsidR="002B7B41">
        <w:rPr>
          <w:rFonts w:ascii="Calibri" w:hAnsi="Calibri" w:cs="Times New Roman"/>
          <w:noProof/>
          <w:szCs w:val="24"/>
        </w:rPr>
        <w:t xml:space="preserve">nvironmental </w:t>
      </w:r>
      <w:r w:rsidRPr="00A20F9B">
        <w:rPr>
          <w:rFonts w:ascii="Calibri" w:hAnsi="Calibri" w:cs="Times New Roman"/>
          <w:noProof/>
          <w:szCs w:val="24"/>
        </w:rPr>
        <w:t>P</w:t>
      </w:r>
      <w:r w:rsidR="002B7B41">
        <w:rPr>
          <w:rFonts w:ascii="Calibri" w:hAnsi="Calibri" w:cs="Times New Roman"/>
          <w:noProof/>
          <w:szCs w:val="24"/>
        </w:rPr>
        <w:t xml:space="preserve">rotection </w:t>
      </w:r>
      <w:r w:rsidRPr="00A20F9B">
        <w:rPr>
          <w:rFonts w:ascii="Calibri" w:hAnsi="Calibri" w:cs="Times New Roman"/>
          <w:noProof/>
          <w:szCs w:val="24"/>
        </w:rPr>
        <w:t>A</w:t>
      </w:r>
      <w:r w:rsidR="002B7B41">
        <w:rPr>
          <w:rFonts w:ascii="Calibri" w:hAnsi="Calibri" w:cs="Times New Roman"/>
          <w:noProof/>
          <w:szCs w:val="24"/>
        </w:rPr>
        <w:t>gency (SEPA)</w:t>
      </w:r>
      <w:r w:rsidRPr="00A20F9B">
        <w:rPr>
          <w:rFonts w:ascii="Calibri" w:hAnsi="Calibri" w:cs="Times New Roman"/>
          <w:noProof/>
          <w:szCs w:val="24"/>
        </w:rPr>
        <w:t xml:space="preserve"> (2011). Raw materials critical to the Scottish economy. Edinburgh, Scotland, A report by AEA Technology for </w:t>
      </w:r>
      <w:r w:rsidR="002B7B41">
        <w:rPr>
          <w:rFonts w:ascii="Calibri" w:hAnsi="Calibri" w:cs="Times New Roman"/>
          <w:noProof/>
          <w:szCs w:val="24"/>
        </w:rPr>
        <w:t xml:space="preserve">SEPA </w:t>
      </w:r>
      <w:r w:rsidRPr="00A20F9B">
        <w:rPr>
          <w:rFonts w:ascii="Calibri" w:hAnsi="Calibri" w:cs="Times New Roman"/>
          <w:noProof/>
          <w:szCs w:val="24"/>
        </w:rPr>
        <w:t>and the Scotland and Northern Ireland Forum For Environmental Research (SNIFFER).</w:t>
      </w:r>
    </w:p>
    <w:p w:rsidR="002B7B41" w:rsidRPr="00A20F9B" w:rsidRDefault="002B7B41"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Secretariat, R., 2014. Renewables 2014 global status report. REN21, Paris, Tech. Rep</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Shedd, K.B., 1993. The materials flow of cobalt in the United States (Vol. 9350). US Department of Interior, Bureau of Mines.</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Speirs, J., Houari, Y. and Gross, R., 2013. Materials availability: Comparison of material criticality studies—Methodologies and results. UK Energy Research Centre,(30 pp.).</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Speirs, J., Gross, R., Contestabile, M., Candelise, C., Houari, Y. and Gross, B., 2014. Materials availability for low-carbon technologies: an assessment of the evidence. UK Energy Research Centre, London.</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Steel Technology, (2015). Using Steel in the Years to come.[Online]. Available: http://steeltechnology.org [Accessed 15th June 2016]</w:t>
      </w:r>
      <w:r w:rsidR="002B7B41">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Steurer, A. 1992. Material flow balance Austria, 1988. Series of publications Social Ecology. No. Volume 26. IFF / Depar</w:t>
      </w:r>
      <w:r>
        <w:rPr>
          <w:rFonts w:ascii="Calibri" w:hAnsi="Calibri" w:cs="Times New Roman"/>
          <w:noProof/>
          <w:szCs w:val="24"/>
        </w:rPr>
        <w:t>tment of Social Ecology, Vienna</w:t>
      </w:r>
      <w:r w:rsidR="002B7B41">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Suh, S., Lenzen, M., Treloar, G.J., Hondo, H., Horvath, A., Huppes, G., Jolliet, O., Klann, U., Krewitt, W., Moriguchi, Y. and Munksgaard, J., 2004. System boundary selection in life-cycle inventories using hy</w:t>
      </w:r>
      <w:r w:rsidR="002B7B41">
        <w:rPr>
          <w:rFonts w:ascii="Calibri" w:hAnsi="Calibri" w:cs="Times New Roman"/>
          <w:noProof/>
          <w:szCs w:val="24"/>
        </w:rPr>
        <w:t>brid approaches. Environmental Science &amp; T</w:t>
      </w:r>
      <w:r w:rsidRPr="00A20F9B">
        <w:rPr>
          <w:rFonts w:ascii="Calibri" w:hAnsi="Calibri" w:cs="Times New Roman"/>
          <w:noProof/>
          <w:szCs w:val="24"/>
        </w:rPr>
        <w:t>echnology, 38(3), pp.657-664.</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The Society of Motor Manufacturers and Traders Limited</w:t>
      </w:r>
      <w:r w:rsidR="002B7B41">
        <w:rPr>
          <w:rFonts w:ascii="Calibri" w:hAnsi="Calibri" w:cs="Times New Roman"/>
          <w:noProof/>
          <w:szCs w:val="24"/>
        </w:rPr>
        <w:t xml:space="preserve"> (SMMT)</w:t>
      </w:r>
      <w:r w:rsidRPr="00A20F9B">
        <w:rPr>
          <w:rFonts w:ascii="Calibri" w:hAnsi="Calibri" w:cs="Times New Roman"/>
          <w:noProof/>
          <w:szCs w:val="24"/>
        </w:rPr>
        <w:t>, 2015. 2015 Automotive Sustainability Re</w:t>
      </w:r>
      <w:r>
        <w:rPr>
          <w:rFonts w:ascii="Calibri" w:hAnsi="Calibri" w:cs="Times New Roman"/>
          <w:noProof/>
          <w:szCs w:val="24"/>
        </w:rPr>
        <w:t>port. 16th edition - 2014 data.</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Thinkstep. GaBi Software System and Databases for Life Cycle Engineering. Copyright, TM. Stuttgart, Echterdingen. 1992-2015.</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Tongpool, R., Jirajariyavech, A., Yuvaniyama, C. and Mungcharoen, T., 2010. Analysis of steel production in Thailand: environmental impacts and solutions. Energy, 35(10), pp.4192-4200.</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 xml:space="preserve">Turconi, R., Boldrin, A. and Astrup, T., 2013. Life cycle assessment (LCA) of electricity generation technologies: overview, comparability </w:t>
      </w:r>
      <w:r w:rsidR="002B7B41">
        <w:rPr>
          <w:rFonts w:ascii="Calibri" w:hAnsi="Calibri" w:cs="Times New Roman"/>
          <w:noProof/>
          <w:szCs w:val="24"/>
        </w:rPr>
        <w:t>and limitations. Renewable and Sustainable Energy R</w:t>
      </w:r>
      <w:r w:rsidRPr="00A20F9B">
        <w:rPr>
          <w:rFonts w:ascii="Calibri" w:hAnsi="Calibri" w:cs="Times New Roman"/>
          <w:noProof/>
          <w:szCs w:val="24"/>
        </w:rPr>
        <w:t>eviews, 28, pp.555-565.</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U</w:t>
      </w:r>
      <w:r w:rsidR="002B7B41">
        <w:rPr>
          <w:rFonts w:ascii="Calibri" w:hAnsi="Calibri" w:cs="Times New Roman"/>
          <w:noProof/>
          <w:szCs w:val="24"/>
        </w:rPr>
        <w:t>nited Nations Environmental Programme (U</w:t>
      </w:r>
      <w:r w:rsidRPr="00A20F9B">
        <w:rPr>
          <w:rFonts w:ascii="Calibri" w:hAnsi="Calibri" w:cs="Times New Roman"/>
          <w:noProof/>
          <w:szCs w:val="24"/>
        </w:rPr>
        <w:t>NEP</w:t>
      </w:r>
      <w:r w:rsidR="002B7B41">
        <w:rPr>
          <w:rFonts w:ascii="Calibri" w:hAnsi="Calibri" w:cs="Times New Roman"/>
          <w:noProof/>
          <w:szCs w:val="24"/>
        </w:rPr>
        <w:t>)</w:t>
      </w:r>
      <w:r w:rsidRPr="00A20F9B">
        <w:rPr>
          <w:rFonts w:ascii="Calibri" w:hAnsi="Calibri" w:cs="Times New Roman"/>
          <w:noProof/>
          <w:szCs w:val="24"/>
        </w:rPr>
        <w:t xml:space="preserve"> (2011) Recycling Rates of Metals – A Status Report, A Report of the Working Group on the Global Metal Flows to the </w:t>
      </w:r>
      <w:r w:rsidR="006032B5">
        <w:rPr>
          <w:rFonts w:ascii="Calibri" w:hAnsi="Calibri" w:cs="Times New Roman"/>
          <w:noProof/>
          <w:szCs w:val="24"/>
        </w:rPr>
        <w:t>Interna- tional Resource Panel.</w:t>
      </w:r>
      <w:r w:rsidRPr="00A20F9B">
        <w:rPr>
          <w:rFonts w:ascii="Calibri" w:hAnsi="Calibri" w:cs="Times New Roman"/>
          <w:noProof/>
          <w:szCs w:val="24"/>
        </w:rPr>
        <w:t>Graedel, T.E.; Allwood, J.; Birat, J.-P.; Reck, B.K.; Sibley, S.F.; Sonnemann, G.; Buchert, M.; Hagelüken, C.</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lastRenderedPageBreak/>
        <w:t>United States Energy Information Administration</w:t>
      </w:r>
      <w:r w:rsidR="002B7B41">
        <w:rPr>
          <w:rFonts w:ascii="Calibri" w:hAnsi="Calibri" w:cs="Times New Roman"/>
          <w:noProof/>
          <w:szCs w:val="24"/>
        </w:rPr>
        <w:t xml:space="preserve"> (US EIA)</w:t>
      </w:r>
      <w:r w:rsidRPr="00A20F9B">
        <w:rPr>
          <w:rFonts w:ascii="Calibri" w:hAnsi="Calibri" w:cs="Times New Roman"/>
          <w:noProof/>
          <w:szCs w:val="24"/>
        </w:rPr>
        <w:t>. (2016), Electricity Data Browser.[Online] Available: http://www.eia.gov [Accessed 25th April 2016]</w:t>
      </w:r>
      <w:r w:rsidR="002B7B41">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United States Geological Survey (USGS) (2012). Mineral Commodity Summaries 2012. Reston, VA, US Geological Survey.</w:t>
      </w:r>
    </w:p>
    <w:p w:rsidR="00113DEB" w:rsidRPr="00A20F9B" w:rsidRDefault="00A20F9B" w:rsidP="002B7B41">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 xml:space="preserve">United States Geological Survey (USGS) (2015a). Mineral Commodity Summaries, (Chromium) Reston, VA, U.S. Geological Survey. </w:t>
      </w:r>
    </w:p>
    <w:p w:rsidR="00A20F9B" w:rsidRPr="00A20F9B" w:rsidRDefault="00A20F9B" w:rsidP="00113DE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United States Geological Survey (USGS) (2015b). Mineral Commodity Summaries, (Molybdenum) Reston, VA, U.S. Geological Survey.</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United States Geological Survey (USGS) (2015c). Mineral Commodity Summaries, (Vanadium) Reston, VA, U.S. Geological Survey.</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Vanitec, (2015). Vanadium Overview.[Online] Available: http://vanitec.org. [Accessed 24th May 2015]</w:t>
      </w:r>
      <w:r w:rsidR="002B7B41">
        <w:rPr>
          <w:rFonts w:ascii="Calibri" w:hAnsi="Calibri" w:cs="Times New Roman"/>
          <w:noProof/>
          <w:szCs w:val="24"/>
        </w:rPr>
        <w:t>.</w:t>
      </w:r>
    </w:p>
    <w:p w:rsidR="00A20F9B" w:rsidRPr="00A20F9B" w:rsidRDefault="002B7B41" w:rsidP="00A20F9B">
      <w:pPr>
        <w:widowControl w:val="0"/>
        <w:autoSpaceDE w:val="0"/>
        <w:autoSpaceDN w:val="0"/>
        <w:adjustRightInd w:val="0"/>
        <w:spacing w:line="240" w:lineRule="auto"/>
        <w:ind w:left="480" w:hanging="480"/>
        <w:jc w:val="both"/>
        <w:rPr>
          <w:rFonts w:ascii="Calibri" w:hAnsi="Calibri" w:cs="Times New Roman"/>
          <w:noProof/>
          <w:szCs w:val="24"/>
        </w:rPr>
      </w:pPr>
      <w:r>
        <w:rPr>
          <w:rFonts w:ascii="Calibri" w:hAnsi="Calibri" w:cs="Times New Roman"/>
          <w:noProof/>
          <w:szCs w:val="24"/>
        </w:rPr>
        <w:t>V</w:t>
      </w:r>
      <w:r w:rsidR="00A20F9B" w:rsidRPr="00A20F9B">
        <w:rPr>
          <w:rFonts w:ascii="Calibri" w:hAnsi="Calibri" w:cs="Times New Roman"/>
          <w:noProof/>
          <w:szCs w:val="24"/>
        </w:rPr>
        <w:t>an der Voet, E., van Egmond, L., Kleijn, R. and Huppes, G., 1994. Cadmium in the European Community: A policy-oriented analysis. Waste Management &amp; Research, 12(6), pp.507-526.</w:t>
      </w:r>
    </w:p>
    <w:p w:rsidR="00A20F9B" w:rsidRPr="00A20F9B" w:rsidRDefault="002B7B41" w:rsidP="00A20F9B">
      <w:pPr>
        <w:widowControl w:val="0"/>
        <w:autoSpaceDE w:val="0"/>
        <w:autoSpaceDN w:val="0"/>
        <w:adjustRightInd w:val="0"/>
        <w:spacing w:line="240" w:lineRule="auto"/>
        <w:ind w:left="480" w:hanging="480"/>
        <w:jc w:val="both"/>
        <w:rPr>
          <w:rFonts w:ascii="Calibri" w:hAnsi="Calibri" w:cs="Times New Roman"/>
          <w:noProof/>
          <w:szCs w:val="24"/>
        </w:rPr>
      </w:pPr>
      <w:r>
        <w:rPr>
          <w:rFonts w:ascii="Calibri" w:hAnsi="Calibri" w:cs="Times New Roman"/>
          <w:noProof/>
          <w:szCs w:val="24"/>
        </w:rPr>
        <w:t>V</w:t>
      </w:r>
      <w:r w:rsidR="00A20F9B" w:rsidRPr="00A20F9B">
        <w:rPr>
          <w:rFonts w:ascii="Calibri" w:hAnsi="Calibri" w:cs="Times New Roman"/>
          <w:noProof/>
          <w:szCs w:val="24"/>
        </w:rPr>
        <w:t>an der Voet, E., Kleijn, R. and de Haes, H.A.U., 1996. Nitrogen pollution in the European Union–origins and pro</w:t>
      </w:r>
      <w:r>
        <w:rPr>
          <w:rFonts w:ascii="Calibri" w:hAnsi="Calibri" w:cs="Times New Roman"/>
          <w:noProof/>
          <w:szCs w:val="24"/>
        </w:rPr>
        <w:t>posed solutions. Environmental C</w:t>
      </w:r>
      <w:r w:rsidR="00A20F9B" w:rsidRPr="00A20F9B">
        <w:rPr>
          <w:rFonts w:ascii="Calibri" w:hAnsi="Calibri" w:cs="Times New Roman"/>
          <w:noProof/>
          <w:szCs w:val="24"/>
        </w:rPr>
        <w:t>onservation, 23(02), pp.120-132.</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Van Vuuren, D.P., Bouwman, A.F. and Beusen, A.H., 2010. Phosphorus demand for the 1970–2100 period: a scenario analysis</w:t>
      </w:r>
      <w:r w:rsidR="000F0754">
        <w:rPr>
          <w:rFonts w:ascii="Calibri" w:hAnsi="Calibri" w:cs="Times New Roman"/>
          <w:noProof/>
          <w:szCs w:val="24"/>
        </w:rPr>
        <w:t xml:space="preserve"> of resource depletion. Global Environmental C</w:t>
      </w:r>
      <w:r w:rsidRPr="00A20F9B">
        <w:rPr>
          <w:rFonts w:ascii="Calibri" w:hAnsi="Calibri" w:cs="Times New Roman"/>
          <w:noProof/>
          <w:szCs w:val="24"/>
        </w:rPr>
        <w:t>hange, 20(3), pp.428-439.</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Wadia, C., Albertus, P. and Srinivasan, V., 2011. Resource constraints on the battery energy storage potential for grid and transportation applications. Journal of Power Sources, 196(3), pp.1593-1598.</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Wang, T., Müller, D.B. and Graedel, T.E., 2007. Forging the anthropog</w:t>
      </w:r>
      <w:r w:rsidR="000F0754">
        <w:rPr>
          <w:rFonts w:ascii="Calibri" w:hAnsi="Calibri" w:cs="Times New Roman"/>
          <w:noProof/>
          <w:szCs w:val="24"/>
        </w:rPr>
        <w:t>enic iron cycle. Environmental Science &amp; T</w:t>
      </w:r>
      <w:r w:rsidRPr="00A20F9B">
        <w:rPr>
          <w:rFonts w:ascii="Calibri" w:hAnsi="Calibri" w:cs="Times New Roman"/>
          <w:noProof/>
          <w:szCs w:val="24"/>
        </w:rPr>
        <w:t>echnology, 41(14), pp.5120-5129.</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Weiqiang, C., Lei, S. and Yi, Q., 2010. Substance flow analysis of aluminium in mainland China for 2001, 2004 and 2007: Exploring its initial sources, eventual sinks and the pathways linking them. Resources, Conservation and Recycling, 54(9), pp.557-570.</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Weisz, H., Krausmann, F. and Sangkaman, S., 2004. Resource Use in a Transition Economy. Material-and Energy-Flow Analysis for Thailand 1970/1980-2000.</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Weng, Z., Haque, N., Mudd, G.M. and Jowitt, S.M., 2016. Assessing the energy requirements and global warming potential of the production of rare earth elements. Journal of Cleaner Production, 139, pp.1282-1297.</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Westfall, L.A., Davourie, J., Ali, M. and McGough, D., 2016. Cradle-to-gate life cycle assessment of global manganese alloy production. The International Journal of Life Cycle Assessment, 21(11), pp.1573-1579.</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Williams, E., 2003. Forecasting material and economic flows in the global production chain for silicon. Technological Forecasting and Social Change, 70(4), pp.341-357.</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World Bank Data (WBD), (2015). Electric Power Transmission and Distribution Losses.[Online]. Available: http://data.worldbank.org [Accessed 17th June 2014]</w:t>
      </w:r>
      <w:r w:rsidR="000F0754">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World Coal Association (WCA), 2011a. Coal matters 1: Coal in the Global Energy Supply. [Online]. Available: https://www.worldcoal.org/. [Accessed 24th June 2014]</w:t>
      </w:r>
      <w:r w:rsidR="000F0754">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lastRenderedPageBreak/>
        <w:t>World Coal Association (WCA), 2011b. Coal matters 3: Coal and Electricity Generation. [Online]. Available: https://www.worldcoal.org/. [Accessed 24th June 2014]</w:t>
      </w:r>
      <w:r w:rsidR="000F0754">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World Energy Council, (2013). World Energy Resources, [Online]. Available: https://www.worldenergy.org/ [Accessed 25th July 2014]</w:t>
      </w:r>
      <w:r w:rsidR="000F0754">
        <w:rPr>
          <w:rFonts w:ascii="Calibri" w:hAnsi="Calibri" w:cs="Times New Roman"/>
          <w:noProof/>
          <w:szCs w:val="24"/>
        </w:rPr>
        <w:t>.</w:t>
      </w:r>
    </w:p>
    <w:p w:rsidR="00113DEB" w:rsidRPr="00A20F9B" w:rsidRDefault="00A20F9B" w:rsidP="000F0754">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World Nuclear Association, (2016). Nuclear Basics [Online]. Available: World Nuclear Association, 2016. [ Accessed 25th June 2014]</w:t>
      </w:r>
      <w:r w:rsidR="000F0754">
        <w:rPr>
          <w:rFonts w:ascii="Calibri" w:hAnsi="Calibri" w:cs="Times New Roman"/>
          <w:noProof/>
          <w:szCs w:val="24"/>
        </w:rPr>
        <w:t>.</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 xml:space="preserve">World Steel Association, (2010). Life cycle assessment in the steel industry. </w:t>
      </w:r>
      <w:r w:rsidR="000F0754">
        <w:rPr>
          <w:rFonts w:ascii="Calibri" w:hAnsi="Calibri" w:cs="Times New Roman"/>
          <w:noProof/>
          <w:szCs w:val="24"/>
        </w:rPr>
        <w:t>World Steel position paper, [PDF].</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World Steel Association, (2015). CO2 Emissions Data Collection. User Guide version 7.</w:t>
      </w:r>
    </w:p>
    <w:p w:rsidR="00A20F9B" w:rsidRPr="00A20F9B"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Yellishetty, M., Ranjith, P.G., Tharumarajah, A. and Bhosale, S., 2009. Life cycle assessment in the minerals and metals sector: a critical review of selected issues and challenges. The International Journal of Life Cycle Assessment, 14(3), p.257.</w:t>
      </w:r>
    </w:p>
    <w:p w:rsidR="00C44D7D" w:rsidRDefault="00A20F9B" w:rsidP="00A20F9B">
      <w:pPr>
        <w:widowControl w:val="0"/>
        <w:autoSpaceDE w:val="0"/>
        <w:autoSpaceDN w:val="0"/>
        <w:adjustRightInd w:val="0"/>
        <w:spacing w:line="240" w:lineRule="auto"/>
        <w:ind w:left="480" w:hanging="480"/>
        <w:jc w:val="both"/>
        <w:rPr>
          <w:rFonts w:ascii="Calibri" w:hAnsi="Calibri" w:cs="Times New Roman"/>
          <w:noProof/>
          <w:szCs w:val="24"/>
        </w:rPr>
      </w:pPr>
      <w:r w:rsidRPr="00A20F9B">
        <w:rPr>
          <w:rFonts w:ascii="Calibri" w:hAnsi="Calibri" w:cs="Times New Roman"/>
          <w:noProof/>
          <w:szCs w:val="24"/>
        </w:rPr>
        <w:t>Yoshimura, A., Daigo, I. and Matsuno, Y., 2013. Global substance flow analysis of indium. Materials Transactions, 54(1), pp.102-109.</w:t>
      </w:r>
      <w:r w:rsidR="00C44D7D" w:rsidRPr="00C44D7D">
        <w:rPr>
          <w:rFonts w:ascii="Calibri" w:hAnsi="Calibri" w:cs="Times New Roman"/>
          <w:noProof/>
          <w:szCs w:val="24"/>
        </w:rPr>
        <w:t xml:space="preserve">Yoshimura, A., Daigo, I. &amp; Matsuno, Y., 2013. Global Substance Flow Analysis of Indium. </w:t>
      </w:r>
      <w:r w:rsidR="00C44D7D" w:rsidRPr="000F0754">
        <w:rPr>
          <w:rFonts w:ascii="Calibri" w:hAnsi="Calibri" w:cs="Times New Roman"/>
          <w:iCs/>
          <w:noProof/>
          <w:szCs w:val="24"/>
        </w:rPr>
        <w:t>Materials Transactions</w:t>
      </w:r>
      <w:r w:rsidR="00C44D7D" w:rsidRPr="00C44D7D">
        <w:rPr>
          <w:rFonts w:ascii="Calibri" w:hAnsi="Calibri" w:cs="Times New Roman"/>
          <w:noProof/>
          <w:szCs w:val="24"/>
        </w:rPr>
        <w:t>, 54(1), pp.102–109.</w:t>
      </w:r>
    </w:p>
    <w:p w:rsidR="00DB5284" w:rsidRDefault="00A77027" w:rsidP="00966E03">
      <w:pPr>
        <w:spacing w:line="360" w:lineRule="auto"/>
        <w:ind w:left="480" w:hanging="480"/>
        <w:rPr>
          <w:rFonts w:ascii="Times New Roman" w:eastAsia="Calibri" w:hAnsi="Times New Roman" w:cs="Times New Roman"/>
        </w:rPr>
        <w:sectPr w:rsidR="00DB5284" w:rsidSect="00C24042">
          <w:pgSz w:w="11906" w:h="16838"/>
          <w:pgMar w:top="1440" w:right="1440" w:bottom="1440" w:left="1440" w:header="708" w:footer="708" w:gutter="0"/>
          <w:cols w:space="708"/>
          <w:docGrid w:linePitch="360"/>
        </w:sectPr>
      </w:pPr>
      <w:r w:rsidRPr="005B3139">
        <w:rPr>
          <w:rFonts w:ascii="Times New Roman" w:eastAsia="Calibri" w:hAnsi="Times New Roman" w:cs="Times New Roman"/>
        </w:rPr>
        <w:t>.</w:t>
      </w:r>
    </w:p>
    <w:p w:rsidR="00A77027" w:rsidRPr="005B3139" w:rsidRDefault="00A77027" w:rsidP="00DB5284">
      <w:pPr>
        <w:pStyle w:val="Heading2"/>
        <w:rPr>
          <w:rFonts w:eastAsia="Calibri Light"/>
        </w:rPr>
      </w:pPr>
      <w:r w:rsidRPr="005B3139">
        <w:rPr>
          <w:rFonts w:eastAsia="Calibri Light"/>
        </w:rPr>
        <w:lastRenderedPageBreak/>
        <w:t>B.MFA Methodology Details</w:t>
      </w:r>
    </w:p>
    <w:p w:rsidR="00A77027" w:rsidRPr="00DB5284" w:rsidRDefault="00CF6DD0" w:rsidP="00DB5284">
      <w:pPr>
        <w:pStyle w:val="Heading3"/>
      </w:pPr>
      <w:r>
        <w:t xml:space="preserve">B1. Steel </w:t>
      </w:r>
    </w:p>
    <w:p w:rsidR="00A27F35" w:rsidRPr="00A27F35" w:rsidRDefault="00A27F35" w:rsidP="00A27F35">
      <w:pPr>
        <w:rPr>
          <w:rFonts w:ascii="Times New Roman" w:hAnsi="Times New Roman" w:cs="Times New Roman"/>
        </w:rPr>
      </w:pPr>
      <w:bookmarkStart w:id="217" w:name="_Ref468430221"/>
      <w:bookmarkStart w:id="218" w:name="_Toc457222230"/>
      <w:bookmarkStart w:id="219" w:name="_Toc474486539"/>
      <w:bookmarkStart w:id="220" w:name="_Toc495852710"/>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32</w:t>
      </w:r>
      <w:r w:rsidR="009A0ED7" w:rsidRPr="0054285D">
        <w:rPr>
          <w:rFonts w:ascii="Times New Roman" w:hAnsi="Times New Roman" w:cs="Times New Roman"/>
        </w:rPr>
        <w:fldChar w:fldCharType="end"/>
      </w:r>
      <w:bookmarkEnd w:id="217"/>
      <w:r w:rsidRPr="0054285D">
        <w:rPr>
          <w:rFonts w:ascii="Times New Roman" w:hAnsi="Times New Roman" w:cs="Times New Roman"/>
        </w:rPr>
        <w:t>. Steel model Data sources and calculations used to map the flows of steel from steelmaking to intermediate products. Citations are shown in curved brackets, e.g. (1, p</w:t>
      </w:r>
      <w:r w:rsidR="00C15585" w:rsidRPr="0054285D">
        <w:rPr>
          <w:rFonts w:ascii="Times New Roman" w:hAnsi="Times New Roman" w:cs="Times New Roman"/>
        </w:rPr>
        <w:t>, 21</w:t>
      </w:r>
      <w:r w:rsidRPr="0054285D">
        <w:rPr>
          <w:rFonts w:ascii="Times New Roman" w:hAnsi="Times New Roman" w:cs="Times New Roman"/>
        </w:rPr>
        <w:t>, tab.3), with full references provided at the end of the table.</w:t>
      </w:r>
      <w:bookmarkEnd w:id="218"/>
      <w:bookmarkEnd w:id="219"/>
      <w:bookmarkEnd w:id="220"/>
    </w:p>
    <w:tbl>
      <w:tblPr>
        <w:tblW w:w="4750"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763"/>
        <w:gridCol w:w="1437"/>
        <w:gridCol w:w="3974"/>
        <w:gridCol w:w="6611"/>
      </w:tblGrid>
      <w:tr w:rsidR="00A27F35" w:rsidRPr="001C73F1" w:rsidTr="00FB58C1">
        <w:trPr>
          <w:trHeight w:val="300"/>
        </w:trPr>
        <w:tc>
          <w:tcPr>
            <w:tcW w:w="680" w:type="dxa"/>
            <w:shd w:val="clear" w:color="auto" w:fill="auto"/>
            <w:noWrap/>
            <w:vAlign w:val="bottom"/>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Flow </w:t>
            </w:r>
          </w:p>
        </w:tc>
        <w:tc>
          <w:tcPr>
            <w:tcW w:w="763" w:type="dxa"/>
            <w:shd w:val="clear" w:color="auto" w:fill="auto"/>
            <w:noWrap/>
            <w:vAlign w:val="bottom"/>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Mt </w:t>
            </w:r>
          </w:p>
        </w:tc>
        <w:tc>
          <w:tcPr>
            <w:tcW w:w="1437" w:type="dxa"/>
            <w:shd w:val="clear" w:color="auto" w:fill="auto"/>
            <w:noWrap/>
            <w:vAlign w:val="bottom"/>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Description</w:t>
            </w:r>
          </w:p>
        </w:tc>
        <w:tc>
          <w:tcPr>
            <w:tcW w:w="3974" w:type="dxa"/>
            <w:shd w:val="clear" w:color="auto" w:fill="auto"/>
            <w:noWrap/>
            <w:vAlign w:val="bottom"/>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Calculation</w:t>
            </w:r>
          </w:p>
        </w:tc>
        <w:tc>
          <w:tcPr>
            <w:tcW w:w="6611" w:type="dxa"/>
            <w:shd w:val="clear" w:color="auto" w:fill="auto"/>
            <w:noWrap/>
            <w:vAlign w:val="bottom"/>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Notes</w:t>
            </w:r>
          </w:p>
        </w:tc>
      </w:tr>
      <w:tr w:rsidR="00A27F35" w:rsidRPr="001C73F1" w:rsidTr="00FB58C1">
        <w:trPr>
          <w:trHeight w:val="300"/>
        </w:trPr>
        <w:tc>
          <w:tcPr>
            <w:tcW w:w="680"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w:t>
            </w:r>
          </w:p>
        </w:tc>
        <w:tc>
          <w:tcPr>
            <w:tcW w:w="763"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66.3</w:t>
            </w:r>
          </w:p>
        </w:tc>
        <w:tc>
          <w:tcPr>
            <w:tcW w:w="1437"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Iron Ore</w:t>
            </w:r>
          </w:p>
        </w:tc>
        <w:tc>
          <w:tcPr>
            <w:tcW w:w="3974"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2 /0.993</w:t>
            </w:r>
          </w:p>
        </w:tc>
        <w:tc>
          <w:tcPr>
            <w:tcW w:w="6611" w:type="dxa"/>
            <w:shd w:val="clear" w:color="auto" w:fill="auto"/>
            <w:noWrap/>
            <w:vAlign w:val="center"/>
            <w:hideMark/>
          </w:tcPr>
          <w:p w:rsidR="00A27F35" w:rsidRPr="001C73F1" w:rsidRDefault="00A27F35" w:rsidP="009F6581">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DR yield =</w:t>
            </w:r>
            <w:r w:rsidR="009A4C69">
              <w:rPr>
                <w:rFonts w:ascii="Calibri" w:eastAsia="Times New Roman" w:hAnsi="Calibri" w:cs="Times New Roman"/>
                <w:color w:val="000000"/>
              </w:rPr>
              <w:t xml:space="preserve"> </w:t>
            </w:r>
            <w:r w:rsidRPr="001C73F1">
              <w:rPr>
                <w:rFonts w:ascii="Calibri" w:eastAsia="Times New Roman" w:hAnsi="Calibri" w:cs="Times New Roman"/>
                <w:color w:val="000000"/>
              </w:rPr>
              <w:t>99.3%, assumed to be equal to the BF yield. Fe content only.</w:t>
            </w:r>
          </w:p>
        </w:tc>
      </w:tr>
      <w:tr w:rsidR="00A27F35" w:rsidRPr="001C73F1" w:rsidTr="00FB58C1">
        <w:trPr>
          <w:trHeight w:val="300"/>
        </w:trPr>
        <w:tc>
          <w:tcPr>
            <w:tcW w:w="680"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w:t>
            </w:r>
          </w:p>
        </w:tc>
        <w:tc>
          <w:tcPr>
            <w:tcW w:w="763"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65.8</w:t>
            </w:r>
          </w:p>
        </w:tc>
        <w:tc>
          <w:tcPr>
            <w:tcW w:w="1437"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Reduced Iron</w:t>
            </w:r>
          </w:p>
        </w:tc>
        <w:tc>
          <w:tcPr>
            <w:tcW w:w="3974"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center"/>
            <w:hideMark/>
          </w:tcPr>
          <w:p w:rsidR="00A27F35" w:rsidRPr="001C73F1" w:rsidRDefault="00A27F35" w:rsidP="009F6581">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Compare with 65</w:t>
            </w:r>
            <w:r w:rsidR="009A4C69">
              <w:rPr>
                <w:rFonts w:ascii="Calibri" w:eastAsia="Times New Roman" w:hAnsi="Calibri" w:cs="Times New Roman"/>
                <w:color w:val="000000"/>
              </w:rPr>
              <w:t>.2</w:t>
            </w:r>
            <w:r w:rsidRPr="001C73F1">
              <w:rPr>
                <w:rFonts w:ascii="Calibri" w:eastAsia="Times New Roman" w:hAnsi="Calibri" w:cs="Times New Roman"/>
                <w:color w:val="000000"/>
              </w:rPr>
              <w:t>Mt (2, p.34). It is assumed that all DRI is fed to the EF.</w:t>
            </w:r>
          </w:p>
        </w:tc>
      </w:tr>
      <w:tr w:rsidR="00A27F35" w:rsidRPr="001C73F1" w:rsidTr="00FB58C1">
        <w:trPr>
          <w:trHeight w:val="300"/>
        </w:trPr>
        <w:tc>
          <w:tcPr>
            <w:tcW w:w="680"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w:t>
            </w:r>
          </w:p>
        </w:tc>
        <w:tc>
          <w:tcPr>
            <w:tcW w:w="763"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0.5</w:t>
            </w:r>
          </w:p>
        </w:tc>
        <w:tc>
          <w:tcPr>
            <w:tcW w:w="1437"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974"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1 - Flow 2</w:t>
            </w:r>
          </w:p>
        </w:tc>
        <w:tc>
          <w:tcPr>
            <w:tcW w:w="6611" w:type="dxa"/>
            <w:shd w:val="clear" w:color="auto" w:fill="auto"/>
            <w:noWrap/>
            <w:vAlign w:val="center"/>
            <w:hideMark/>
          </w:tcPr>
          <w:p w:rsidR="00A27F35" w:rsidRPr="001C73F1" w:rsidRDefault="00A27F35" w:rsidP="009F6581">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Fe losses  only</w:t>
            </w:r>
          </w:p>
        </w:tc>
      </w:tr>
      <w:tr w:rsidR="00A27F35" w:rsidRPr="001C73F1" w:rsidTr="00FB58C1">
        <w:trPr>
          <w:trHeight w:val="300"/>
        </w:trPr>
        <w:tc>
          <w:tcPr>
            <w:tcW w:w="680"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w:t>
            </w:r>
          </w:p>
        </w:tc>
        <w:tc>
          <w:tcPr>
            <w:tcW w:w="763"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935.2</w:t>
            </w:r>
          </w:p>
        </w:tc>
        <w:tc>
          <w:tcPr>
            <w:tcW w:w="1437"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Iron Ore</w:t>
            </w:r>
          </w:p>
        </w:tc>
        <w:tc>
          <w:tcPr>
            <w:tcW w:w="3974"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5 / 0.993</w:t>
            </w:r>
          </w:p>
        </w:tc>
        <w:tc>
          <w:tcPr>
            <w:tcW w:w="6611" w:type="dxa"/>
            <w:shd w:val="clear" w:color="auto" w:fill="auto"/>
            <w:noWrap/>
            <w:vAlign w:val="center"/>
            <w:hideMark/>
          </w:tcPr>
          <w:p w:rsidR="00A27F35" w:rsidRPr="001C73F1" w:rsidRDefault="00A27F35" w:rsidP="009F6581">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BF yield = 99.3%, the product of the sinter plant yield 99.84% (3, p.32)</w:t>
            </w:r>
            <w:r w:rsidR="009F6581">
              <w:rPr>
                <w:rFonts w:ascii="Calibri" w:eastAsia="Times New Roman" w:hAnsi="Calibri" w:cs="Times New Roman"/>
                <w:color w:val="000000"/>
              </w:rPr>
              <w:t xml:space="preserve"> </w:t>
            </w:r>
            <w:r w:rsidRPr="001C73F1">
              <w:rPr>
                <w:rFonts w:ascii="Calibri" w:eastAsia="Times New Roman" w:hAnsi="Calibri" w:cs="Times New Roman"/>
                <w:color w:val="000000"/>
              </w:rPr>
              <w:t>and the BF yield 99.43% (3, p.33). Represents the small amount of Fe</w:t>
            </w:r>
            <w:r w:rsidR="009F6581">
              <w:rPr>
                <w:rFonts w:ascii="Calibri" w:eastAsia="Times New Roman" w:hAnsi="Calibri" w:cs="Times New Roman"/>
                <w:color w:val="000000"/>
              </w:rPr>
              <w:t xml:space="preserve"> </w:t>
            </w:r>
            <w:r w:rsidRPr="001C73F1">
              <w:rPr>
                <w:rFonts w:ascii="Calibri" w:eastAsia="Times New Roman" w:hAnsi="Calibri" w:cs="Times New Roman"/>
                <w:color w:val="000000"/>
              </w:rPr>
              <w:t>that is lost to landfill and the atmosphere. The total includes on average</w:t>
            </w:r>
            <w:r w:rsidR="009A4C69">
              <w:rPr>
                <w:rFonts w:ascii="Calibri" w:eastAsia="Times New Roman" w:hAnsi="Calibri" w:cs="Times New Roman"/>
                <w:color w:val="000000"/>
              </w:rPr>
              <w:t xml:space="preserve"> </w:t>
            </w:r>
            <w:r w:rsidRPr="001C73F1">
              <w:rPr>
                <w:rFonts w:ascii="Calibri" w:eastAsia="Times New Roman" w:hAnsi="Calibri" w:cs="Times New Roman"/>
                <w:color w:val="000000"/>
              </w:rPr>
              <w:t xml:space="preserve">7.2% Fe recycled mill scale/dust (3, p.34) as </w:t>
            </w:r>
            <w:proofErr w:type="gramStart"/>
            <w:r w:rsidRPr="001C73F1">
              <w:rPr>
                <w:rFonts w:ascii="Calibri" w:eastAsia="Times New Roman" w:hAnsi="Calibri" w:cs="Times New Roman"/>
                <w:color w:val="000000"/>
              </w:rPr>
              <w:t>an</w:t>
            </w:r>
            <w:proofErr w:type="gramEnd"/>
            <w:r w:rsidRPr="001C73F1">
              <w:rPr>
                <w:rFonts w:ascii="Calibri" w:eastAsia="Times New Roman" w:hAnsi="Calibri" w:cs="Times New Roman"/>
                <w:color w:val="000000"/>
              </w:rPr>
              <w:t xml:space="preserve"> input to the sinter plant.</w:t>
            </w:r>
          </w:p>
        </w:tc>
      </w:tr>
      <w:tr w:rsidR="00A27F35" w:rsidRPr="001C73F1" w:rsidTr="00FB58C1">
        <w:trPr>
          <w:trHeight w:val="300"/>
        </w:trPr>
        <w:tc>
          <w:tcPr>
            <w:tcW w:w="680"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w:t>
            </w:r>
          </w:p>
        </w:tc>
        <w:tc>
          <w:tcPr>
            <w:tcW w:w="763"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928.4</w:t>
            </w:r>
          </w:p>
        </w:tc>
        <w:tc>
          <w:tcPr>
            <w:tcW w:w="1437"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Pig Iron </w:t>
            </w:r>
          </w:p>
        </w:tc>
        <w:tc>
          <w:tcPr>
            <w:tcW w:w="3974"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center"/>
            <w:hideMark/>
          </w:tcPr>
          <w:p w:rsidR="00A27F35" w:rsidRPr="001C73F1" w:rsidRDefault="00A27F35" w:rsidP="009F6581">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 xml:space="preserve">BF yield = 99.3%. The BF total includes 1.4Mt of pig iron from smelt reduction process: </w:t>
            </w:r>
            <w:proofErr w:type="spellStart"/>
            <w:r w:rsidRPr="001C73F1">
              <w:rPr>
                <w:rFonts w:ascii="Calibri" w:eastAsia="Times New Roman" w:hAnsi="Calibri" w:cs="Times New Roman"/>
                <w:color w:val="000000"/>
              </w:rPr>
              <w:t>Corex</w:t>
            </w:r>
            <w:proofErr w:type="spellEnd"/>
            <w:r w:rsidRPr="001C73F1">
              <w:rPr>
                <w:rFonts w:ascii="Calibri" w:eastAsia="Times New Roman" w:hAnsi="Calibri" w:cs="Times New Roman"/>
                <w:color w:val="000000"/>
              </w:rPr>
              <w:t xml:space="preserve"> 0.6Mt and </w:t>
            </w:r>
            <w:proofErr w:type="spellStart"/>
            <w:r w:rsidRPr="001C73F1">
              <w:rPr>
                <w:rFonts w:ascii="Calibri" w:eastAsia="Times New Roman" w:hAnsi="Calibri" w:cs="Times New Roman"/>
                <w:color w:val="000000"/>
              </w:rPr>
              <w:t>Hsmelt</w:t>
            </w:r>
            <w:proofErr w:type="spellEnd"/>
            <w:r w:rsidRPr="001C73F1">
              <w:rPr>
                <w:rFonts w:ascii="Calibri" w:eastAsia="Times New Roman" w:hAnsi="Calibri" w:cs="Times New Roman"/>
                <w:color w:val="000000"/>
              </w:rPr>
              <w:t xml:space="preserve"> 0.8Mt. Pig iron includes pig iron for steelmaking and foundry iron used in casting. Fe content approximately 94%.</w:t>
            </w:r>
          </w:p>
        </w:tc>
      </w:tr>
      <w:tr w:rsidR="00A27F35" w:rsidRPr="001C73F1" w:rsidTr="00FB58C1">
        <w:trPr>
          <w:trHeight w:val="300"/>
        </w:trPr>
        <w:tc>
          <w:tcPr>
            <w:tcW w:w="680"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w:t>
            </w:r>
          </w:p>
        </w:tc>
        <w:tc>
          <w:tcPr>
            <w:tcW w:w="763"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6.8</w:t>
            </w:r>
          </w:p>
        </w:tc>
        <w:tc>
          <w:tcPr>
            <w:tcW w:w="1437"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974"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5 - Flow 6</w:t>
            </w:r>
          </w:p>
        </w:tc>
        <w:tc>
          <w:tcPr>
            <w:tcW w:w="6611" w:type="dxa"/>
            <w:shd w:val="clear" w:color="auto" w:fill="auto"/>
            <w:noWrap/>
            <w:vAlign w:val="center"/>
            <w:hideMark/>
          </w:tcPr>
          <w:p w:rsidR="00A27F35" w:rsidRPr="001C73F1" w:rsidRDefault="00A27F35" w:rsidP="00A27F35">
            <w:pPr>
              <w:spacing w:after="0" w:line="240" w:lineRule="auto"/>
              <w:rPr>
                <w:rFonts w:ascii="Calibri" w:eastAsia="Times New Roman" w:hAnsi="Calibri" w:cs="Times New Roman"/>
                <w:color w:val="000000"/>
              </w:rPr>
            </w:pPr>
            <w:r w:rsidRPr="001C73F1">
              <w:rPr>
                <w:rFonts w:ascii="Calibri" w:eastAsia="Times New Roman" w:hAnsi="Calibri" w:cs="Times New Roman"/>
                <w:color w:val="000000"/>
              </w:rPr>
              <w:t>Fe losses  only</w:t>
            </w:r>
          </w:p>
        </w:tc>
      </w:tr>
      <w:tr w:rsidR="00A27F35" w:rsidRPr="001C73F1" w:rsidTr="00FB58C1">
        <w:trPr>
          <w:trHeight w:val="300"/>
        </w:trPr>
        <w:tc>
          <w:tcPr>
            <w:tcW w:w="680"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7</w:t>
            </w:r>
          </w:p>
        </w:tc>
        <w:tc>
          <w:tcPr>
            <w:tcW w:w="763"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289.6</w:t>
            </w:r>
          </w:p>
        </w:tc>
        <w:tc>
          <w:tcPr>
            <w:tcW w:w="1437"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 (End of Life)</w:t>
            </w:r>
          </w:p>
        </w:tc>
        <w:tc>
          <w:tcPr>
            <w:tcW w:w="3974"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10 + Flow 11 - Flow 8 - Flow 9</w:t>
            </w:r>
          </w:p>
        </w:tc>
        <w:tc>
          <w:tcPr>
            <w:tcW w:w="6611" w:type="dxa"/>
            <w:shd w:val="clear" w:color="auto" w:fill="auto"/>
            <w:noWrap/>
            <w:vAlign w:val="center"/>
            <w:hideMark/>
          </w:tcPr>
          <w:p w:rsidR="00A27F35" w:rsidRPr="001C73F1" w:rsidRDefault="00A27F35" w:rsidP="009F6581">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End‐of‐life scrap, also known as post‐consumer scrap. Calculated as the</w:t>
            </w:r>
            <w:r w:rsidR="009F6581">
              <w:rPr>
                <w:rFonts w:ascii="Calibri" w:eastAsia="Times New Roman" w:hAnsi="Calibri" w:cs="Times New Roman"/>
                <w:color w:val="000000"/>
              </w:rPr>
              <w:t xml:space="preserve"> </w:t>
            </w:r>
            <w:r w:rsidRPr="001C73F1">
              <w:rPr>
                <w:rFonts w:ascii="Calibri" w:eastAsia="Times New Roman" w:hAnsi="Calibri" w:cs="Times New Roman"/>
                <w:color w:val="000000"/>
              </w:rPr>
              <w:t>balance of scrap. Compare with the extrapolated value of 370Mt of</w:t>
            </w:r>
            <w:r w:rsidR="009F6581">
              <w:rPr>
                <w:rFonts w:ascii="Calibri" w:eastAsia="Times New Roman" w:hAnsi="Calibri" w:cs="Times New Roman"/>
                <w:color w:val="000000"/>
              </w:rPr>
              <w:t xml:space="preserve"> </w:t>
            </w:r>
            <w:r w:rsidRPr="001C73F1">
              <w:rPr>
                <w:rFonts w:ascii="Calibri" w:eastAsia="Times New Roman" w:hAnsi="Calibri" w:cs="Times New Roman"/>
                <w:color w:val="000000"/>
              </w:rPr>
              <w:t>discards for 2008 in Hatayama et al. (4, fig.2) multiplied by the</w:t>
            </w:r>
            <w:r w:rsidR="009F6581">
              <w:rPr>
                <w:rFonts w:ascii="Calibri" w:eastAsia="Times New Roman" w:hAnsi="Calibri" w:cs="Times New Roman"/>
                <w:color w:val="000000"/>
              </w:rPr>
              <w:t xml:space="preserve"> </w:t>
            </w:r>
            <w:r w:rsidRPr="001C73F1">
              <w:rPr>
                <w:rFonts w:ascii="Calibri" w:eastAsia="Times New Roman" w:hAnsi="Calibri" w:cs="Times New Roman"/>
                <w:color w:val="000000"/>
              </w:rPr>
              <w:t>world</w:t>
            </w:r>
            <w:r w:rsidR="009F6581">
              <w:rPr>
                <w:rFonts w:ascii="Calibri" w:eastAsia="Times New Roman" w:hAnsi="Calibri" w:cs="Times New Roman"/>
                <w:color w:val="000000"/>
              </w:rPr>
              <w:t xml:space="preserve"> </w:t>
            </w:r>
            <w:r w:rsidRPr="001C73F1">
              <w:rPr>
                <w:rFonts w:ascii="Calibri" w:eastAsia="Times New Roman" w:hAnsi="Calibri" w:cs="Times New Roman"/>
                <w:color w:val="000000"/>
              </w:rPr>
              <w:t>steel recovery rate for end‐of‐life scrap of 80% (5, p.2), equals</w:t>
            </w:r>
            <w:r w:rsidR="009A4C69">
              <w:rPr>
                <w:rFonts w:ascii="Calibri" w:eastAsia="Times New Roman" w:hAnsi="Calibri" w:cs="Times New Roman"/>
                <w:color w:val="000000"/>
              </w:rPr>
              <w:t xml:space="preserve"> </w:t>
            </w:r>
            <w:r w:rsidRPr="001C73F1">
              <w:rPr>
                <w:rFonts w:ascii="Calibri" w:eastAsia="Times New Roman" w:hAnsi="Calibri" w:cs="Times New Roman"/>
                <w:color w:val="000000"/>
              </w:rPr>
              <w:t>296Mt.</w:t>
            </w:r>
          </w:p>
        </w:tc>
      </w:tr>
      <w:tr w:rsidR="00A27F35" w:rsidRPr="001C73F1" w:rsidTr="00FB58C1">
        <w:trPr>
          <w:trHeight w:val="300"/>
        </w:trPr>
        <w:tc>
          <w:tcPr>
            <w:tcW w:w="680"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w:t>
            </w:r>
          </w:p>
        </w:tc>
        <w:tc>
          <w:tcPr>
            <w:tcW w:w="763"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98.8</w:t>
            </w:r>
          </w:p>
        </w:tc>
        <w:tc>
          <w:tcPr>
            <w:tcW w:w="1437"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 (Forming)</w:t>
            </w:r>
          </w:p>
        </w:tc>
        <w:tc>
          <w:tcPr>
            <w:tcW w:w="3974"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30 + 36 + 41 + 62 + 66 + 71 + 76 + 82 + 86 + 90 + 93 + 98 + 101 + 104</w:t>
            </w:r>
          </w:p>
        </w:tc>
        <w:tc>
          <w:tcPr>
            <w:tcW w:w="6611" w:type="dxa"/>
            <w:shd w:val="clear" w:color="auto" w:fill="auto"/>
            <w:noWrap/>
            <w:vAlign w:val="center"/>
            <w:hideMark/>
          </w:tcPr>
          <w:p w:rsidR="00A27F35" w:rsidRPr="001C73F1" w:rsidRDefault="00A27F35" w:rsidP="009F6581">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Equals the sum of all scrap from rolling and forming processes. An additional 39Mt is recycled internally in steel casting (continuous, ingot and product) and 35Mt in iron foundry casting, but is not included in this total.</w:t>
            </w:r>
          </w:p>
        </w:tc>
      </w:tr>
      <w:tr w:rsidR="00A27F35" w:rsidRPr="001C73F1" w:rsidTr="00FB58C1">
        <w:trPr>
          <w:trHeight w:val="300"/>
        </w:trPr>
        <w:tc>
          <w:tcPr>
            <w:tcW w:w="680"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w:t>
            </w:r>
          </w:p>
        </w:tc>
        <w:tc>
          <w:tcPr>
            <w:tcW w:w="763"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185.9</w:t>
            </w:r>
          </w:p>
        </w:tc>
        <w:tc>
          <w:tcPr>
            <w:tcW w:w="1437"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 (Fabrication)</w:t>
            </w:r>
          </w:p>
        </w:tc>
        <w:tc>
          <w:tcPr>
            <w:tcW w:w="3974" w:type="dxa"/>
            <w:shd w:val="clear" w:color="auto" w:fill="auto"/>
            <w:noWrap/>
            <w:vAlign w:val="center"/>
            <w:hideMark/>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New steel scrap = 14% of Apparent Steel Consumption</w:t>
            </w:r>
          </w:p>
        </w:tc>
        <w:tc>
          <w:tcPr>
            <w:tcW w:w="6611" w:type="dxa"/>
            <w:shd w:val="clear" w:color="auto" w:fill="auto"/>
            <w:noWrap/>
            <w:vAlign w:val="center"/>
            <w:hideMark/>
          </w:tcPr>
          <w:p w:rsidR="00A27F35" w:rsidRPr="001C73F1" w:rsidRDefault="00A27F35" w:rsidP="009F6581">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World Steel Dy</w:t>
            </w:r>
            <w:r w:rsidR="00FB58C1">
              <w:rPr>
                <w:rFonts w:ascii="Calibri" w:eastAsia="Times New Roman" w:hAnsi="Calibri" w:cs="Times New Roman"/>
                <w:color w:val="000000"/>
              </w:rPr>
              <w:t>n</w:t>
            </w:r>
            <w:r w:rsidRPr="001C73F1">
              <w:rPr>
                <w:rFonts w:ascii="Calibri" w:eastAsia="Times New Roman" w:hAnsi="Calibri" w:cs="Times New Roman"/>
                <w:color w:val="000000"/>
              </w:rPr>
              <w:t>amics estimate that globally ‘new steel scrap’ (from fabrication process</w:t>
            </w:r>
            <w:r w:rsidR="009F6581">
              <w:rPr>
                <w:rFonts w:ascii="Calibri" w:eastAsia="Times New Roman" w:hAnsi="Calibri" w:cs="Times New Roman"/>
                <w:color w:val="000000"/>
              </w:rPr>
              <w:t xml:space="preserve">es) </w:t>
            </w:r>
            <w:r w:rsidRPr="001C73F1">
              <w:rPr>
                <w:rFonts w:ascii="Calibri" w:eastAsia="Times New Roman" w:hAnsi="Calibri" w:cs="Times New Roman"/>
                <w:color w:val="000000"/>
              </w:rPr>
              <w:t>equals 14% of apparent steel consumption (6</w:t>
            </w:r>
            <w:r w:rsidR="009F6581" w:rsidRPr="001C73F1">
              <w:rPr>
                <w:rFonts w:ascii="Calibri" w:eastAsia="Times New Roman" w:hAnsi="Calibri" w:cs="Times New Roman"/>
                <w:color w:val="000000"/>
              </w:rPr>
              <w:t>, p.19</w:t>
            </w:r>
            <w:r w:rsidRPr="001C73F1">
              <w:rPr>
                <w:rFonts w:ascii="Calibri" w:eastAsia="Times New Roman" w:hAnsi="Calibri" w:cs="Times New Roman"/>
                <w:color w:val="000000"/>
              </w:rPr>
              <w:t>). Using a crude steel figure of 1,328Mt gives 186Mt for fabrication scrap.</w:t>
            </w:r>
          </w:p>
        </w:tc>
      </w:tr>
    </w:tbl>
    <w:p w:rsidR="00EF2881" w:rsidRDefault="00EF2881">
      <w:pPr>
        <w:sectPr w:rsidR="00EF2881" w:rsidSect="00EF2881">
          <w:footerReference w:type="default" r:id="rId119"/>
          <w:footerReference w:type="first" r:id="rId120"/>
          <w:pgSz w:w="16838" w:h="11906" w:orient="landscape"/>
          <w:pgMar w:top="1440" w:right="1440" w:bottom="1440" w:left="1440" w:header="708" w:footer="708" w:gutter="0"/>
          <w:cols w:space="708"/>
          <w:titlePg/>
          <w:docGrid w:linePitch="360"/>
        </w:sectPr>
      </w:pPr>
    </w:p>
    <w:tbl>
      <w:tblPr>
        <w:tblW w:w="4905"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763"/>
        <w:gridCol w:w="1437"/>
        <w:gridCol w:w="3742"/>
        <w:gridCol w:w="7062"/>
      </w:tblGrid>
      <w:tr w:rsidR="00B361A7" w:rsidRPr="001C73F1" w:rsidTr="00C17210">
        <w:trPr>
          <w:trHeight w:val="300"/>
        </w:trPr>
        <w:tc>
          <w:tcPr>
            <w:tcW w:w="680" w:type="dxa"/>
            <w:shd w:val="clear" w:color="auto" w:fill="auto"/>
            <w:noWrap/>
            <w:vAlign w:val="bottom"/>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lastRenderedPageBreak/>
              <w:t xml:space="preserve">Flow </w:t>
            </w:r>
          </w:p>
        </w:tc>
        <w:tc>
          <w:tcPr>
            <w:tcW w:w="763" w:type="dxa"/>
            <w:shd w:val="clear" w:color="auto" w:fill="auto"/>
            <w:noWrap/>
            <w:vAlign w:val="bottom"/>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Mt </w:t>
            </w:r>
          </w:p>
        </w:tc>
        <w:tc>
          <w:tcPr>
            <w:tcW w:w="1437" w:type="dxa"/>
            <w:shd w:val="clear" w:color="auto" w:fill="auto"/>
            <w:noWrap/>
            <w:vAlign w:val="bottom"/>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Description</w:t>
            </w:r>
          </w:p>
        </w:tc>
        <w:tc>
          <w:tcPr>
            <w:tcW w:w="3742" w:type="dxa"/>
            <w:shd w:val="clear" w:color="auto" w:fill="auto"/>
            <w:noWrap/>
            <w:vAlign w:val="bottom"/>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Calculation</w:t>
            </w:r>
          </w:p>
        </w:tc>
        <w:tc>
          <w:tcPr>
            <w:tcW w:w="7062" w:type="dxa"/>
            <w:shd w:val="clear" w:color="auto" w:fill="auto"/>
            <w:noWrap/>
            <w:vAlign w:val="bottom"/>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Notes</w:t>
            </w:r>
          </w:p>
        </w:tc>
      </w:tr>
      <w:tr w:rsidR="00B361A7" w:rsidRPr="001C73F1" w:rsidTr="00C17210">
        <w:trPr>
          <w:trHeight w:val="300"/>
        </w:trPr>
        <w:tc>
          <w:tcPr>
            <w:tcW w:w="680"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w:t>
            </w:r>
          </w:p>
        </w:tc>
        <w:tc>
          <w:tcPr>
            <w:tcW w:w="763"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570.2</w:t>
            </w:r>
          </w:p>
        </w:tc>
        <w:tc>
          <w:tcPr>
            <w:tcW w:w="1437"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742"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(475.5 + Flow 8 ) *0.99</w:t>
            </w:r>
          </w:p>
        </w:tc>
        <w:tc>
          <w:tcPr>
            <w:tcW w:w="7062" w:type="dxa"/>
            <w:shd w:val="clear" w:color="auto" w:fill="auto"/>
            <w:noWrap/>
            <w:vAlign w:val="bottom"/>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Reported scrap consumption is 475.5Mt (7, p.26) but is assumed to exclude forming scrap [8], which is internally recycled and typically not included in recycling statistics.</w:t>
            </w:r>
            <w:r>
              <w:rPr>
                <w:rFonts w:ascii="Calibri" w:eastAsia="Times New Roman" w:hAnsi="Calibri" w:cs="Times New Roman"/>
                <w:color w:val="000000"/>
              </w:rPr>
              <w:t xml:space="preserve"> </w:t>
            </w:r>
            <w:r w:rsidRPr="001C73F1">
              <w:rPr>
                <w:rFonts w:ascii="Calibri" w:eastAsia="Times New Roman" w:hAnsi="Calibri" w:cs="Times New Roman"/>
                <w:color w:val="000000"/>
              </w:rPr>
              <w:t>SP yield =</w:t>
            </w:r>
            <w:r>
              <w:rPr>
                <w:rFonts w:ascii="Calibri" w:eastAsia="Times New Roman" w:hAnsi="Calibri" w:cs="Times New Roman"/>
                <w:color w:val="000000"/>
              </w:rPr>
              <w:t xml:space="preserve"> </w:t>
            </w:r>
            <w:r w:rsidRPr="001C73F1">
              <w:rPr>
                <w:rFonts w:ascii="Calibri" w:eastAsia="Times New Roman" w:hAnsi="Calibri" w:cs="Times New Roman"/>
                <w:color w:val="000000"/>
              </w:rPr>
              <w:t>99.3%, assumed to be equal to the BF yield. Fe content only and excludes recycling collection inefficiencies.</w:t>
            </w:r>
          </w:p>
        </w:tc>
      </w:tr>
      <w:tr w:rsidR="00B361A7" w:rsidRPr="001C73F1" w:rsidTr="00C17210">
        <w:trPr>
          <w:trHeight w:val="300"/>
        </w:trPr>
        <w:tc>
          <w:tcPr>
            <w:tcW w:w="680"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11</w:t>
            </w:r>
          </w:p>
        </w:tc>
        <w:tc>
          <w:tcPr>
            <w:tcW w:w="763"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4.2</w:t>
            </w:r>
          </w:p>
        </w:tc>
        <w:tc>
          <w:tcPr>
            <w:tcW w:w="1437"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742"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7 + Flow 8 + Flow 9 - Flow 10</w:t>
            </w:r>
          </w:p>
        </w:tc>
        <w:tc>
          <w:tcPr>
            <w:tcW w:w="7062" w:type="dxa"/>
            <w:shd w:val="clear" w:color="auto" w:fill="auto"/>
            <w:noWrap/>
            <w:vAlign w:val="center"/>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Fe losses  only</w:t>
            </w:r>
          </w:p>
        </w:tc>
      </w:tr>
      <w:tr w:rsidR="00B361A7" w:rsidRPr="001C73F1" w:rsidTr="00C17210">
        <w:trPr>
          <w:trHeight w:val="300"/>
        </w:trPr>
        <w:tc>
          <w:tcPr>
            <w:tcW w:w="680"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12</w:t>
            </w:r>
          </w:p>
        </w:tc>
        <w:tc>
          <w:tcPr>
            <w:tcW w:w="763"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44.6</w:t>
            </w:r>
          </w:p>
        </w:tc>
        <w:tc>
          <w:tcPr>
            <w:tcW w:w="1437"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Pig Iron</w:t>
            </w:r>
          </w:p>
        </w:tc>
        <w:tc>
          <w:tcPr>
            <w:tcW w:w="3742"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(Pig Iron + Hot Metal)*Ratio of EAF production totals</w:t>
            </w:r>
          </w:p>
        </w:tc>
        <w:tc>
          <w:tcPr>
            <w:tcW w:w="7062" w:type="dxa"/>
            <w:shd w:val="clear" w:color="auto" w:fill="auto"/>
            <w:noWrap/>
            <w:vAlign w:val="center"/>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Based on reported global pig iron inputs to EAF steel making in 2008 (2, p.34), which includes: 36.2Mt pig iron and 9.3Mt hot metal (liquid pig iron). Scaled using the ratio of EAF production totals from the two sources: 407.0Mt (1, p.25) divided by 414.9Mt (2, p.34) = 0.98.</w:t>
            </w:r>
          </w:p>
        </w:tc>
      </w:tr>
      <w:tr w:rsidR="00B361A7" w:rsidRPr="001C73F1" w:rsidTr="00C17210">
        <w:trPr>
          <w:trHeight w:val="300"/>
        </w:trPr>
        <w:tc>
          <w:tcPr>
            <w:tcW w:w="680"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13</w:t>
            </w:r>
          </w:p>
        </w:tc>
        <w:tc>
          <w:tcPr>
            <w:tcW w:w="763"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351.0</w:t>
            </w:r>
          </w:p>
        </w:tc>
        <w:tc>
          <w:tcPr>
            <w:tcW w:w="1437"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742"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14 /0.889 - Flow 2 - Flow 12</w:t>
            </w:r>
          </w:p>
        </w:tc>
        <w:tc>
          <w:tcPr>
            <w:tcW w:w="7062" w:type="dxa"/>
            <w:shd w:val="clear" w:color="auto" w:fill="auto"/>
            <w:noWrap/>
            <w:vAlign w:val="bottom"/>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EF yield =</w:t>
            </w:r>
            <w:r>
              <w:rPr>
                <w:rFonts w:ascii="Calibri" w:eastAsia="Times New Roman" w:hAnsi="Calibri" w:cs="Times New Roman"/>
                <w:color w:val="000000"/>
              </w:rPr>
              <w:t xml:space="preserve"> </w:t>
            </w:r>
            <w:r w:rsidRPr="001C73F1">
              <w:rPr>
                <w:rFonts w:ascii="Calibri" w:eastAsia="Times New Roman" w:hAnsi="Calibri" w:cs="Times New Roman"/>
                <w:color w:val="000000"/>
              </w:rPr>
              <w:t>88.9%, from the gross metallic yield =1000/1125 (3, p.67, fig.63), which is within the range for overall yield 86.1%‐95.7%. Note the Fe yield, which excludes non‐iron materials, is much higher 92.8%‐ 98.6%. The EF scrap input is comparable to 345.8Mt (2, p.34).</w:t>
            </w:r>
          </w:p>
        </w:tc>
      </w:tr>
      <w:tr w:rsidR="00B361A7" w:rsidRPr="001C73F1" w:rsidTr="00C17210">
        <w:trPr>
          <w:trHeight w:val="300"/>
        </w:trPr>
        <w:tc>
          <w:tcPr>
            <w:tcW w:w="680"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14</w:t>
            </w:r>
          </w:p>
        </w:tc>
        <w:tc>
          <w:tcPr>
            <w:tcW w:w="763"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410.3</w:t>
            </w:r>
          </w:p>
        </w:tc>
        <w:tc>
          <w:tcPr>
            <w:tcW w:w="1437"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Liquid Steel</w:t>
            </w:r>
          </w:p>
        </w:tc>
        <w:tc>
          <w:tcPr>
            <w:tcW w:w="3742"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23/0.992</w:t>
            </w:r>
          </w:p>
        </w:tc>
        <w:tc>
          <w:tcPr>
            <w:tcW w:w="7062" w:type="dxa"/>
            <w:shd w:val="clear" w:color="auto" w:fill="auto"/>
            <w:noWrap/>
            <w:vAlign w:val="bottom"/>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SM yield = 99.2% (3, p.70), which is the average of the overall yield range 98.3</w:t>
            </w:r>
            <w:r>
              <w:rPr>
                <w:rFonts w:ascii="Calibri" w:eastAsia="Times New Roman" w:hAnsi="Calibri" w:cs="Times New Roman"/>
                <w:color w:val="000000"/>
              </w:rPr>
              <w:t>%</w:t>
            </w:r>
            <w:r w:rsidRPr="001C73F1">
              <w:rPr>
                <w:rFonts w:ascii="Calibri" w:eastAsia="Times New Roman" w:hAnsi="Calibri" w:cs="Times New Roman"/>
                <w:color w:val="000000"/>
              </w:rPr>
              <w:t>‐100%. (Note the Fe yield is 99.4‐</w:t>
            </w:r>
            <w:r>
              <w:rPr>
                <w:rFonts w:ascii="Calibri" w:eastAsia="Times New Roman" w:hAnsi="Calibri" w:cs="Times New Roman"/>
                <w:color w:val="000000"/>
              </w:rPr>
              <w:t xml:space="preserve">100 </w:t>
            </w:r>
            <w:r w:rsidRPr="001C73F1">
              <w:rPr>
                <w:rFonts w:ascii="Calibri" w:eastAsia="Times New Roman" w:hAnsi="Calibri" w:cs="Times New Roman"/>
                <w:color w:val="000000"/>
              </w:rPr>
              <w:t>%.) The mass of alloying elements is ignored.</w:t>
            </w:r>
          </w:p>
        </w:tc>
      </w:tr>
      <w:tr w:rsidR="00B361A7" w:rsidRPr="001C73F1" w:rsidTr="00C17210">
        <w:trPr>
          <w:trHeight w:val="300"/>
        </w:trPr>
        <w:tc>
          <w:tcPr>
            <w:tcW w:w="680"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15</w:t>
            </w:r>
          </w:p>
        </w:tc>
        <w:tc>
          <w:tcPr>
            <w:tcW w:w="763"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51.2</w:t>
            </w:r>
          </w:p>
        </w:tc>
        <w:tc>
          <w:tcPr>
            <w:tcW w:w="1437"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742"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2 + Flow 12 + Flow 13 - Flow 14</w:t>
            </w:r>
          </w:p>
        </w:tc>
        <w:tc>
          <w:tcPr>
            <w:tcW w:w="7062" w:type="dxa"/>
            <w:shd w:val="clear" w:color="auto" w:fill="auto"/>
            <w:noWrap/>
            <w:vAlign w:val="bottom"/>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 xml:space="preserve">Slag losses are sent for reprocessing and the resulting </w:t>
            </w:r>
            <w:proofErr w:type="spellStart"/>
            <w:r w:rsidRPr="001C73F1">
              <w:rPr>
                <w:rFonts w:ascii="Calibri" w:eastAsia="Times New Roman" w:hAnsi="Calibri" w:cs="Times New Roman"/>
                <w:color w:val="000000"/>
              </w:rPr>
              <w:t>FeO</w:t>
            </w:r>
            <w:proofErr w:type="spellEnd"/>
            <w:r w:rsidRPr="001C73F1">
              <w:rPr>
                <w:rFonts w:ascii="Calibri" w:eastAsia="Times New Roman" w:hAnsi="Calibri" w:cs="Times New Roman"/>
                <w:color w:val="000000"/>
              </w:rPr>
              <w:t xml:space="preserve"> is sintered and fed to the BF.</w:t>
            </w:r>
          </w:p>
        </w:tc>
      </w:tr>
      <w:tr w:rsidR="00B361A7" w:rsidRPr="001C73F1" w:rsidTr="00C17210">
        <w:trPr>
          <w:trHeight w:val="300"/>
        </w:trPr>
        <w:tc>
          <w:tcPr>
            <w:tcW w:w="680"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16</w:t>
            </w:r>
          </w:p>
        </w:tc>
        <w:tc>
          <w:tcPr>
            <w:tcW w:w="763"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824.4</w:t>
            </w:r>
          </w:p>
        </w:tc>
        <w:tc>
          <w:tcPr>
            <w:tcW w:w="1437"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Pig Iron</w:t>
            </w:r>
          </w:p>
        </w:tc>
        <w:tc>
          <w:tcPr>
            <w:tcW w:w="3742"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18 / 0.871) - Flow 17</w:t>
            </w:r>
          </w:p>
        </w:tc>
        <w:tc>
          <w:tcPr>
            <w:tcW w:w="7062" w:type="dxa"/>
            <w:shd w:val="clear" w:color="auto" w:fill="auto"/>
            <w:noWrap/>
            <w:vAlign w:val="bottom"/>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OBC yield =87.1%, calculated as the product of: the pre</w:t>
            </w:r>
            <w:r>
              <w:rPr>
                <w:rFonts w:ascii="Calibri" w:eastAsia="Times New Roman" w:hAnsi="Calibri" w:cs="Times New Roman"/>
                <w:color w:val="000000"/>
              </w:rPr>
              <w:t>-</w:t>
            </w:r>
            <w:r w:rsidRPr="001C73F1">
              <w:rPr>
                <w:rFonts w:ascii="Calibri" w:eastAsia="Times New Roman" w:hAnsi="Calibri" w:cs="Times New Roman"/>
                <w:color w:val="000000"/>
              </w:rPr>
              <w:t>treatment yield = 98.4%, calculated as 1000/1015 (3, p.52, fig.38) with a range of 94.5%‐100%.BOF yield =85.</w:t>
            </w:r>
            <w:r>
              <w:rPr>
                <w:rFonts w:ascii="Calibri" w:eastAsia="Times New Roman" w:hAnsi="Calibri" w:cs="Times New Roman"/>
                <w:color w:val="000000"/>
              </w:rPr>
              <w:t>5%, calculated as 1000/1130 (3,</w:t>
            </w:r>
            <w:r w:rsidRPr="001C73F1">
              <w:rPr>
                <w:rFonts w:ascii="Calibri" w:eastAsia="Times New Roman" w:hAnsi="Calibri" w:cs="Times New Roman"/>
                <w:color w:val="000000"/>
              </w:rPr>
              <w:t xml:space="preserve"> p.59, fig.49) with a range of 81%‐100%. (Note the Fe yield for the BOF is 90‐100</w:t>
            </w:r>
            <w:r>
              <w:rPr>
                <w:rFonts w:ascii="Calibri" w:eastAsia="Times New Roman" w:hAnsi="Calibri" w:cs="Times New Roman"/>
                <w:color w:val="000000"/>
              </w:rPr>
              <w:t xml:space="preserve"> </w:t>
            </w:r>
            <w:r w:rsidRPr="001C73F1">
              <w:rPr>
                <w:rFonts w:ascii="Calibri" w:eastAsia="Times New Roman" w:hAnsi="Calibri" w:cs="Times New Roman"/>
                <w:color w:val="000000"/>
              </w:rPr>
              <w:t>%.)</w:t>
            </w:r>
          </w:p>
        </w:tc>
      </w:tr>
      <w:tr w:rsidR="00B361A7" w:rsidRPr="001C73F1" w:rsidTr="00C17210">
        <w:trPr>
          <w:trHeight w:val="300"/>
        </w:trPr>
        <w:tc>
          <w:tcPr>
            <w:tcW w:w="680"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17</w:t>
            </w:r>
          </w:p>
        </w:tc>
        <w:tc>
          <w:tcPr>
            <w:tcW w:w="763"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207.5</w:t>
            </w:r>
          </w:p>
        </w:tc>
        <w:tc>
          <w:tcPr>
            <w:tcW w:w="1437"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742" w:type="dxa"/>
            <w:shd w:val="clear" w:color="auto" w:fill="auto"/>
            <w:noWrap/>
            <w:vAlign w:val="center"/>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10 - Flow 13 - Flow 54</w:t>
            </w:r>
          </w:p>
        </w:tc>
        <w:tc>
          <w:tcPr>
            <w:tcW w:w="7062" w:type="dxa"/>
            <w:shd w:val="clear" w:color="auto" w:fill="auto"/>
            <w:noWrap/>
            <w:vAlign w:val="bottom"/>
          </w:tcPr>
          <w:p w:rsidR="00B361A7"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Assumes no scrap is used in OHF. This equals 20% of the charge to OBC,</w:t>
            </w:r>
            <w:r>
              <w:rPr>
                <w:rFonts w:ascii="Calibri" w:eastAsia="Times New Roman" w:hAnsi="Calibri" w:cs="Times New Roman"/>
                <w:color w:val="000000"/>
              </w:rPr>
              <w:t xml:space="preserve"> </w:t>
            </w:r>
            <w:r w:rsidRPr="001C73F1">
              <w:rPr>
                <w:rFonts w:ascii="Calibri" w:eastAsia="Times New Roman" w:hAnsi="Calibri" w:cs="Times New Roman"/>
                <w:color w:val="000000"/>
              </w:rPr>
              <w:t>but includes forming scrap from the rolling mills (internal run‐around</w:t>
            </w:r>
            <w:r>
              <w:rPr>
                <w:rFonts w:ascii="Calibri" w:eastAsia="Times New Roman" w:hAnsi="Calibri" w:cs="Times New Roman"/>
                <w:color w:val="000000"/>
              </w:rPr>
              <w:t xml:space="preserve"> </w:t>
            </w:r>
            <w:r w:rsidRPr="001C73F1">
              <w:rPr>
                <w:rFonts w:ascii="Calibri" w:eastAsia="Times New Roman" w:hAnsi="Calibri" w:cs="Times New Roman"/>
                <w:color w:val="000000"/>
              </w:rPr>
              <w:t xml:space="preserve">scrap). This value is above the 10% </w:t>
            </w:r>
            <w:r>
              <w:rPr>
                <w:rFonts w:ascii="Calibri" w:eastAsia="Times New Roman" w:hAnsi="Calibri" w:cs="Times New Roman"/>
                <w:color w:val="000000"/>
              </w:rPr>
              <w:t xml:space="preserve">scrap charge assumed by Worrell </w:t>
            </w:r>
            <w:r w:rsidRPr="001C73F1">
              <w:rPr>
                <w:rFonts w:ascii="Calibri" w:eastAsia="Times New Roman" w:hAnsi="Calibri" w:cs="Times New Roman"/>
                <w:color w:val="000000"/>
              </w:rPr>
              <w:t>et</w:t>
            </w:r>
            <w:r>
              <w:rPr>
                <w:rFonts w:ascii="Calibri" w:eastAsia="Times New Roman" w:hAnsi="Calibri" w:cs="Times New Roman"/>
                <w:color w:val="000000"/>
              </w:rPr>
              <w:t xml:space="preserve"> </w:t>
            </w:r>
            <w:r w:rsidRPr="001C73F1">
              <w:rPr>
                <w:rFonts w:ascii="Calibri" w:eastAsia="Times New Roman" w:hAnsi="Calibri" w:cs="Times New Roman"/>
                <w:color w:val="000000"/>
              </w:rPr>
              <w:t>al. (8, p.6) and the value of 13.8% used by Tata Steel for their carbon</w:t>
            </w:r>
            <w:r>
              <w:rPr>
                <w:rFonts w:ascii="Calibri" w:eastAsia="Times New Roman" w:hAnsi="Calibri" w:cs="Times New Roman"/>
                <w:color w:val="000000"/>
              </w:rPr>
              <w:t xml:space="preserve"> </w:t>
            </w:r>
            <w:r w:rsidRPr="001C73F1">
              <w:rPr>
                <w:rFonts w:ascii="Calibri" w:eastAsia="Times New Roman" w:hAnsi="Calibri" w:cs="Times New Roman"/>
                <w:color w:val="000000"/>
              </w:rPr>
              <w:t>footprint calculation (9), however these values may not include forming</w:t>
            </w:r>
            <w:r>
              <w:rPr>
                <w:rFonts w:ascii="Calibri" w:eastAsia="Times New Roman" w:hAnsi="Calibri" w:cs="Times New Roman"/>
                <w:color w:val="000000"/>
              </w:rPr>
              <w:t xml:space="preserve"> </w:t>
            </w:r>
            <w:r w:rsidRPr="001C73F1">
              <w:rPr>
                <w:rFonts w:ascii="Calibri" w:eastAsia="Times New Roman" w:hAnsi="Calibri" w:cs="Times New Roman"/>
                <w:color w:val="000000"/>
              </w:rPr>
              <w:t>scrap. The maximum thermodynamic limit for scrap charge is 25‐30%without the addition of extra fuel (10, p.181).</w:t>
            </w:r>
          </w:p>
          <w:p w:rsidR="00B361A7" w:rsidRPr="001C73F1" w:rsidRDefault="00B361A7" w:rsidP="00B361A7">
            <w:pPr>
              <w:spacing w:after="0" w:line="240" w:lineRule="auto"/>
              <w:jc w:val="both"/>
              <w:rPr>
                <w:rFonts w:ascii="Calibri" w:eastAsia="Times New Roman" w:hAnsi="Calibri" w:cs="Times New Roman"/>
                <w:color w:val="000000"/>
              </w:rPr>
            </w:pPr>
          </w:p>
        </w:tc>
      </w:tr>
    </w:tbl>
    <w:p w:rsidR="00C17210" w:rsidRDefault="00C17210" w:rsidP="00B361A7">
      <w:pPr>
        <w:spacing w:after="0" w:line="240" w:lineRule="auto"/>
        <w:jc w:val="center"/>
        <w:rPr>
          <w:rFonts w:ascii="Calibri" w:eastAsia="Times New Roman" w:hAnsi="Calibri" w:cs="Times New Roman"/>
          <w:color w:val="000000"/>
        </w:rPr>
        <w:sectPr w:rsidR="00C17210" w:rsidSect="00EF2881">
          <w:pgSz w:w="16838" w:h="11906" w:orient="landscape"/>
          <w:pgMar w:top="1440" w:right="1440" w:bottom="1440" w:left="1440" w:header="708" w:footer="708" w:gutter="0"/>
          <w:cols w:space="708"/>
          <w:titlePg/>
          <w:docGrid w:linePitch="360"/>
        </w:sectPr>
      </w:pPr>
    </w:p>
    <w:tbl>
      <w:tblPr>
        <w:tblW w:w="4905"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763"/>
        <w:gridCol w:w="1437"/>
        <w:gridCol w:w="3742"/>
        <w:gridCol w:w="7062"/>
      </w:tblGrid>
      <w:tr w:rsidR="00B361A7" w:rsidRPr="001C73F1" w:rsidTr="00C17210">
        <w:trPr>
          <w:trHeight w:val="300"/>
        </w:trPr>
        <w:tc>
          <w:tcPr>
            <w:tcW w:w="680" w:type="dxa"/>
            <w:shd w:val="clear" w:color="auto" w:fill="auto"/>
            <w:noWrap/>
            <w:vAlign w:val="bottom"/>
          </w:tcPr>
          <w:p w:rsidR="00C17210" w:rsidRDefault="00C17210" w:rsidP="00B361A7">
            <w:pPr>
              <w:spacing w:after="0" w:line="240" w:lineRule="auto"/>
              <w:jc w:val="center"/>
              <w:rPr>
                <w:rFonts w:ascii="Calibri" w:eastAsia="Times New Roman" w:hAnsi="Calibri" w:cs="Times New Roman"/>
                <w:color w:val="000000"/>
              </w:rPr>
            </w:pPr>
          </w:p>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Flow </w:t>
            </w:r>
          </w:p>
        </w:tc>
        <w:tc>
          <w:tcPr>
            <w:tcW w:w="763" w:type="dxa"/>
            <w:shd w:val="clear" w:color="auto" w:fill="auto"/>
            <w:noWrap/>
            <w:vAlign w:val="bottom"/>
          </w:tcPr>
          <w:p w:rsidR="00C17210" w:rsidRDefault="00C17210" w:rsidP="00B361A7">
            <w:pPr>
              <w:spacing w:after="0" w:line="240" w:lineRule="auto"/>
              <w:jc w:val="center"/>
              <w:rPr>
                <w:rFonts w:ascii="Calibri" w:eastAsia="Times New Roman" w:hAnsi="Calibri" w:cs="Times New Roman"/>
                <w:color w:val="000000"/>
              </w:rPr>
            </w:pPr>
          </w:p>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Mt </w:t>
            </w:r>
          </w:p>
        </w:tc>
        <w:tc>
          <w:tcPr>
            <w:tcW w:w="1437" w:type="dxa"/>
            <w:shd w:val="clear" w:color="auto" w:fill="auto"/>
            <w:noWrap/>
            <w:vAlign w:val="bottom"/>
          </w:tcPr>
          <w:p w:rsidR="00C17210" w:rsidRDefault="00C17210" w:rsidP="00B361A7">
            <w:pPr>
              <w:spacing w:after="0" w:line="240" w:lineRule="auto"/>
              <w:jc w:val="center"/>
              <w:rPr>
                <w:rFonts w:ascii="Calibri" w:eastAsia="Times New Roman" w:hAnsi="Calibri" w:cs="Times New Roman"/>
                <w:color w:val="000000"/>
              </w:rPr>
            </w:pPr>
          </w:p>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Description</w:t>
            </w:r>
          </w:p>
        </w:tc>
        <w:tc>
          <w:tcPr>
            <w:tcW w:w="3742" w:type="dxa"/>
            <w:shd w:val="clear" w:color="auto" w:fill="auto"/>
            <w:noWrap/>
            <w:vAlign w:val="bottom"/>
          </w:tcPr>
          <w:p w:rsidR="00C17210" w:rsidRDefault="00C17210" w:rsidP="00B361A7">
            <w:pPr>
              <w:spacing w:after="0" w:line="240" w:lineRule="auto"/>
              <w:jc w:val="center"/>
              <w:rPr>
                <w:rFonts w:ascii="Calibri" w:eastAsia="Times New Roman" w:hAnsi="Calibri" w:cs="Times New Roman"/>
                <w:color w:val="000000"/>
              </w:rPr>
            </w:pPr>
          </w:p>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Calculation</w:t>
            </w:r>
          </w:p>
        </w:tc>
        <w:tc>
          <w:tcPr>
            <w:tcW w:w="7062" w:type="dxa"/>
            <w:shd w:val="clear" w:color="auto" w:fill="auto"/>
            <w:noWrap/>
            <w:vAlign w:val="bottom"/>
          </w:tcPr>
          <w:p w:rsidR="00C17210" w:rsidRDefault="00C17210" w:rsidP="00B361A7">
            <w:pPr>
              <w:spacing w:after="0" w:line="240" w:lineRule="auto"/>
              <w:jc w:val="center"/>
              <w:rPr>
                <w:rFonts w:ascii="Calibri" w:eastAsia="Times New Roman" w:hAnsi="Calibri" w:cs="Times New Roman"/>
                <w:color w:val="000000"/>
              </w:rPr>
            </w:pPr>
          </w:p>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Notes</w:t>
            </w:r>
          </w:p>
        </w:tc>
      </w:tr>
      <w:tr w:rsidR="00B361A7" w:rsidRPr="001C73F1" w:rsidTr="00C17210">
        <w:trPr>
          <w:trHeight w:val="300"/>
        </w:trPr>
        <w:tc>
          <w:tcPr>
            <w:tcW w:w="680"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18</w:t>
            </w:r>
          </w:p>
        </w:tc>
        <w:tc>
          <w:tcPr>
            <w:tcW w:w="763"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898.8</w:t>
            </w:r>
          </w:p>
        </w:tc>
        <w:tc>
          <w:tcPr>
            <w:tcW w:w="1437"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Liquid Steel</w:t>
            </w:r>
          </w:p>
        </w:tc>
        <w:tc>
          <w:tcPr>
            <w:tcW w:w="3742"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24 / 0.992</w:t>
            </w:r>
          </w:p>
        </w:tc>
        <w:tc>
          <w:tcPr>
            <w:tcW w:w="7062" w:type="dxa"/>
            <w:shd w:val="clear" w:color="auto" w:fill="auto"/>
            <w:noWrap/>
            <w:vAlign w:val="bottom"/>
            <w:hideMark/>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SM yield =</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99.2%, see note for flow 14.</w:t>
            </w:r>
          </w:p>
        </w:tc>
      </w:tr>
      <w:tr w:rsidR="00B361A7" w:rsidRPr="001C73F1" w:rsidTr="00C17210">
        <w:trPr>
          <w:trHeight w:val="300"/>
        </w:trPr>
        <w:tc>
          <w:tcPr>
            <w:tcW w:w="680"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19</w:t>
            </w:r>
          </w:p>
        </w:tc>
        <w:tc>
          <w:tcPr>
            <w:tcW w:w="763"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133.1</w:t>
            </w:r>
          </w:p>
        </w:tc>
        <w:tc>
          <w:tcPr>
            <w:tcW w:w="1437"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742"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18*( 1 / 0.871 - 1)</w:t>
            </w:r>
          </w:p>
        </w:tc>
        <w:tc>
          <w:tcPr>
            <w:tcW w:w="7062" w:type="dxa"/>
            <w:shd w:val="clear" w:color="auto" w:fill="auto"/>
            <w:noWrap/>
            <w:vAlign w:val="bottom"/>
            <w:hideMark/>
          </w:tcPr>
          <w:p w:rsidR="00B361A7" w:rsidRPr="001C73F1" w:rsidRDefault="005C5092" w:rsidP="00B361A7">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OBC yield</w:t>
            </w:r>
            <w:r w:rsidR="00B361A7" w:rsidRPr="001C73F1">
              <w:rPr>
                <w:rFonts w:ascii="Calibri" w:eastAsia="Times New Roman" w:hAnsi="Calibri" w:cs="Times New Roman"/>
                <w:color w:val="000000"/>
              </w:rPr>
              <w:t>=87.1%, see note for flow 16.</w:t>
            </w:r>
            <w:r>
              <w:rPr>
                <w:rFonts w:ascii="Calibri" w:eastAsia="Times New Roman" w:hAnsi="Calibri" w:cs="Times New Roman"/>
                <w:color w:val="000000"/>
              </w:rPr>
              <w:t xml:space="preserve"> </w:t>
            </w:r>
            <w:r w:rsidR="00B361A7" w:rsidRPr="001C73F1">
              <w:rPr>
                <w:rFonts w:ascii="Calibri" w:eastAsia="Times New Roman" w:hAnsi="Calibri" w:cs="Times New Roman"/>
                <w:color w:val="000000"/>
              </w:rPr>
              <w:t xml:space="preserve">Slag losses are sent for reprocessing and the resulting </w:t>
            </w:r>
            <w:proofErr w:type="spellStart"/>
            <w:r w:rsidR="00B361A7" w:rsidRPr="001C73F1">
              <w:rPr>
                <w:rFonts w:ascii="Calibri" w:eastAsia="Times New Roman" w:hAnsi="Calibri" w:cs="Times New Roman"/>
                <w:color w:val="000000"/>
              </w:rPr>
              <w:t>FeO</w:t>
            </w:r>
            <w:proofErr w:type="spellEnd"/>
            <w:r w:rsidR="00B361A7" w:rsidRPr="001C73F1">
              <w:rPr>
                <w:rFonts w:ascii="Calibri" w:eastAsia="Times New Roman" w:hAnsi="Calibri" w:cs="Times New Roman"/>
                <w:color w:val="000000"/>
              </w:rPr>
              <w:t xml:space="preserve"> is sintered and fed to the BF.</w:t>
            </w:r>
          </w:p>
        </w:tc>
      </w:tr>
      <w:tr w:rsidR="00B361A7" w:rsidRPr="001C73F1" w:rsidTr="00C17210">
        <w:trPr>
          <w:trHeight w:val="300"/>
        </w:trPr>
        <w:tc>
          <w:tcPr>
            <w:tcW w:w="680"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20</w:t>
            </w:r>
          </w:p>
        </w:tc>
        <w:tc>
          <w:tcPr>
            <w:tcW w:w="763"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33.9</w:t>
            </w:r>
          </w:p>
        </w:tc>
        <w:tc>
          <w:tcPr>
            <w:tcW w:w="1437"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Pig Iron</w:t>
            </w:r>
          </w:p>
        </w:tc>
        <w:tc>
          <w:tcPr>
            <w:tcW w:w="3742"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21 / 0.871</w:t>
            </w:r>
          </w:p>
        </w:tc>
        <w:tc>
          <w:tcPr>
            <w:tcW w:w="7062" w:type="dxa"/>
            <w:shd w:val="clear" w:color="auto" w:fill="auto"/>
            <w:noWrap/>
            <w:vAlign w:val="bottom"/>
            <w:hideMark/>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OHF yield =87.1%, assumed to be equal to the OBC yield.</w:t>
            </w:r>
            <w:r>
              <w:rPr>
                <w:rFonts w:ascii="Calibri" w:eastAsia="Times New Roman" w:hAnsi="Calibri" w:cs="Times New Roman"/>
                <w:color w:val="000000"/>
              </w:rPr>
              <w:t xml:space="preserve"> </w:t>
            </w:r>
            <w:r w:rsidRPr="001C73F1">
              <w:rPr>
                <w:rFonts w:ascii="Calibri" w:eastAsia="Times New Roman" w:hAnsi="Calibri" w:cs="Times New Roman"/>
                <w:color w:val="000000"/>
              </w:rPr>
              <w:t>It is assumed that only pig iron (no scrap) is fed to the OHF.OHF yield =87.1%</w:t>
            </w:r>
          </w:p>
        </w:tc>
      </w:tr>
      <w:tr w:rsidR="00B361A7" w:rsidRPr="001C73F1" w:rsidTr="00C17210">
        <w:trPr>
          <w:trHeight w:val="300"/>
        </w:trPr>
        <w:tc>
          <w:tcPr>
            <w:tcW w:w="680"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21</w:t>
            </w:r>
          </w:p>
        </w:tc>
        <w:tc>
          <w:tcPr>
            <w:tcW w:w="763"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29.6</w:t>
            </w:r>
          </w:p>
        </w:tc>
        <w:tc>
          <w:tcPr>
            <w:tcW w:w="1437"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Liquid Steel</w:t>
            </w:r>
          </w:p>
        </w:tc>
        <w:tc>
          <w:tcPr>
            <w:tcW w:w="3742"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25 / 0.992</w:t>
            </w:r>
          </w:p>
        </w:tc>
        <w:tc>
          <w:tcPr>
            <w:tcW w:w="7062" w:type="dxa"/>
            <w:shd w:val="clear" w:color="auto" w:fill="auto"/>
            <w:noWrap/>
            <w:vAlign w:val="bottom"/>
            <w:hideMark/>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SM yield =</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99.2%, see note for flow 14.</w:t>
            </w:r>
          </w:p>
        </w:tc>
      </w:tr>
      <w:tr w:rsidR="00B361A7" w:rsidRPr="001C73F1" w:rsidTr="00C17210">
        <w:trPr>
          <w:trHeight w:val="300"/>
        </w:trPr>
        <w:tc>
          <w:tcPr>
            <w:tcW w:w="680"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22</w:t>
            </w:r>
          </w:p>
        </w:tc>
        <w:tc>
          <w:tcPr>
            <w:tcW w:w="763"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4.4</w:t>
            </w:r>
          </w:p>
        </w:tc>
        <w:tc>
          <w:tcPr>
            <w:tcW w:w="1437"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742"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21* (1 / 0.871 - 1)</w:t>
            </w:r>
          </w:p>
        </w:tc>
        <w:tc>
          <w:tcPr>
            <w:tcW w:w="7062" w:type="dxa"/>
            <w:shd w:val="clear" w:color="auto" w:fill="auto"/>
            <w:noWrap/>
            <w:vAlign w:val="bottom"/>
            <w:hideMark/>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OHF yield =</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 xml:space="preserve">87.1%, see note for [20].Slag losses are sent for reprocessing and the resulting </w:t>
            </w:r>
            <w:proofErr w:type="spellStart"/>
            <w:r w:rsidRPr="001C73F1">
              <w:rPr>
                <w:rFonts w:ascii="Calibri" w:eastAsia="Times New Roman" w:hAnsi="Calibri" w:cs="Times New Roman"/>
                <w:color w:val="000000"/>
              </w:rPr>
              <w:t>FeO</w:t>
            </w:r>
            <w:proofErr w:type="spellEnd"/>
            <w:r w:rsidRPr="001C73F1">
              <w:rPr>
                <w:rFonts w:ascii="Calibri" w:eastAsia="Times New Roman" w:hAnsi="Calibri" w:cs="Times New Roman"/>
                <w:color w:val="000000"/>
              </w:rPr>
              <w:t xml:space="preserve"> is sintered and fed to the BF.</w:t>
            </w:r>
          </w:p>
        </w:tc>
      </w:tr>
      <w:tr w:rsidR="00B361A7" w:rsidRPr="001C73F1" w:rsidTr="00C17210">
        <w:trPr>
          <w:trHeight w:val="300"/>
        </w:trPr>
        <w:tc>
          <w:tcPr>
            <w:tcW w:w="680"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23</w:t>
            </w:r>
          </w:p>
        </w:tc>
        <w:tc>
          <w:tcPr>
            <w:tcW w:w="763"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407.0</w:t>
            </w:r>
          </w:p>
        </w:tc>
        <w:tc>
          <w:tcPr>
            <w:tcW w:w="1437"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Liquid Steel (EF)</w:t>
            </w:r>
          </w:p>
        </w:tc>
        <w:tc>
          <w:tcPr>
            <w:tcW w:w="3742"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7062" w:type="dxa"/>
            <w:shd w:val="clear" w:color="auto" w:fill="auto"/>
            <w:noWrap/>
            <w:vAlign w:val="bottom"/>
            <w:hideMark/>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Crude steel production from EF. Assumed to be post SM value. Compare with 414.9Mt (2, p.34).</w:t>
            </w:r>
          </w:p>
        </w:tc>
      </w:tr>
      <w:tr w:rsidR="00B361A7" w:rsidRPr="001C73F1" w:rsidTr="00C17210">
        <w:trPr>
          <w:trHeight w:val="300"/>
        </w:trPr>
        <w:tc>
          <w:tcPr>
            <w:tcW w:w="680"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24</w:t>
            </w:r>
          </w:p>
        </w:tc>
        <w:tc>
          <w:tcPr>
            <w:tcW w:w="763"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891.7</w:t>
            </w:r>
          </w:p>
        </w:tc>
        <w:tc>
          <w:tcPr>
            <w:tcW w:w="1437"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Liquid Steel (OBC)</w:t>
            </w:r>
          </w:p>
        </w:tc>
        <w:tc>
          <w:tcPr>
            <w:tcW w:w="3742"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7062" w:type="dxa"/>
            <w:shd w:val="clear" w:color="auto" w:fill="auto"/>
            <w:noWrap/>
            <w:vAlign w:val="center"/>
            <w:hideMark/>
          </w:tcPr>
          <w:p w:rsidR="00B361A7" w:rsidRPr="001C73F1" w:rsidRDefault="00B361A7" w:rsidP="00B361A7">
            <w:pPr>
              <w:spacing w:after="0" w:line="240" w:lineRule="auto"/>
              <w:rPr>
                <w:rFonts w:ascii="Calibri" w:eastAsia="Times New Roman" w:hAnsi="Calibri" w:cs="Times New Roman"/>
                <w:color w:val="000000"/>
              </w:rPr>
            </w:pPr>
            <w:r w:rsidRPr="001C73F1">
              <w:rPr>
                <w:rFonts w:ascii="Calibri" w:eastAsia="Times New Roman" w:hAnsi="Calibri" w:cs="Times New Roman"/>
                <w:color w:val="000000"/>
              </w:rPr>
              <w:t>Crude steel production from OBC. Assumed to be post SM value</w:t>
            </w:r>
          </w:p>
        </w:tc>
      </w:tr>
      <w:tr w:rsidR="00B361A7" w:rsidRPr="001C73F1" w:rsidTr="00C17210">
        <w:trPr>
          <w:trHeight w:val="300"/>
        </w:trPr>
        <w:tc>
          <w:tcPr>
            <w:tcW w:w="680"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25</w:t>
            </w:r>
          </w:p>
        </w:tc>
        <w:tc>
          <w:tcPr>
            <w:tcW w:w="763"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29.3</w:t>
            </w:r>
          </w:p>
        </w:tc>
        <w:tc>
          <w:tcPr>
            <w:tcW w:w="1437"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Liquid Steel (OHF)</w:t>
            </w:r>
          </w:p>
        </w:tc>
        <w:tc>
          <w:tcPr>
            <w:tcW w:w="3742"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Liquid Steel (OHF) + Liquid steel other</w:t>
            </w:r>
          </w:p>
        </w:tc>
        <w:tc>
          <w:tcPr>
            <w:tcW w:w="7062" w:type="dxa"/>
            <w:shd w:val="clear" w:color="auto" w:fill="auto"/>
            <w:noWrap/>
            <w:vAlign w:val="bottom"/>
            <w:hideMark/>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Crude steel production from OHF. Assumed to be post SM value. Assumed to all be cast as ingots.</w:t>
            </w:r>
          </w:p>
        </w:tc>
      </w:tr>
      <w:tr w:rsidR="00B361A7" w:rsidRPr="001C73F1" w:rsidTr="00C17210">
        <w:trPr>
          <w:trHeight w:val="300"/>
        </w:trPr>
        <w:tc>
          <w:tcPr>
            <w:tcW w:w="680"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26</w:t>
            </w:r>
          </w:p>
        </w:tc>
        <w:tc>
          <w:tcPr>
            <w:tcW w:w="763"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10.7</w:t>
            </w:r>
          </w:p>
        </w:tc>
        <w:tc>
          <w:tcPr>
            <w:tcW w:w="1437"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742"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23 + 24 + 25 *(1/(0.992-1))</w:t>
            </w:r>
          </w:p>
        </w:tc>
        <w:tc>
          <w:tcPr>
            <w:tcW w:w="7062" w:type="dxa"/>
            <w:shd w:val="clear" w:color="auto" w:fill="auto"/>
            <w:noWrap/>
            <w:vAlign w:val="bottom"/>
            <w:hideMark/>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SM yield =</w:t>
            </w:r>
            <w:r>
              <w:rPr>
                <w:rFonts w:ascii="Calibri" w:eastAsia="Times New Roman" w:hAnsi="Calibri" w:cs="Times New Roman"/>
                <w:color w:val="000000"/>
              </w:rPr>
              <w:t xml:space="preserve"> </w:t>
            </w:r>
            <w:r w:rsidRPr="001C73F1">
              <w:rPr>
                <w:rFonts w:ascii="Calibri" w:eastAsia="Times New Roman" w:hAnsi="Calibri" w:cs="Times New Roman"/>
                <w:color w:val="000000"/>
              </w:rPr>
              <w:t xml:space="preserve">99.2%, see note for [14].Slag losses are sent for reprocessing and the resulting </w:t>
            </w:r>
            <w:proofErr w:type="spellStart"/>
            <w:r w:rsidRPr="001C73F1">
              <w:rPr>
                <w:rFonts w:ascii="Calibri" w:eastAsia="Times New Roman" w:hAnsi="Calibri" w:cs="Times New Roman"/>
                <w:color w:val="000000"/>
              </w:rPr>
              <w:t>FeO</w:t>
            </w:r>
            <w:proofErr w:type="spellEnd"/>
            <w:r w:rsidRPr="001C73F1">
              <w:rPr>
                <w:rFonts w:ascii="Calibri" w:eastAsia="Times New Roman" w:hAnsi="Calibri" w:cs="Times New Roman"/>
                <w:color w:val="000000"/>
              </w:rPr>
              <w:t xml:space="preserve"> is sintered and fed to the BF. The mass of alloying elements is ignored.</w:t>
            </w:r>
          </w:p>
        </w:tc>
      </w:tr>
      <w:tr w:rsidR="00B361A7" w:rsidRPr="001C73F1" w:rsidTr="00C17210">
        <w:trPr>
          <w:trHeight w:val="300"/>
        </w:trPr>
        <w:tc>
          <w:tcPr>
            <w:tcW w:w="680"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27</w:t>
            </w:r>
          </w:p>
        </w:tc>
        <w:tc>
          <w:tcPr>
            <w:tcW w:w="763"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67.8</w:t>
            </w:r>
          </w:p>
        </w:tc>
        <w:tc>
          <w:tcPr>
            <w:tcW w:w="1437"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Liquid Steel (EF)</w:t>
            </w:r>
          </w:p>
        </w:tc>
        <w:tc>
          <w:tcPr>
            <w:tcW w:w="3742"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(23-45-50)*(29+30+31)/(29+30+31+35+36+37)</w:t>
            </w:r>
          </w:p>
        </w:tc>
        <w:tc>
          <w:tcPr>
            <w:tcW w:w="7062" w:type="dxa"/>
            <w:shd w:val="clear" w:color="auto" w:fill="auto"/>
            <w:noWrap/>
            <w:vAlign w:val="bottom"/>
            <w:hideMark/>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The EF liquid steel (less a small fraction to ingots and products) is assumed to be divided between blooms and billets on a pro‐rata basis, using the throughput of each process (less any internal recycle).</w:t>
            </w:r>
          </w:p>
        </w:tc>
      </w:tr>
      <w:tr w:rsidR="00B361A7" w:rsidRPr="001C73F1" w:rsidTr="00C17210">
        <w:trPr>
          <w:trHeight w:val="300"/>
        </w:trPr>
        <w:tc>
          <w:tcPr>
            <w:tcW w:w="680"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28</w:t>
            </w:r>
          </w:p>
        </w:tc>
        <w:tc>
          <w:tcPr>
            <w:tcW w:w="763"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32.8</w:t>
            </w:r>
          </w:p>
        </w:tc>
        <w:tc>
          <w:tcPr>
            <w:tcW w:w="1437"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Liquid Steel (OBC)</w:t>
            </w:r>
          </w:p>
        </w:tc>
        <w:tc>
          <w:tcPr>
            <w:tcW w:w="3742"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29 / 0.955 - Flow 27 - Flow 32</w:t>
            </w:r>
          </w:p>
        </w:tc>
        <w:tc>
          <w:tcPr>
            <w:tcW w:w="7062" w:type="dxa"/>
            <w:shd w:val="clear" w:color="auto" w:fill="auto"/>
            <w:noWrap/>
            <w:vAlign w:val="bottom"/>
            <w:hideMark/>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CC billet yield =</w:t>
            </w:r>
            <w:r>
              <w:rPr>
                <w:rFonts w:ascii="Calibri" w:eastAsia="Times New Roman" w:hAnsi="Calibri" w:cs="Times New Roman"/>
                <w:color w:val="000000"/>
              </w:rPr>
              <w:t xml:space="preserve"> </w:t>
            </w:r>
            <w:r w:rsidRPr="001C73F1">
              <w:rPr>
                <w:rFonts w:ascii="Calibri" w:eastAsia="Times New Roman" w:hAnsi="Calibri" w:cs="Times New Roman"/>
                <w:color w:val="000000"/>
              </w:rPr>
              <w:t>95.5%, taken as the median prime yield for blooms (conditioned blooms over the liquid steel fed to the caster) (3, p.81, fig. 87).</w:t>
            </w:r>
          </w:p>
        </w:tc>
      </w:tr>
      <w:tr w:rsidR="00B361A7" w:rsidRPr="001C73F1" w:rsidTr="00C17210">
        <w:trPr>
          <w:trHeight w:val="300"/>
        </w:trPr>
        <w:tc>
          <w:tcPr>
            <w:tcW w:w="680"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29</w:t>
            </w:r>
          </w:p>
        </w:tc>
        <w:tc>
          <w:tcPr>
            <w:tcW w:w="763"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99.2</w:t>
            </w:r>
          </w:p>
        </w:tc>
        <w:tc>
          <w:tcPr>
            <w:tcW w:w="1437"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CC Bloom</w:t>
            </w:r>
          </w:p>
        </w:tc>
        <w:tc>
          <w:tcPr>
            <w:tcW w:w="3742" w:type="dxa"/>
            <w:shd w:val="clear" w:color="auto" w:fill="auto"/>
            <w:noWrap/>
            <w:vAlign w:val="center"/>
            <w:hideMark/>
          </w:tcPr>
          <w:p w:rsidR="00B361A7" w:rsidRPr="001C73F1" w:rsidRDefault="00B361A7" w:rsidP="00B361A7">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105 + Flow 106 + Flow 107 / 0.9*0.95</w:t>
            </w:r>
          </w:p>
        </w:tc>
        <w:tc>
          <w:tcPr>
            <w:tcW w:w="7062" w:type="dxa"/>
            <w:shd w:val="clear" w:color="auto" w:fill="auto"/>
            <w:noWrap/>
            <w:vAlign w:val="bottom"/>
            <w:hideMark/>
          </w:tcPr>
          <w:p w:rsidR="00B361A7" w:rsidRPr="001C73F1" w:rsidRDefault="00B361A7" w:rsidP="00B361A7">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SEM yield =</w:t>
            </w:r>
            <w:r>
              <w:rPr>
                <w:rFonts w:ascii="Calibri" w:eastAsia="Times New Roman" w:hAnsi="Calibri" w:cs="Times New Roman"/>
                <w:color w:val="000000"/>
              </w:rPr>
              <w:t xml:space="preserve"> </w:t>
            </w:r>
            <w:r w:rsidRPr="001C73F1">
              <w:rPr>
                <w:rFonts w:ascii="Calibri" w:eastAsia="Times New Roman" w:hAnsi="Calibri" w:cs="Times New Roman"/>
                <w:color w:val="000000"/>
              </w:rPr>
              <w:t>90%, taken as the average prime yield (output of acceptable rolled product over material input) of heavy sections, medium sections, angles and rails (World Steel Yield Improvement, p.170, fig.21).The breakdown of input material to the rolling mills, ingo</w:t>
            </w:r>
            <w:r>
              <w:rPr>
                <w:rFonts w:ascii="Calibri" w:eastAsia="Times New Roman" w:hAnsi="Calibri" w:cs="Times New Roman"/>
                <w:color w:val="000000"/>
              </w:rPr>
              <w:t>t versus CC, is taken from the W</w:t>
            </w:r>
            <w:r w:rsidRPr="001C73F1">
              <w:rPr>
                <w:rFonts w:ascii="Calibri" w:eastAsia="Times New Roman" w:hAnsi="Calibri" w:cs="Times New Roman"/>
                <w:color w:val="000000"/>
              </w:rPr>
              <w:t>orld</w:t>
            </w:r>
            <w:r>
              <w:rPr>
                <w:rFonts w:ascii="Calibri" w:eastAsia="Times New Roman" w:hAnsi="Calibri" w:cs="Times New Roman"/>
                <w:color w:val="000000"/>
              </w:rPr>
              <w:t xml:space="preserve"> </w:t>
            </w:r>
            <w:r w:rsidRPr="001C73F1">
              <w:rPr>
                <w:rFonts w:ascii="Calibri" w:eastAsia="Times New Roman" w:hAnsi="Calibri" w:cs="Times New Roman"/>
                <w:color w:val="000000"/>
              </w:rPr>
              <w:t>steel chart (World Steel Yield Improvement, p.139, fig.172). It shows 95% of the input to SEM is CC bloom, and 5% is ingot rolled to bloom in the PRM.</w:t>
            </w:r>
          </w:p>
        </w:tc>
      </w:tr>
    </w:tbl>
    <w:p w:rsidR="003964FF" w:rsidRDefault="003964FF" w:rsidP="00344D2B">
      <w:pPr>
        <w:rPr>
          <w:rFonts w:ascii="Times New Roman" w:eastAsia="Calibri" w:hAnsi="Times New Roman" w:cs="Times New Roman"/>
        </w:rPr>
        <w:sectPr w:rsidR="003964FF" w:rsidSect="00EF2881">
          <w:pgSz w:w="16838" w:h="11906" w:orient="landscape"/>
          <w:pgMar w:top="1440" w:right="1440" w:bottom="1440" w:left="1440" w:header="708" w:footer="708" w:gutter="0"/>
          <w:cols w:space="708"/>
          <w:titlePg/>
          <w:docGrid w:linePitch="360"/>
        </w:sectPr>
      </w:pPr>
    </w:p>
    <w:tbl>
      <w:tblPr>
        <w:tblW w:w="4827"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763"/>
        <w:gridCol w:w="1437"/>
        <w:gridCol w:w="3974"/>
        <w:gridCol w:w="6611"/>
      </w:tblGrid>
      <w:tr w:rsidR="00A27F35" w:rsidRPr="001C73F1" w:rsidTr="00F5145E">
        <w:trPr>
          <w:trHeight w:val="300"/>
        </w:trPr>
        <w:tc>
          <w:tcPr>
            <w:tcW w:w="680"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lastRenderedPageBreak/>
              <w:t xml:space="preserve">Flow </w:t>
            </w:r>
          </w:p>
        </w:tc>
        <w:tc>
          <w:tcPr>
            <w:tcW w:w="763"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Mt </w:t>
            </w:r>
          </w:p>
        </w:tc>
        <w:tc>
          <w:tcPr>
            <w:tcW w:w="1437"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Description</w:t>
            </w:r>
          </w:p>
        </w:tc>
        <w:tc>
          <w:tcPr>
            <w:tcW w:w="3974"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Calculation</w:t>
            </w:r>
          </w:p>
        </w:tc>
        <w:tc>
          <w:tcPr>
            <w:tcW w:w="6611"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Notes</w:t>
            </w:r>
          </w:p>
        </w:tc>
      </w:tr>
      <w:tr w:rsidR="00A27F35" w:rsidRPr="001C73F1" w:rsidTr="00F5145E">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30</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0.7</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29 * ((1/0.955-1) *0.16))</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CC bloom yield =95.5%, see note for [28]. 16% of the scrap/lost material from CC is scrap that is returned as forming scrap to the EF or OBC for steelmaking (3, p.83, fig.90).</w:t>
            </w:r>
          </w:p>
        </w:tc>
      </w:tr>
      <w:tr w:rsidR="00A27F35" w:rsidRPr="001C73F1" w:rsidTr="00F5145E">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31</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0.6</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29 * ((1/0.955-1) *0.13))</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 xml:space="preserve">CC bloom yield =95.5%, see note for [28].13% of the scrap/lost material from CC is lost as scale (mainly </w:t>
            </w:r>
            <w:proofErr w:type="spellStart"/>
            <w:r w:rsidRPr="001C73F1">
              <w:rPr>
                <w:rFonts w:ascii="Calibri" w:eastAsia="Times New Roman" w:hAnsi="Calibri" w:cs="Times New Roman"/>
                <w:color w:val="000000"/>
              </w:rPr>
              <w:t>FeO</w:t>
            </w:r>
            <w:proofErr w:type="spellEnd"/>
            <w:r w:rsidRPr="001C73F1">
              <w:rPr>
                <w:rFonts w:ascii="Calibri" w:eastAsia="Times New Roman" w:hAnsi="Calibri" w:cs="Times New Roman"/>
                <w:color w:val="000000"/>
              </w:rPr>
              <w:t>) that is reprocessed and sintered before being returned to the BF (World Steel Yield Improvement, p.83, fig.90).</w:t>
            </w:r>
          </w:p>
        </w:tc>
      </w:tr>
      <w:tr w:rsidR="00A27F35" w:rsidRPr="001C73F1" w:rsidTr="00F5145E">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32</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3.3</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 (</w:t>
            </w:r>
            <w:proofErr w:type="spellStart"/>
            <w:r w:rsidRPr="001C73F1">
              <w:rPr>
                <w:rFonts w:ascii="Calibri" w:eastAsia="Times New Roman" w:hAnsi="Calibri" w:cs="Times New Roman"/>
                <w:color w:val="000000"/>
              </w:rPr>
              <w:t>Int</w:t>
            </w:r>
            <w:proofErr w:type="spellEnd"/>
            <w:r w:rsidRPr="001C73F1">
              <w:rPr>
                <w:rFonts w:ascii="Calibri" w:eastAsia="Times New Roman" w:hAnsi="Calibri" w:cs="Times New Roman"/>
                <w:color w:val="000000"/>
              </w:rPr>
              <w:t xml:space="preserve"> Recycle)</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29 * ((1/0.955-1) *0.71))</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CC bloom yield =95.5%, see note for [28]. The remaining 71% of scrap/lost material from CC is recycled internally in the casting facility (3, p.83, fig.90).</w:t>
            </w:r>
          </w:p>
        </w:tc>
      </w:tr>
      <w:tr w:rsidR="00A27F35" w:rsidRPr="001C73F1" w:rsidTr="00F5145E">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33</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328.5</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Liquid Steel (EF)</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(23-45-50)*(35+36+37)/(29+30+31+35+36+37)</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The EF liquid steel (less a small fraction to ingots and products) is assumed to be divided between blooms and billets on a pro‐rata basis, using the throughput of each process (less any internal recycle).</w:t>
            </w:r>
          </w:p>
        </w:tc>
      </w:tr>
      <w:tr w:rsidR="00A27F35" w:rsidRPr="001C73F1" w:rsidTr="00F5145E">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34</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159.1</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Liquid Steel (OBC)</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35/0.975 - Flow 33 - Flow 38</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CC billet yield =97.5%, taken as the median prime yield for billets (conditioned billets over the liquid steel fed to the caster) (3, p.81, fig. 87).</w:t>
            </w:r>
          </w:p>
        </w:tc>
      </w:tr>
      <w:tr w:rsidR="00A27F35" w:rsidRPr="001C73F1" w:rsidTr="00F5145E">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35</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484.0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CC Billet</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68 + Flow 79</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w:t>
            </w:r>
          </w:p>
        </w:tc>
      </w:tr>
      <w:tr w:rsidR="00A27F35" w:rsidRPr="001C73F1" w:rsidTr="00F5145E">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36</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35 * ((1/0.975-1) *0.16))</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CC bloom yield =97.5%, see note for [34]. 16% is forming scrap, see note for [30]</w:t>
            </w:r>
          </w:p>
        </w:tc>
      </w:tr>
      <w:tr w:rsidR="00A27F35" w:rsidRPr="001C73F1" w:rsidTr="00F5145E">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37</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1.6</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35 * ((1/0.975-1) *0.13))</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CC bloom yield =97.5%, see note for [34]. 13% is lost, see note for [31].</w:t>
            </w:r>
          </w:p>
        </w:tc>
      </w:tr>
      <w:tr w:rsidR="00A27F35" w:rsidRPr="001C73F1" w:rsidTr="00F5145E">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38</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8.8</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 (</w:t>
            </w:r>
            <w:proofErr w:type="spellStart"/>
            <w:r w:rsidRPr="001C73F1">
              <w:rPr>
                <w:rFonts w:ascii="Calibri" w:eastAsia="Times New Roman" w:hAnsi="Calibri" w:cs="Times New Roman"/>
                <w:color w:val="000000"/>
              </w:rPr>
              <w:t>Int</w:t>
            </w:r>
            <w:proofErr w:type="spellEnd"/>
            <w:r w:rsidRPr="001C73F1">
              <w:rPr>
                <w:rFonts w:ascii="Calibri" w:eastAsia="Times New Roman" w:hAnsi="Calibri" w:cs="Times New Roman"/>
                <w:color w:val="000000"/>
              </w:rPr>
              <w:t xml:space="preserve"> Recycle)</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35 * ((1/0.975-1) *0.71))</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CC bloom yield =97.5%, see note for [34]. 71% is recycled internally see note for [32]</w:t>
            </w:r>
          </w:p>
        </w:tc>
      </w:tr>
      <w:tr w:rsidR="00A27F35" w:rsidRPr="001C73F1" w:rsidTr="00F5145E">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39</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646.7</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Liquid Steel (OBC)</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40 / 0.965 - Flow 43</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CC slab yield =96.5%, taken as the median prime yield for slab (conditioned slab over the liquid steel fed to the caster) (3, p.81, fig.87).It is assumed that only OBC liquid steel is used for CC for slab, as a higher purity of steel is demanded for slab and the strip mills.</w:t>
            </w:r>
          </w:p>
        </w:tc>
      </w:tr>
      <w:tr w:rsidR="00A27F35" w:rsidRPr="001C73F1" w:rsidTr="00F5145E">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40</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640.0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CC Slab</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Global estimate of 640Mt cast as slab in 2008.</w:t>
            </w:r>
          </w:p>
        </w:tc>
      </w:tr>
      <w:tr w:rsidR="00A27F35" w:rsidRPr="001C73F1" w:rsidTr="00F5145E">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41</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3.7</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40 * ((1/0.965-1) *0.16))</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CC bloom yield =96.5%, see note for [39].16% is forming scrap, see note for [30].</w:t>
            </w:r>
          </w:p>
        </w:tc>
      </w:tr>
      <w:tr w:rsidR="00A27F35" w:rsidRPr="001C73F1" w:rsidTr="00F5145E">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42</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40 * ((1/0.965-1) *0.13))</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CC bloom yield =96.5%, see note for [39]. 13% is lost, see note for [31].</w:t>
            </w:r>
          </w:p>
        </w:tc>
      </w:tr>
    </w:tbl>
    <w:p w:rsidR="003964FF" w:rsidRDefault="003964FF" w:rsidP="00A77027">
      <w:pPr>
        <w:spacing w:line="360" w:lineRule="auto"/>
        <w:rPr>
          <w:rFonts w:ascii="Times New Roman" w:eastAsia="Calibri" w:hAnsi="Times New Roman" w:cs="Times New Roman"/>
        </w:rPr>
        <w:sectPr w:rsidR="003964FF" w:rsidSect="00EF2881">
          <w:pgSz w:w="16838" w:h="11906" w:orient="landscape"/>
          <w:pgMar w:top="1440" w:right="1440" w:bottom="1440" w:left="1440" w:header="708" w:footer="708" w:gutter="0"/>
          <w:cols w:space="708"/>
          <w:titlePg/>
          <w:docGrid w:linePitch="360"/>
        </w:sectPr>
      </w:pPr>
    </w:p>
    <w:tbl>
      <w:tblPr>
        <w:tblW w:w="4827"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763"/>
        <w:gridCol w:w="1437"/>
        <w:gridCol w:w="3974"/>
        <w:gridCol w:w="6611"/>
      </w:tblGrid>
      <w:tr w:rsidR="00A27F35" w:rsidRPr="001C73F1" w:rsidTr="00885D64">
        <w:trPr>
          <w:trHeight w:val="300"/>
        </w:trPr>
        <w:tc>
          <w:tcPr>
            <w:tcW w:w="680"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lastRenderedPageBreak/>
              <w:t xml:space="preserve">Flow </w:t>
            </w:r>
          </w:p>
        </w:tc>
        <w:tc>
          <w:tcPr>
            <w:tcW w:w="763"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Mt </w:t>
            </w:r>
          </w:p>
        </w:tc>
        <w:tc>
          <w:tcPr>
            <w:tcW w:w="1437"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Description</w:t>
            </w:r>
          </w:p>
        </w:tc>
        <w:tc>
          <w:tcPr>
            <w:tcW w:w="3974"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Calculation</w:t>
            </w:r>
          </w:p>
        </w:tc>
        <w:tc>
          <w:tcPr>
            <w:tcW w:w="6611"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Notes</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43</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16.5</w:t>
            </w:r>
          </w:p>
        </w:tc>
        <w:tc>
          <w:tcPr>
            <w:tcW w:w="1437" w:type="dxa"/>
            <w:shd w:val="clear" w:color="auto" w:fill="auto"/>
            <w:noWrap/>
            <w:vAlign w:val="center"/>
            <w:hideMark/>
          </w:tcPr>
          <w:p w:rsidR="005C5092"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 (</w:t>
            </w:r>
            <w:proofErr w:type="spellStart"/>
            <w:r w:rsidRPr="001C73F1">
              <w:rPr>
                <w:rFonts w:ascii="Calibri" w:eastAsia="Times New Roman" w:hAnsi="Calibri" w:cs="Times New Roman"/>
                <w:color w:val="000000"/>
              </w:rPr>
              <w:t>Int</w:t>
            </w:r>
            <w:proofErr w:type="spellEnd"/>
            <w:r w:rsidRPr="001C73F1">
              <w:rPr>
                <w:rFonts w:ascii="Calibri" w:eastAsia="Times New Roman" w:hAnsi="Calibri" w:cs="Times New Roman"/>
                <w:color w:val="000000"/>
              </w:rPr>
              <w:t xml:space="preserve"> Recycle)</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40 * ((1/0.965-1) *0.71))</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CC bloom yield =96.5%, see note for [39].71% is recycled internally, see note for [32]</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44</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53.0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Liquid Steel (OBC)</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46/0.98 - Flow 25 - Flow 45 - Flow 48</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Ingot casting yield =98.0%, taken as the average of 97% and 98.9% for the reference plant yield (12, p.2).In most cases CC has replaced the IC/PM route.</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45</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6.8</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Liquid Steel (EF)</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49 /0.98</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Ingot casting yield =98%, see note for [44]. It is assumed that product casting uses only EF liquid steel and EF ingots, see note for [51].</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46</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88.7</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Ingot</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Crude steel production, cast as ingots.</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47</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0.5</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46 * ((1/0.98-1) *0.25))</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 xml:space="preserve">Ingot casting yield =98%, see note for [44]. 25% of the scrap/lost material is assumed to be lost as scale (mainly </w:t>
            </w:r>
            <w:proofErr w:type="spellStart"/>
            <w:r w:rsidRPr="001C73F1">
              <w:rPr>
                <w:rFonts w:ascii="Calibri" w:eastAsia="Times New Roman" w:hAnsi="Calibri" w:cs="Times New Roman"/>
                <w:color w:val="000000"/>
              </w:rPr>
              <w:t>FeO</w:t>
            </w:r>
            <w:proofErr w:type="spellEnd"/>
            <w:r w:rsidRPr="001C73F1">
              <w:rPr>
                <w:rFonts w:ascii="Calibri" w:eastAsia="Times New Roman" w:hAnsi="Calibri" w:cs="Times New Roman"/>
                <w:color w:val="000000"/>
              </w:rPr>
              <w:t>) that is reprocessed and sintered before being returned to the BF.</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48</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1.4</w:t>
            </w:r>
          </w:p>
        </w:tc>
        <w:tc>
          <w:tcPr>
            <w:tcW w:w="1437" w:type="dxa"/>
            <w:shd w:val="clear" w:color="auto" w:fill="auto"/>
            <w:noWrap/>
            <w:vAlign w:val="center"/>
            <w:hideMark/>
          </w:tcPr>
          <w:p w:rsidR="005C5092"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Scrap </w:t>
            </w:r>
          </w:p>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w:t>
            </w:r>
            <w:proofErr w:type="spellStart"/>
            <w:r w:rsidRPr="001C73F1">
              <w:rPr>
                <w:rFonts w:ascii="Calibri" w:eastAsia="Times New Roman" w:hAnsi="Calibri" w:cs="Times New Roman"/>
                <w:color w:val="000000"/>
              </w:rPr>
              <w:t>Int</w:t>
            </w:r>
            <w:proofErr w:type="spellEnd"/>
            <w:r w:rsidRPr="001C73F1">
              <w:rPr>
                <w:rFonts w:ascii="Calibri" w:eastAsia="Times New Roman" w:hAnsi="Calibri" w:cs="Times New Roman"/>
                <w:color w:val="000000"/>
              </w:rPr>
              <w:t xml:space="preserve"> Recycle)</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46 * ((1/0.98-1) *0.75))</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Ingot casting yield =98%, see note for [44]. 75% of the scrap/lost material is assumed to be recycled internally in the casting facility.</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49</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6.7</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Ingot</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51 / 0.522 - Flow 50 - Flow 53</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Ingots used in product casting must be re</w:t>
            </w:r>
            <w:r w:rsidR="005C5092">
              <w:rPr>
                <w:rFonts w:ascii="Calibri" w:eastAsia="Times New Roman" w:hAnsi="Calibri" w:cs="Times New Roman"/>
                <w:color w:val="000000"/>
              </w:rPr>
              <w:t>-</w:t>
            </w:r>
            <w:r w:rsidRPr="001C73F1">
              <w:rPr>
                <w:rFonts w:ascii="Calibri" w:eastAsia="Times New Roman" w:hAnsi="Calibri" w:cs="Times New Roman"/>
                <w:color w:val="000000"/>
              </w:rPr>
              <w:t>melted (a second time) using additional energy.</w:t>
            </w:r>
            <w:r w:rsidR="00ED31CA">
              <w:rPr>
                <w:rFonts w:ascii="Calibri" w:eastAsia="Times New Roman" w:hAnsi="Calibri" w:cs="Times New Roman"/>
                <w:color w:val="000000"/>
              </w:rPr>
              <w:t xml:space="preserve"> </w:t>
            </w:r>
            <w:r w:rsidRPr="001C73F1">
              <w:rPr>
                <w:rFonts w:ascii="Calibri" w:eastAsia="Times New Roman" w:hAnsi="Calibri" w:cs="Times New Roman"/>
                <w:color w:val="000000"/>
              </w:rPr>
              <w:t>It is assumed that product casting uses only EF liquid steel and EF ingots, see note for [51].</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50</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Liquid Steel (EF)</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Liquid steel for castings is assumed to come from EF liquid steel, see note for (51)</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51</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10.5</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Cast Steel Product</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The value of 10.5Mt is the global 2008 total for steel casting (11, p.19). Itis assumed that only EF based steel and internal recycled scrap is used in</w:t>
            </w:r>
            <w:r w:rsidR="00ED31CA">
              <w:rPr>
                <w:rFonts w:ascii="Calibri" w:eastAsia="Times New Roman" w:hAnsi="Calibri" w:cs="Times New Roman"/>
                <w:color w:val="000000"/>
              </w:rPr>
              <w:t xml:space="preserve"> </w:t>
            </w:r>
            <w:r w:rsidRPr="001C73F1">
              <w:rPr>
                <w:rFonts w:ascii="Calibri" w:eastAsia="Times New Roman" w:hAnsi="Calibri" w:cs="Times New Roman"/>
                <w:color w:val="000000"/>
              </w:rPr>
              <w:t xml:space="preserve">product casting, giving a recycled content of 88%. </w:t>
            </w:r>
            <w:proofErr w:type="spellStart"/>
            <w:r w:rsidRPr="001C73F1">
              <w:rPr>
                <w:rFonts w:ascii="Calibri" w:eastAsia="Times New Roman" w:hAnsi="Calibri" w:cs="Times New Roman"/>
                <w:color w:val="000000"/>
              </w:rPr>
              <w:t>Shifo</w:t>
            </w:r>
            <w:proofErr w:type="spellEnd"/>
            <w:r w:rsidRPr="001C73F1">
              <w:rPr>
                <w:rFonts w:ascii="Calibri" w:eastAsia="Times New Roman" w:hAnsi="Calibri" w:cs="Times New Roman"/>
                <w:color w:val="000000"/>
              </w:rPr>
              <w:t xml:space="preserve"> and </w:t>
            </w:r>
            <w:proofErr w:type="spellStart"/>
            <w:r w:rsidRPr="001C73F1">
              <w:rPr>
                <w:rFonts w:ascii="Calibri" w:eastAsia="Times New Roman" w:hAnsi="Calibri" w:cs="Times New Roman"/>
                <w:color w:val="000000"/>
              </w:rPr>
              <w:t>Radia</w:t>
            </w:r>
            <w:proofErr w:type="spellEnd"/>
            <w:r w:rsidR="00ED31CA">
              <w:rPr>
                <w:rFonts w:ascii="Calibri" w:eastAsia="Times New Roman" w:hAnsi="Calibri" w:cs="Times New Roman"/>
                <w:color w:val="000000"/>
              </w:rPr>
              <w:t xml:space="preserve"> </w:t>
            </w:r>
            <w:r w:rsidRPr="001C73F1">
              <w:rPr>
                <w:rFonts w:ascii="Calibri" w:eastAsia="Times New Roman" w:hAnsi="Calibri" w:cs="Times New Roman"/>
                <w:color w:val="000000"/>
              </w:rPr>
              <w:t>comment that over 90% of raw materials melted for ferrous casting are</w:t>
            </w:r>
            <w:r w:rsidR="00ED31CA">
              <w:rPr>
                <w:rFonts w:ascii="Calibri" w:eastAsia="Times New Roman" w:hAnsi="Calibri" w:cs="Times New Roman"/>
                <w:color w:val="000000"/>
              </w:rPr>
              <w:t xml:space="preserve"> </w:t>
            </w:r>
            <w:r w:rsidRPr="001C73F1">
              <w:rPr>
                <w:rFonts w:ascii="Calibri" w:eastAsia="Times New Roman" w:hAnsi="Calibri" w:cs="Times New Roman"/>
                <w:color w:val="000000"/>
              </w:rPr>
              <w:t>from recycled sources (13, p.9).</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52</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0.1</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51 / 0.522* Flow 47/ (Flow 46 +Flow 47 + Flow 48)</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SPC yield =52.2%, calculated as the weighted average of US 2003 data for steel castings (13, p.52, tab.30). The lost fraction for SPC is assumed to be the same as for ingot casting.</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53</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9.5</w:t>
            </w:r>
          </w:p>
        </w:tc>
        <w:tc>
          <w:tcPr>
            <w:tcW w:w="1437" w:type="dxa"/>
            <w:shd w:val="clear" w:color="auto" w:fill="auto"/>
            <w:noWrap/>
            <w:vAlign w:val="center"/>
            <w:hideMark/>
          </w:tcPr>
          <w:p w:rsidR="005C5092"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Scrap </w:t>
            </w:r>
          </w:p>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w:t>
            </w:r>
            <w:proofErr w:type="spellStart"/>
            <w:r w:rsidRPr="001C73F1">
              <w:rPr>
                <w:rFonts w:ascii="Calibri" w:eastAsia="Times New Roman" w:hAnsi="Calibri" w:cs="Times New Roman"/>
                <w:color w:val="000000"/>
              </w:rPr>
              <w:t>Int</w:t>
            </w:r>
            <w:proofErr w:type="spellEnd"/>
            <w:r w:rsidRPr="001C73F1">
              <w:rPr>
                <w:rFonts w:ascii="Calibri" w:eastAsia="Times New Roman" w:hAnsi="Calibri" w:cs="Times New Roman"/>
                <w:color w:val="000000"/>
              </w:rPr>
              <w:t xml:space="preserve"> Recycle)</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51 * (1/0.522-1) - Flow 52</w:t>
            </w:r>
          </w:p>
        </w:tc>
        <w:tc>
          <w:tcPr>
            <w:tcW w:w="6611" w:type="dxa"/>
            <w:shd w:val="clear" w:color="auto" w:fill="auto"/>
            <w:noWrap/>
            <w:vAlign w:val="center"/>
            <w:hideMark/>
          </w:tcPr>
          <w:p w:rsidR="00A27F35" w:rsidRPr="001C73F1" w:rsidRDefault="00A27F35" w:rsidP="005C5092">
            <w:pPr>
              <w:spacing w:after="0" w:line="240" w:lineRule="auto"/>
              <w:rPr>
                <w:rFonts w:ascii="Calibri" w:eastAsia="Times New Roman" w:hAnsi="Calibri" w:cs="Times New Roman"/>
                <w:color w:val="000000"/>
              </w:rPr>
            </w:pPr>
            <w:r w:rsidRPr="001C73F1">
              <w:rPr>
                <w:rFonts w:ascii="Calibri" w:eastAsia="Times New Roman" w:hAnsi="Calibri" w:cs="Times New Roman"/>
                <w:color w:val="000000"/>
              </w:rPr>
              <w:t>SPC yield =52.2%, see note for [52].</w:t>
            </w:r>
          </w:p>
        </w:tc>
      </w:tr>
    </w:tbl>
    <w:p w:rsidR="003964FF" w:rsidRDefault="003964FF" w:rsidP="00A77027">
      <w:pPr>
        <w:spacing w:line="360" w:lineRule="auto"/>
        <w:rPr>
          <w:rFonts w:ascii="Times New Roman" w:eastAsia="Calibri" w:hAnsi="Times New Roman" w:cs="Times New Roman"/>
        </w:rPr>
        <w:sectPr w:rsidR="003964FF" w:rsidSect="00EF2881">
          <w:pgSz w:w="16838" w:h="11906" w:orient="landscape"/>
          <w:pgMar w:top="1440" w:right="1440" w:bottom="1440" w:left="1440" w:header="708" w:footer="708" w:gutter="0"/>
          <w:cols w:space="708"/>
          <w:titlePg/>
          <w:docGrid w:linePitch="360"/>
        </w:sectPr>
      </w:pPr>
    </w:p>
    <w:tbl>
      <w:tblPr>
        <w:tblW w:w="4827"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763"/>
        <w:gridCol w:w="1437"/>
        <w:gridCol w:w="3974"/>
        <w:gridCol w:w="6611"/>
      </w:tblGrid>
      <w:tr w:rsidR="00A27F35" w:rsidRPr="001C73F1" w:rsidTr="00885D64">
        <w:trPr>
          <w:trHeight w:val="300"/>
        </w:trPr>
        <w:tc>
          <w:tcPr>
            <w:tcW w:w="680"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lastRenderedPageBreak/>
              <w:t xml:space="preserve">Flow </w:t>
            </w:r>
          </w:p>
        </w:tc>
        <w:tc>
          <w:tcPr>
            <w:tcW w:w="763"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Mt </w:t>
            </w:r>
          </w:p>
        </w:tc>
        <w:tc>
          <w:tcPr>
            <w:tcW w:w="1437"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Description</w:t>
            </w:r>
          </w:p>
        </w:tc>
        <w:tc>
          <w:tcPr>
            <w:tcW w:w="3974"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Calculation</w:t>
            </w:r>
          </w:p>
        </w:tc>
        <w:tc>
          <w:tcPr>
            <w:tcW w:w="6611"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Notes</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rPr>
            </w:pPr>
            <w:r w:rsidRPr="001C73F1">
              <w:rPr>
                <w:rFonts w:ascii="Calibri" w:eastAsia="Times New Roman" w:hAnsi="Calibri" w:cs="Times New Roman"/>
              </w:rPr>
              <w:t>54</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11.6</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rPr>
            </w:pPr>
            <w:r w:rsidRPr="001C73F1">
              <w:rPr>
                <w:rFonts w:ascii="Calibri" w:eastAsia="Times New Roman" w:hAnsi="Calibri" w:cs="Times New Roman"/>
              </w:rPr>
              <w:t>Scrap (Steel)</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rPr>
            </w:pPr>
            <w:r w:rsidRPr="001C73F1">
              <w:rPr>
                <w:rFonts w:ascii="Calibri" w:eastAsia="Times New Roman" w:hAnsi="Calibri" w:cs="Times New Roman"/>
              </w:rPr>
              <w:t>Flow 57 * 0.17</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 xml:space="preserve">The fraction of scrap steel include in the cast iron product output can be calculated by considering, the dilution of carbon from pig iron (4%C) to cast iron (3.4% </w:t>
            </w:r>
            <w:proofErr w:type="spellStart"/>
            <w:r w:rsidRPr="001C73F1">
              <w:rPr>
                <w:rFonts w:ascii="Calibri" w:eastAsia="Times New Roman" w:hAnsi="Calibri" w:cs="Times New Roman"/>
                <w:color w:val="000000"/>
              </w:rPr>
              <w:t>gray</w:t>
            </w:r>
            <w:proofErr w:type="spellEnd"/>
            <w:r w:rsidRPr="001C73F1">
              <w:rPr>
                <w:rFonts w:ascii="Calibri" w:eastAsia="Times New Roman" w:hAnsi="Calibri" w:cs="Times New Roman"/>
                <w:color w:val="000000"/>
              </w:rPr>
              <w:t xml:space="preserve"> iron and ductile iron, 2.5% malleable iron), giving approximately 17% of scrap steel.</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55</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25.4</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Foundry Iron</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5 - Flow 12 - Flow 16 - Flow 20</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Calculated as the balance of pig iron not used in steelmaking. Note that the value for foundry iron input to FIC (25.2Mt) is comparatively much smaller than the total for pig iron used in steelmaking (total ~900Mt).Small % fluctuations or errors in steelmaking pig iron will have a large effect on the calculated value for FIC pig iron.</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56</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32.0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 Iron</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57 / 0.66 - Flow 54 - Flow 55 - Flow 59</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FIC yield =66.0%, calculated as the weighted</w:t>
            </w:r>
            <w:r w:rsidR="00ED31CA">
              <w:rPr>
                <w:rFonts w:ascii="Calibri" w:eastAsia="Times New Roman" w:hAnsi="Calibri" w:cs="Times New Roman"/>
                <w:color w:val="000000"/>
              </w:rPr>
              <w:t xml:space="preserve"> average of US 2003 data for gre</w:t>
            </w:r>
            <w:r w:rsidRPr="001C73F1">
              <w:rPr>
                <w:rFonts w:ascii="Calibri" w:eastAsia="Times New Roman" w:hAnsi="Calibri" w:cs="Times New Roman"/>
                <w:color w:val="000000"/>
              </w:rPr>
              <w:t>y and ductile iron castings (13, p.52, tab.30).</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57</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68.3</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Cast Iron Product</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 xml:space="preserve"> The value of 68.3Mt</w:t>
            </w:r>
            <w:r w:rsidR="005C5092">
              <w:rPr>
                <w:rFonts w:ascii="Calibri" w:eastAsia="Times New Roman" w:hAnsi="Calibri" w:cs="Times New Roman"/>
                <w:color w:val="000000"/>
              </w:rPr>
              <w:t xml:space="preserve"> cast iron products 42.9Mt of </w:t>
            </w:r>
            <w:proofErr w:type="spellStart"/>
            <w:r w:rsidR="005C5092">
              <w:rPr>
                <w:rFonts w:ascii="Calibri" w:eastAsia="Times New Roman" w:hAnsi="Calibri" w:cs="Times New Roman"/>
                <w:color w:val="000000"/>
              </w:rPr>
              <w:t>gr</w:t>
            </w:r>
            <w:r w:rsidRPr="001C73F1">
              <w:rPr>
                <w:rFonts w:ascii="Calibri" w:eastAsia="Times New Roman" w:hAnsi="Calibri" w:cs="Times New Roman"/>
                <w:color w:val="000000"/>
              </w:rPr>
              <w:t>ay</w:t>
            </w:r>
            <w:proofErr w:type="spellEnd"/>
            <w:r w:rsidRPr="001C73F1">
              <w:rPr>
                <w:rFonts w:ascii="Calibri" w:eastAsia="Times New Roman" w:hAnsi="Calibri" w:cs="Times New Roman"/>
                <w:color w:val="000000"/>
              </w:rPr>
              <w:t xml:space="preserve"> iron, 23.8Mt of ductile iron and 1.5Mt of malleable iron (Modern Casting, p.19).</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58</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0.7</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57 /0.522 * Flow 47 / (Flow 46 + Flow 47 + Flow 48)</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FIC yield =66.0%, see note for [56]. The lost fraction for SPC is assumed to be the same as for ingot casting.</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59</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34.5</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 (</w:t>
            </w:r>
            <w:proofErr w:type="spellStart"/>
            <w:r w:rsidRPr="001C73F1">
              <w:rPr>
                <w:rFonts w:ascii="Calibri" w:eastAsia="Times New Roman" w:hAnsi="Calibri" w:cs="Times New Roman"/>
                <w:color w:val="000000"/>
              </w:rPr>
              <w:t>Int</w:t>
            </w:r>
            <w:proofErr w:type="spellEnd"/>
            <w:r w:rsidRPr="001C73F1">
              <w:rPr>
                <w:rFonts w:ascii="Calibri" w:eastAsia="Times New Roman" w:hAnsi="Calibri" w:cs="Times New Roman"/>
                <w:color w:val="000000"/>
              </w:rPr>
              <w:t xml:space="preserve"> Recycle)</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57 *(1/ 0.66-1) - Flow 58</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FIC yield =66.0%, see note for [56]. No yield value is given for the lost metal in the casting process, so all scrap is assumed to be recycled.</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60</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82.0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Ingot</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46 - Flow 49</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The remaining ingots (less SPC) are assumed to be made from OBC liquid steel, in older integrated plants (pre‐CC) with PRM for processing ingots into blooms, billets and slab.</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61</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75.9</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Bloom / Billet / Slab</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60 *0.925</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PRM yield =92.5%, calculated as the average from the range 91.5% and 93.5% (3, p.142).</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62</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5.3</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61 * (1/0.925-1) - Flow 63</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Scrap steel is returned as forming scrap to the EF or OBC for steelmaking</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63</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0.8</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61  / 0.925*0.01</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 xml:space="preserve">PRM yield =92.5%, see note for [61]. Scale loss (mainly </w:t>
            </w:r>
            <w:proofErr w:type="spellStart"/>
            <w:r w:rsidRPr="001C73F1">
              <w:rPr>
                <w:rFonts w:ascii="Calibri" w:eastAsia="Times New Roman" w:hAnsi="Calibri" w:cs="Times New Roman"/>
                <w:color w:val="000000"/>
              </w:rPr>
              <w:t>FeO</w:t>
            </w:r>
            <w:proofErr w:type="spellEnd"/>
            <w:r w:rsidRPr="001C73F1">
              <w:rPr>
                <w:rFonts w:ascii="Calibri" w:eastAsia="Times New Roman" w:hAnsi="Calibri" w:cs="Times New Roman"/>
                <w:color w:val="000000"/>
              </w:rPr>
              <w:t>) equals 1% of PRM throughput (3, p.143, tab.27)</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64</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5.2</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Bloom (Ingot)</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65 / 0.900* 0.05</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SEM yield =90%, is calculated as the weighted average of heavy sections, medium sections (assumed to be same as light sections) and rail. Median values for each are estimated from the graph (3, p.170, fig.201). 5% of the input to SEM is ingot rolled to bloom in the PRM, see note for [29].</w:t>
            </w:r>
          </w:p>
        </w:tc>
      </w:tr>
    </w:tbl>
    <w:p w:rsidR="003964FF" w:rsidRDefault="003964FF" w:rsidP="00A77027">
      <w:pPr>
        <w:spacing w:line="360" w:lineRule="auto"/>
        <w:rPr>
          <w:rFonts w:ascii="Times New Roman" w:eastAsia="Calibri" w:hAnsi="Times New Roman" w:cs="Times New Roman"/>
        </w:rPr>
        <w:sectPr w:rsidR="003964FF" w:rsidSect="00EF2881">
          <w:pgSz w:w="16838" w:h="11906" w:orient="landscape"/>
          <w:pgMar w:top="1440" w:right="1440" w:bottom="1440" w:left="1440" w:header="708" w:footer="708" w:gutter="0"/>
          <w:cols w:space="708"/>
          <w:titlePg/>
          <w:docGrid w:linePitch="360"/>
        </w:sectPr>
      </w:pPr>
    </w:p>
    <w:tbl>
      <w:tblPr>
        <w:tblW w:w="4827"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763"/>
        <w:gridCol w:w="1437"/>
        <w:gridCol w:w="3974"/>
        <w:gridCol w:w="6611"/>
      </w:tblGrid>
      <w:tr w:rsidR="00A27F35" w:rsidRPr="001C73F1" w:rsidTr="00885D64">
        <w:trPr>
          <w:trHeight w:val="300"/>
        </w:trPr>
        <w:tc>
          <w:tcPr>
            <w:tcW w:w="680"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lastRenderedPageBreak/>
              <w:t xml:space="preserve">Flow </w:t>
            </w:r>
          </w:p>
        </w:tc>
        <w:tc>
          <w:tcPr>
            <w:tcW w:w="763"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Mt </w:t>
            </w:r>
          </w:p>
        </w:tc>
        <w:tc>
          <w:tcPr>
            <w:tcW w:w="1437"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Description</w:t>
            </w:r>
          </w:p>
        </w:tc>
        <w:tc>
          <w:tcPr>
            <w:tcW w:w="3974"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Calculation</w:t>
            </w:r>
          </w:p>
        </w:tc>
        <w:tc>
          <w:tcPr>
            <w:tcW w:w="6611"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Notes</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65</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94.0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Section</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105 + Flow 106 + Flow 107</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Equals the sum of heavy sections, light sections and rail.</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66</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8.9</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64 * (1/0.9-1) - Flow 67</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SEM yield =90%, see note for [64].</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67</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1.6</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65 / 0.900* 0.015</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 xml:space="preserve">SEM yield =90%, see note for [64]. Scale loss (mainly </w:t>
            </w:r>
            <w:proofErr w:type="spellStart"/>
            <w:r w:rsidRPr="001C73F1">
              <w:rPr>
                <w:rFonts w:ascii="Calibri" w:eastAsia="Times New Roman" w:hAnsi="Calibri" w:cs="Times New Roman"/>
                <w:color w:val="000000"/>
              </w:rPr>
              <w:t>FeO</w:t>
            </w:r>
            <w:proofErr w:type="spellEnd"/>
            <w:r w:rsidRPr="001C73F1">
              <w:rPr>
                <w:rFonts w:ascii="Calibri" w:eastAsia="Times New Roman" w:hAnsi="Calibri" w:cs="Times New Roman"/>
                <w:color w:val="000000"/>
              </w:rPr>
              <w:t>) equals approximately 1.5% of SEM throughput (3, p.165, fig.197) and is reprocessed and sintered before being returned to the BF.</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68</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442.2</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CC Billet</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70 / 0.940*0.90</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RBM yield =94.0%, which is solved so that the sum of the liquid steel (OBC) to casting (</w:t>
            </w:r>
            <w:proofErr w:type="gramStart"/>
            <w:r w:rsidRPr="001C73F1">
              <w:rPr>
                <w:rFonts w:ascii="Calibri" w:eastAsia="Times New Roman" w:hAnsi="Calibri" w:cs="Times New Roman"/>
                <w:color w:val="000000"/>
              </w:rPr>
              <w:t>=[</w:t>
            </w:r>
            <w:proofErr w:type="gramEnd"/>
            <w:r w:rsidRPr="001C73F1">
              <w:rPr>
                <w:rFonts w:ascii="Calibri" w:eastAsia="Times New Roman" w:hAnsi="Calibri" w:cs="Times New Roman"/>
                <w:color w:val="000000"/>
              </w:rPr>
              <w:t>28]+[</w:t>
            </w:r>
            <w:r w:rsidR="005C5092">
              <w:rPr>
                <w:rFonts w:ascii="Calibri" w:eastAsia="Times New Roman" w:hAnsi="Calibri" w:cs="Times New Roman"/>
                <w:color w:val="000000"/>
              </w:rPr>
              <w:t>34]+[39]+[44]) is equal to the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steel value of 892Mt [24].</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69</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49.1</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proofErr w:type="spellStart"/>
            <w:r w:rsidRPr="001C73F1">
              <w:rPr>
                <w:rFonts w:ascii="Calibri" w:eastAsia="Times New Roman" w:hAnsi="Calibri" w:cs="Times New Roman"/>
                <w:color w:val="000000"/>
              </w:rPr>
              <w:t>Billot</w:t>
            </w:r>
            <w:proofErr w:type="spellEnd"/>
            <w:r w:rsidRPr="001C73F1">
              <w:rPr>
                <w:rFonts w:ascii="Calibri" w:eastAsia="Times New Roman" w:hAnsi="Calibri" w:cs="Times New Roman"/>
                <w:color w:val="000000"/>
              </w:rPr>
              <w:t xml:space="preserve"> (Ingot)</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70 / 0.940*0.10</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RBM yield =94.0%, and 10% of the input to RBM is ingot rolled to billet in the PRM, see note for [68].</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70</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461.9</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Rod/Bar</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84 + Flow 108 + Flow 109 + Flow 110</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Equals the sum of reinforcing bar, wire rod, hot rolled bar, and seamless tube (extruded from rod and bar).Note, the general term ‘rod and bar’ is assumed to include all types of wire, rod and bar (3, p.172, tab.43).</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71</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22.1</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70 * (1/0.94-1) - Flow 72</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RBM yield =94%, see note for [68].</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72</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7.4</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70 / 0.940 *0.015</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 xml:space="preserve">RBM yield =94%, see note for [68]. Scale loss (mainly </w:t>
            </w:r>
            <w:proofErr w:type="spellStart"/>
            <w:r w:rsidRPr="001C73F1">
              <w:rPr>
                <w:rFonts w:ascii="Calibri" w:eastAsia="Times New Roman" w:hAnsi="Calibri" w:cs="Times New Roman"/>
                <w:color w:val="000000"/>
              </w:rPr>
              <w:t>FeO</w:t>
            </w:r>
            <w:proofErr w:type="spellEnd"/>
            <w:r w:rsidRPr="001C73F1">
              <w:rPr>
                <w:rFonts w:ascii="Calibri" w:eastAsia="Times New Roman" w:hAnsi="Calibri" w:cs="Times New Roman"/>
                <w:color w:val="000000"/>
              </w:rPr>
              <w:t>) is assumed to equal the SEM value of 1.5% of throughput</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73</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132.3</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CC Slab</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75 / 0.9*0.95</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PLM yield =90%, is the final prime yield for plate (3, p.159, tab.37). The breakdown of input material to the rolling mills, ingo</w:t>
            </w:r>
            <w:r w:rsidR="005C5092">
              <w:rPr>
                <w:rFonts w:ascii="Calibri" w:eastAsia="Times New Roman" w:hAnsi="Calibri" w:cs="Times New Roman"/>
                <w:color w:val="000000"/>
              </w:rPr>
              <w:t>t versus CC, is taken from the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steel chart (3, p.139, fig.172). It shows 95% of the input to PLM is CC bloom, and 5% is ingot rolled to slab in the PRM.</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74</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7.0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Slab (Ingot)</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75 / 0.9*0.05</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PLM yield =90%, and 5% of the input to PLM is ingot rolled to slab in the PRM, see note for [73].</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75</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125.3</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Plate</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87 + Flow 111</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Equals the sum of plate (sold as intermediate product) and plate rolled into welded tubes. Compare with 120Mt (14, p.3).</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76</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12.3</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75 * (1/0.9-1) - Flow 77</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PLM yield =90%, see note for [73].</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77</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1.6</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70 / 0.900*0.0115</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 xml:space="preserve">PLM yield =90%, see note for [73]. Scale loss (mainly </w:t>
            </w:r>
            <w:proofErr w:type="spellStart"/>
            <w:r w:rsidRPr="001C73F1">
              <w:rPr>
                <w:rFonts w:ascii="Calibri" w:eastAsia="Times New Roman" w:hAnsi="Calibri" w:cs="Times New Roman"/>
                <w:color w:val="000000"/>
              </w:rPr>
              <w:t>FeO</w:t>
            </w:r>
            <w:proofErr w:type="spellEnd"/>
            <w:r w:rsidRPr="001C73F1">
              <w:rPr>
                <w:rFonts w:ascii="Calibri" w:eastAsia="Times New Roman" w:hAnsi="Calibri" w:cs="Times New Roman"/>
                <w:color w:val="000000"/>
              </w:rPr>
              <w:t>) equals approximately 1.15% of PLM throughput (3, p.159, tab.37) and is reprocessed and sintered before being returned to the BF.</w:t>
            </w:r>
          </w:p>
        </w:tc>
      </w:tr>
    </w:tbl>
    <w:p w:rsidR="003964FF" w:rsidRDefault="003964FF" w:rsidP="00A77027">
      <w:pPr>
        <w:spacing w:line="360" w:lineRule="auto"/>
        <w:rPr>
          <w:rFonts w:ascii="Times New Roman" w:eastAsia="Calibri" w:hAnsi="Times New Roman" w:cs="Times New Roman"/>
        </w:rPr>
        <w:sectPr w:rsidR="003964FF" w:rsidSect="00EF2881">
          <w:pgSz w:w="16838" w:h="11906" w:orient="landscape"/>
          <w:pgMar w:top="1440" w:right="1440" w:bottom="1440" w:left="1440" w:header="708" w:footer="708" w:gutter="0"/>
          <w:cols w:space="708"/>
          <w:titlePg/>
          <w:docGrid w:linePitch="360"/>
        </w:sectPr>
      </w:pPr>
    </w:p>
    <w:tbl>
      <w:tblPr>
        <w:tblW w:w="4827"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763"/>
        <w:gridCol w:w="1437"/>
        <w:gridCol w:w="3974"/>
        <w:gridCol w:w="6611"/>
      </w:tblGrid>
      <w:tr w:rsidR="00A27F35" w:rsidRPr="001C73F1" w:rsidTr="00885D64">
        <w:trPr>
          <w:trHeight w:val="300"/>
        </w:trPr>
        <w:tc>
          <w:tcPr>
            <w:tcW w:w="680"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lastRenderedPageBreak/>
              <w:t xml:space="preserve">Flow </w:t>
            </w:r>
          </w:p>
        </w:tc>
        <w:tc>
          <w:tcPr>
            <w:tcW w:w="763"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Mt </w:t>
            </w:r>
          </w:p>
        </w:tc>
        <w:tc>
          <w:tcPr>
            <w:tcW w:w="1437"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Description</w:t>
            </w:r>
          </w:p>
        </w:tc>
        <w:tc>
          <w:tcPr>
            <w:tcW w:w="3974"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Calculation</w:t>
            </w:r>
          </w:p>
        </w:tc>
        <w:tc>
          <w:tcPr>
            <w:tcW w:w="6611"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Notes</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78</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507.9</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CC Slab</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81 / 0.957 - Flow 79 - Flow 80</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HSM yield =95.7%, which is solved so that the sum of CC slab to the PLM and HSM (=73</w:t>
            </w:r>
            <w:proofErr w:type="gramStart"/>
            <w:r w:rsidRPr="001C73F1">
              <w:rPr>
                <w:rFonts w:ascii="Calibri" w:eastAsia="Times New Roman" w:hAnsi="Calibri" w:cs="Times New Roman"/>
                <w:color w:val="000000"/>
              </w:rPr>
              <w:t>]+</w:t>
            </w:r>
            <w:proofErr w:type="gramEnd"/>
            <w:r w:rsidRPr="001C73F1">
              <w:rPr>
                <w:rFonts w:ascii="Calibri" w:eastAsia="Times New Roman" w:hAnsi="Calibri" w:cs="Times New Roman"/>
                <w:color w:val="000000"/>
              </w:rPr>
              <w:t>[78]) is equal to the Steel Business Briefing value o</w:t>
            </w:r>
            <w:r w:rsidR="005C5092">
              <w:rPr>
                <w:rFonts w:ascii="Calibri" w:eastAsia="Times New Roman" w:hAnsi="Calibri" w:cs="Times New Roman"/>
                <w:color w:val="000000"/>
              </w:rPr>
              <w:t>f 640Mt [40]. Compare with the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steel yield report which gives a prime yield for HSM of approximately 96% (3, p.126, fig.159).</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79</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41.8</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CC Billet</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116 / 0.957</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HSM yield =95.7%, see note for [78]. It is assumed that HR narrow strip is all made from CC billet (rather than CC slab which is used for other HSM products).</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80</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14.6</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Slab (Ingot)</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61 - Flow 64 - Flow 69 - Flow 74</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Calculated as the balance of ingot rolled in the PRM. The affects the breakdown of ingot versus CC slab for the HSM, with 2.5% of the input to HSM being ingot rolled to slab in the PRM.</w:t>
            </w:r>
            <w:r w:rsidR="00ED31CA">
              <w:rPr>
                <w:rFonts w:ascii="Calibri" w:eastAsia="Times New Roman" w:hAnsi="Calibri" w:cs="Times New Roman"/>
                <w:color w:val="000000"/>
              </w:rPr>
              <w:t xml:space="preserve"> </w:t>
            </w:r>
            <w:r w:rsidRPr="001C73F1">
              <w:rPr>
                <w:rFonts w:ascii="Calibri" w:eastAsia="Times New Roman" w:hAnsi="Calibri" w:cs="Times New Roman"/>
                <w:color w:val="000000"/>
              </w:rPr>
              <w:t>This is half</w:t>
            </w:r>
            <w:r w:rsidR="005C5092">
              <w:rPr>
                <w:rFonts w:ascii="Calibri" w:eastAsia="Times New Roman" w:hAnsi="Calibri" w:cs="Times New Roman"/>
                <w:color w:val="000000"/>
              </w:rPr>
              <w:t xml:space="preserve"> of the approximate value from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steel of 5% (3, p.139, fig.172), which would give a higher value of 29Mt for the slab (ingot) input to HSM.</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81</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540.0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HRC</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Steel Business Briefing estimate the total HRC as 500Mt in 2008 with an addition 40Mt of HR narrow strip.</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82</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18.6</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81 * (1/0.957-1) - Flow 83</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HSM yield =95.7%, see note for [78].</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83</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5.6</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Loss</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81 /0.957*0.01</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 xml:space="preserve">HSM yield =95.7%, see note for [78]. Scale loss (mainly </w:t>
            </w:r>
            <w:proofErr w:type="spellStart"/>
            <w:r w:rsidRPr="001C73F1">
              <w:rPr>
                <w:rFonts w:ascii="Calibri" w:eastAsia="Times New Roman" w:hAnsi="Calibri" w:cs="Times New Roman"/>
                <w:color w:val="000000"/>
              </w:rPr>
              <w:t>FeO</w:t>
            </w:r>
            <w:proofErr w:type="spellEnd"/>
            <w:r w:rsidRPr="001C73F1">
              <w:rPr>
                <w:rFonts w:ascii="Calibri" w:eastAsia="Times New Roman" w:hAnsi="Calibri" w:cs="Times New Roman"/>
                <w:color w:val="000000"/>
              </w:rPr>
              <w:t>) equals approximately 1% of HSM throughput (3, p.97, fig.105)</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84</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30.0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Rod/Bar</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Based on the estimated value from Steel Business Briefing for intermediate products. Gives a STP yield =92.2%, which seems reasonable.</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85</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27.7</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Seamless Tube</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center"/>
            <w:hideMark/>
          </w:tcPr>
          <w:p w:rsidR="00A27F35" w:rsidRPr="001C73F1" w:rsidRDefault="00A27F35" w:rsidP="005C5092">
            <w:pPr>
              <w:spacing w:after="0" w:line="240" w:lineRule="auto"/>
              <w:rPr>
                <w:rFonts w:ascii="Calibri" w:eastAsia="Times New Roman" w:hAnsi="Calibri" w:cs="Times New Roman"/>
                <w:color w:val="000000"/>
              </w:rPr>
            </w:pPr>
            <w:r w:rsidRPr="001C73F1">
              <w:rPr>
                <w:rFonts w:ascii="Calibri" w:eastAsia="Times New Roman" w:hAnsi="Calibri" w:cs="Times New Roman"/>
                <w:color w:val="000000"/>
              </w:rPr>
              <w:t>Global total for seamless tube in 2008.</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86</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2.3</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84 - Flow 85</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87</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15.3</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Plate</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89 / 0.935 - Flow 88</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TWP yield =93.5%, which is solved so that the sum of all HR flat produ</w:t>
            </w:r>
            <w:r w:rsidR="005C5092">
              <w:rPr>
                <w:rFonts w:ascii="Calibri" w:eastAsia="Times New Roman" w:hAnsi="Calibri" w:cs="Times New Roman"/>
                <w:color w:val="000000"/>
              </w:rPr>
              <w:t xml:space="preserve">ct </w:t>
            </w:r>
            <w:proofErr w:type="gramStart"/>
            <w:r w:rsidR="005C5092">
              <w:rPr>
                <w:rFonts w:ascii="Calibri" w:eastAsia="Times New Roman" w:hAnsi="Calibri" w:cs="Times New Roman"/>
                <w:color w:val="000000"/>
              </w:rPr>
              <w:t>=[</w:t>
            </w:r>
            <w:proofErr w:type="gramEnd"/>
            <w:r w:rsidR="005C5092">
              <w:rPr>
                <w:rFonts w:ascii="Calibri" w:eastAsia="Times New Roman" w:hAnsi="Calibri" w:cs="Times New Roman"/>
                <w:color w:val="000000"/>
              </w:rPr>
              <w:t>75]+[81], is equal to the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steel value of 665Mt (1, p.43, tab.13), which seems a reasonable yield for the welded tube process. The extra 15Mt o</w:t>
            </w:r>
            <w:r w:rsidR="005C5092">
              <w:rPr>
                <w:rFonts w:ascii="Calibri" w:eastAsia="Times New Roman" w:hAnsi="Calibri" w:cs="Times New Roman"/>
                <w:color w:val="000000"/>
              </w:rPr>
              <w:t>f HR plate, over and above the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steel value of 110Mt [111], is assumed to be hidden in the statistics for welded tube. This equates to 12% of all plate being diverted to welded tube fabrication.</w:t>
            </w:r>
          </w:p>
        </w:tc>
      </w:tr>
    </w:tbl>
    <w:p w:rsidR="003964FF" w:rsidRDefault="003964FF" w:rsidP="00A77027">
      <w:pPr>
        <w:spacing w:line="360" w:lineRule="auto"/>
        <w:rPr>
          <w:rFonts w:ascii="Times New Roman" w:eastAsia="Calibri" w:hAnsi="Times New Roman" w:cs="Times New Roman"/>
        </w:rPr>
        <w:sectPr w:rsidR="003964FF" w:rsidSect="00EF2881">
          <w:pgSz w:w="16838" w:h="11906" w:orient="landscape"/>
          <w:pgMar w:top="1440" w:right="1440" w:bottom="1440" w:left="1440" w:header="708" w:footer="708" w:gutter="0"/>
          <w:cols w:space="708"/>
          <w:titlePg/>
          <w:docGrid w:linePitch="360"/>
        </w:sectPr>
      </w:pPr>
    </w:p>
    <w:tbl>
      <w:tblPr>
        <w:tblW w:w="4827"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763"/>
        <w:gridCol w:w="1437"/>
        <w:gridCol w:w="3974"/>
        <w:gridCol w:w="6611"/>
      </w:tblGrid>
      <w:tr w:rsidR="00A27F35" w:rsidRPr="001C73F1" w:rsidTr="00885D64">
        <w:trPr>
          <w:trHeight w:val="300"/>
        </w:trPr>
        <w:tc>
          <w:tcPr>
            <w:tcW w:w="680"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lastRenderedPageBreak/>
              <w:t xml:space="preserve">Flow </w:t>
            </w:r>
          </w:p>
        </w:tc>
        <w:tc>
          <w:tcPr>
            <w:tcW w:w="763"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Mt </w:t>
            </w:r>
          </w:p>
        </w:tc>
        <w:tc>
          <w:tcPr>
            <w:tcW w:w="1437"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Description</w:t>
            </w:r>
          </w:p>
        </w:tc>
        <w:tc>
          <w:tcPr>
            <w:tcW w:w="3974"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Calculation</w:t>
            </w:r>
          </w:p>
        </w:tc>
        <w:tc>
          <w:tcPr>
            <w:tcW w:w="6611"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Notes</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88</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51.8</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HRC</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81 - 91 - 95 - 115 - 116</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Calculated as the balance of hot rolled coil from the HSM, less: HRC and HR narrow strip (sold as products) and HRC diverted to the CRM and GP.</w:t>
            </w:r>
            <w:r>
              <w:rPr>
                <w:rFonts w:ascii="Calibri" w:eastAsia="Times New Roman" w:hAnsi="Calibri" w:cs="Times New Roman"/>
                <w:color w:val="000000"/>
              </w:rPr>
              <w:t xml:space="preserve"> </w:t>
            </w:r>
            <w:r w:rsidRPr="001C73F1">
              <w:rPr>
                <w:rFonts w:ascii="Calibri" w:eastAsia="Times New Roman" w:hAnsi="Calibri" w:cs="Times New Roman"/>
                <w:color w:val="000000"/>
              </w:rPr>
              <w:t>This equates to 10% of all HRC being diverted to welded tube fabrication.</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89</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62.7</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Welded Tube</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Apparent Steel - Flow 51-Flow 85-Flow 97-Flow100 -Flow 103 - Flows 105-116</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 xml:space="preserve">Solved so that the total of all intermediate products (excluding </w:t>
            </w:r>
            <w:r w:rsidR="005C5092">
              <w:rPr>
                <w:rFonts w:ascii="Calibri" w:eastAsia="Times New Roman" w:hAnsi="Calibri" w:cs="Times New Roman"/>
                <w:color w:val="000000"/>
              </w:rPr>
              <w:t>cast iron product) matches the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steel apparent consumption fi</w:t>
            </w:r>
            <w:r w:rsidR="005C5092">
              <w:rPr>
                <w:rFonts w:ascii="Calibri" w:eastAsia="Times New Roman" w:hAnsi="Calibri" w:cs="Times New Roman"/>
                <w:color w:val="000000"/>
              </w:rPr>
              <w:t>gure of 1207Mt. The comparable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steel value for welded tube is 44.5Mt (1, p.62, tab.26). The difference cannot be accounted for.</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90</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4.4</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89 * (1/0.935-1)</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TWP yield =93.5%, see note for [87].</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91</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288.0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HRC</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92 / 0.951</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CRM yield =95.1%, calculated as the product of the average throughput yield for pickling =97%, cold rolling =99% and batch annealing =99% (3</w:t>
            </w:r>
            <w:r w:rsidR="005C5092" w:rsidRPr="001C73F1">
              <w:rPr>
                <w:rFonts w:ascii="Calibri" w:eastAsia="Times New Roman" w:hAnsi="Calibri" w:cs="Times New Roman"/>
                <w:color w:val="000000"/>
              </w:rPr>
              <w:t>, p.126</w:t>
            </w:r>
            <w:r w:rsidRPr="001C73F1">
              <w:rPr>
                <w:rFonts w:ascii="Calibri" w:eastAsia="Times New Roman" w:hAnsi="Calibri" w:cs="Times New Roman"/>
                <w:color w:val="000000"/>
              </w:rPr>
              <w:t>, fig.159).</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92</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273.9</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CRC</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94 + Flow 99 + Flow 112 + Flow 113</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Sum of the cold rolled coil products.</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93</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14.1</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92 * (1/0.951 - 1)</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CRM yield =</w:t>
            </w:r>
            <w:r w:rsidR="00AE69DF">
              <w:rPr>
                <w:rFonts w:ascii="Calibri" w:eastAsia="Times New Roman" w:hAnsi="Calibri" w:cs="Times New Roman"/>
                <w:color w:val="000000"/>
              </w:rPr>
              <w:t xml:space="preserve"> </w:t>
            </w:r>
            <w:r w:rsidRPr="001C73F1">
              <w:rPr>
                <w:rFonts w:ascii="Calibri" w:eastAsia="Times New Roman" w:hAnsi="Calibri" w:cs="Times New Roman"/>
                <w:color w:val="000000"/>
              </w:rPr>
              <w:t>95.1%, see note for [91].</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94</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116.1</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CRC</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96 / 0.975</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GP yield =</w:t>
            </w:r>
            <w:r w:rsidR="00AE69DF">
              <w:rPr>
                <w:rFonts w:ascii="Calibri" w:eastAsia="Times New Roman" w:hAnsi="Calibri" w:cs="Times New Roman"/>
                <w:color w:val="000000"/>
              </w:rPr>
              <w:t xml:space="preserve"> </w:t>
            </w:r>
            <w:r w:rsidRPr="001C73F1">
              <w:rPr>
                <w:rFonts w:ascii="Calibri" w:eastAsia="Times New Roman" w:hAnsi="Calibri" w:cs="Times New Roman"/>
                <w:color w:val="000000"/>
              </w:rPr>
              <w:t>97.5%, equal to the average throughput yield for both hot dip</w:t>
            </w:r>
            <w:r>
              <w:rPr>
                <w:rFonts w:ascii="Calibri" w:eastAsia="Times New Roman" w:hAnsi="Calibri" w:cs="Times New Roman"/>
                <w:color w:val="000000"/>
              </w:rPr>
              <w:t xml:space="preserve"> </w:t>
            </w:r>
            <w:r w:rsidRPr="001C73F1">
              <w:rPr>
                <w:rFonts w:ascii="Calibri" w:eastAsia="Times New Roman" w:hAnsi="Calibri" w:cs="Times New Roman"/>
                <w:color w:val="000000"/>
              </w:rPr>
              <w:t>galvanising and electrolytic galvanising (3, p.126, fig.159). Note the weight of zinc is ignored.</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95</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10.3</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HRC</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97 / 0.975</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GP yield =</w:t>
            </w:r>
            <w:r w:rsidR="00AE69DF">
              <w:rPr>
                <w:rFonts w:ascii="Calibri" w:eastAsia="Times New Roman" w:hAnsi="Calibri" w:cs="Times New Roman"/>
                <w:color w:val="000000"/>
              </w:rPr>
              <w:t xml:space="preserve"> </w:t>
            </w:r>
            <w:r w:rsidRPr="001C73F1">
              <w:rPr>
                <w:rFonts w:ascii="Calibri" w:eastAsia="Times New Roman" w:hAnsi="Calibri" w:cs="Times New Roman"/>
                <w:color w:val="000000"/>
              </w:rPr>
              <w:t>97.5%, see note for [94].</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96</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113.2</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CRC </w:t>
            </w:r>
            <w:proofErr w:type="spellStart"/>
            <w:r w:rsidRPr="001C73F1">
              <w:rPr>
                <w:rFonts w:ascii="Calibri" w:eastAsia="Times New Roman" w:hAnsi="Calibri" w:cs="Times New Roman"/>
                <w:color w:val="000000"/>
              </w:rPr>
              <w:t>Galv</w:t>
            </w:r>
            <w:proofErr w:type="spellEnd"/>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102 + Flow 114</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Sum of the galvanised CRC products.</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97</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HRC </w:t>
            </w:r>
            <w:proofErr w:type="spellStart"/>
            <w:r w:rsidRPr="001C73F1">
              <w:rPr>
                <w:rFonts w:ascii="Calibri" w:eastAsia="Times New Roman" w:hAnsi="Calibri" w:cs="Times New Roman"/>
                <w:color w:val="000000"/>
              </w:rPr>
              <w:t>Galv</w:t>
            </w:r>
            <w:proofErr w:type="spellEnd"/>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Global total for galvanised hot rolled coil in 2008, from SBB.</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98</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3.2</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96 + Flow 97 * (1/0.975-1)</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GP yield =</w:t>
            </w:r>
            <w:r w:rsidR="00AE69DF">
              <w:rPr>
                <w:rFonts w:ascii="Calibri" w:eastAsia="Times New Roman" w:hAnsi="Calibri" w:cs="Times New Roman"/>
                <w:color w:val="000000"/>
              </w:rPr>
              <w:t xml:space="preserve"> </w:t>
            </w:r>
            <w:r w:rsidRPr="001C73F1">
              <w:rPr>
                <w:rFonts w:ascii="Calibri" w:eastAsia="Times New Roman" w:hAnsi="Calibri" w:cs="Times New Roman"/>
                <w:color w:val="000000"/>
              </w:rPr>
              <w:t>97.5%, see note for [94].</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99</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12.4</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CRC</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100/ 0.935</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TM yield =93.5%, equal to the average throughput yield for tinning lines (3, p.126, fig.159).Note the weight of tin is ignored.</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100</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11.6</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CRC Tinned</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Global total for tin</w:t>
            </w:r>
            <w:r>
              <w:rPr>
                <w:rFonts w:ascii="Calibri" w:eastAsia="Times New Roman" w:hAnsi="Calibri" w:cs="Times New Roman"/>
                <w:color w:val="000000"/>
              </w:rPr>
              <w:t xml:space="preserve"> </w:t>
            </w:r>
            <w:r w:rsidRPr="001C73F1">
              <w:rPr>
                <w:rFonts w:ascii="Calibri" w:eastAsia="Times New Roman" w:hAnsi="Calibri" w:cs="Times New Roman"/>
                <w:color w:val="000000"/>
              </w:rPr>
              <w:t>mill products in 2008. Compare with the SBB value of 15Mt for tinplate products (14,p.4)</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101</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0.8</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100 * (1 / 0.935-1)</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TM yield =</w:t>
            </w:r>
            <w:r w:rsidR="00AE69DF">
              <w:rPr>
                <w:rFonts w:ascii="Calibri" w:eastAsia="Times New Roman" w:hAnsi="Calibri" w:cs="Times New Roman"/>
                <w:color w:val="000000"/>
              </w:rPr>
              <w:t xml:space="preserve"> </w:t>
            </w:r>
            <w:r w:rsidRPr="001C73F1">
              <w:rPr>
                <w:rFonts w:ascii="Calibri" w:eastAsia="Times New Roman" w:hAnsi="Calibri" w:cs="Times New Roman"/>
                <w:color w:val="000000"/>
              </w:rPr>
              <w:t>93.5%, see note for [99].</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102</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16.8</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CRC </w:t>
            </w:r>
            <w:proofErr w:type="spellStart"/>
            <w:r w:rsidRPr="001C73F1">
              <w:rPr>
                <w:rFonts w:ascii="Calibri" w:eastAsia="Times New Roman" w:hAnsi="Calibri" w:cs="Times New Roman"/>
                <w:color w:val="000000"/>
              </w:rPr>
              <w:t>Galv</w:t>
            </w:r>
            <w:proofErr w:type="spellEnd"/>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103 / 0.98</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OCP yield =</w:t>
            </w:r>
            <w:r w:rsidR="00AE69DF">
              <w:rPr>
                <w:rFonts w:ascii="Calibri" w:eastAsia="Times New Roman" w:hAnsi="Calibri" w:cs="Times New Roman"/>
                <w:color w:val="000000"/>
              </w:rPr>
              <w:t xml:space="preserve"> </w:t>
            </w:r>
            <w:r w:rsidRPr="001C73F1">
              <w:rPr>
                <w:rFonts w:ascii="Calibri" w:eastAsia="Times New Roman" w:hAnsi="Calibri" w:cs="Times New Roman"/>
                <w:color w:val="000000"/>
              </w:rPr>
              <w:t>98%, equal to the average throughput yield for organic coating lines (3, p.126, fig.159). Note the weight of the organic coating is ignored.</w:t>
            </w:r>
          </w:p>
        </w:tc>
      </w:tr>
    </w:tbl>
    <w:p w:rsidR="003964FF" w:rsidRDefault="003964FF" w:rsidP="00A77027">
      <w:pPr>
        <w:spacing w:line="360" w:lineRule="auto"/>
        <w:rPr>
          <w:rFonts w:ascii="Times New Roman" w:eastAsia="Calibri" w:hAnsi="Times New Roman" w:cs="Times New Roman"/>
        </w:rPr>
        <w:sectPr w:rsidR="003964FF" w:rsidSect="00EF2881">
          <w:pgSz w:w="16838" w:h="11906" w:orient="landscape"/>
          <w:pgMar w:top="1440" w:right="1440" w:bottom="1440" w:left="1440" w:header="708" w:footer="708" w:gutter="0"/>
          <w:cols w:space="708"/>
          <w:titlePg/>
          <w:docGrid w:linePitch="360"/>
        </w:sectPr>
      </w:pPr>
    </w:p>
    <w:tbl>
      <w:tblPr>
        <w:tblW w:w="4827"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763"/>
        <w:gridCol w:w="1437"/>
        <w:gridCol w:w="3974"/>
        <w:gridCol w:w="6611"/>
      </w:tblGrid>
      <w:tr w:rsidR="00A27F35" w:rsidRPr="001C73F1" w:rsidTr="00885D64">
        <w:trPr>
          <w:trHeight w:val="300"/>
        </w:trPr>
        <w:tc>
          <w:tcPr>
            <w:tcW w:w="680"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lastRenderedPageBreak/>
              <w:t xml:space="preserve">Flow </w:t>
            </w:r>
          </w:p>
        </w:tc>
        <w:tc>
          <w:tcPr>
            <w:tcW w:w="763"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Mt </w:t>
            </w:r>
          </w:p>
        </w:tc>
        <w:tc>
          <w:tcPr>
            <w:tcW w:w="1437"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Description</w:t>
            </w:r>
          </w:p>
        </w:tc>
        <w:tc>
          <w:tcPr>
            <w:tcW w:w="3974"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Calculation</w:t>
            </w:r>
          </w:p>
        </w:tc>
        <w:tc>
          <w:tcPr>
            <w:tcW w:w="6611" w:type="dxa"/>
            <w:shd w:val="clear" w:color="auto" w:fill="auto"/>
            <w:noWrap/>
            <w:vAlign w:val="bottom"/>
          </w:tcPr>
          <w:p w:rsidR="00A27F35" w:rsidRPr="001C73F1" w:rsidRDefault="00A27F35" w:rsidP="00A27F35">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Notes</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103</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16.5</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CRC Org</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Global total for non‐metallic coated</w:t>
            </w:r>
            <w:r w:rsidR="005C5092">
              <w:rPr>
                <w:rFonts w:ascii="Calibri" w:eastAsia="Times New Roman" w:hAnsi="Calibri" w:cs="Times New Roman"/>
                <w:color w:val="000000"/>
              </w:rPr>
              <w:t xml:space="preserve"> sheet and strip in 2008, from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steel, assumed to be the same as organic based coatings (i.e. paint).Organic coating is assumed to be applied only to galvanised CRC.</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104</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0.3</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Scrap</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Flow 103 * (1 / 0.98-1)</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OCP yield =</w:t>
            </w:r>
            <w:r w:rsidR="00E852BA">
              <w:rPr>
                <w:rFonts w:ascii="Calibri" w:eastAsia="Times New Roman" w:hAnsi="Calibri" w:cs="Times New Roman"/>
                <w:color w:val="000000"/>
              </w:rPr>
              <w:t xml:space="preserve"> </w:t>
            </w:r>
            <w:r w:rsidRPr="001C73F1">
              <w:rPr>
                <w:rFonts w:ascii="Calibri" w:eastAsia="Times New Roman" w:hAnsi="Calibri" w:cs="Times New Roman"/>
                <w:color w:val="000000"/>
              </w:rPr>
              <w:t>98%, see note for [102].</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105</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44.4</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Light Sections</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center"/>
            <w:hideMark/>
          </w:tcPr>
          <w:p w:rsidR="00A27F35" w:rsidRPr="001C73F1" w:rsidRDefault="00A27F35" w:rsidP="005C5092">
            <w:pPr>
              <w:spacing w:after="0" w:line="240" w:lineRule="auto"/>
              <w:rPr>
                <w:rFonts w:ascii="Calibri" w:eastAsia="Times New Roman" w:hAnsi="Calibri" w:cs="Times New Roman"/>
                <w:color w:val="000000"/>
              </w:rPr>
            </w:pPr>
            <w:r w:rsidRPr="001C73F1">
              <w:rPr>
                <w:rFonts w:ascii="Calibri" w:eastAsia="Times New Roman" w:hAnsi="Calibri" w:cs="Times New Roman"/>
                <w:color w:val="000000"/>
              </w:rPr>
              <w:t xml:space="preserve">Global total for light </w:t>
            </w:r>
            <w:r w:rsidR="005C5092">
              <w:rPr>
                <w:rFonts w:ascii="Calibri" w:eastAsia="Times New Roman" w:hAnsi="Calibri" w:cs="Times New Roman"/>
                <w:color w:val="000000"/>
              </w:rPr>
              <w:t>sections (&lt;80mm) in 2008, from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steel</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106</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39.6</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Heavy Sections</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center"/>
            <w:hideMark/>
          </w:tcPr>
          <w:p w:rsidR="00A27F35" w:rsidRPr="001C73F1" w:rsidRDefault="00A27F35" w:rsidP="005C5092">
            <w:pPr>
              <w:spacing w:after="0" w:line="240" w:lineRule="auto"/>
              <w:rPr>
                <w:rFonts w:ascii="Calibri" w:eastAsia="Times New Roman" w:hAnsi="Calibri" w:cs="Times New Roman"/>
                <w:color w:val="000000"/>
              </w:rPr>
            </w:pPr>
            <w:r w:rsidRPr="001C73F1">
              <w:rPr>
                <w:rFonts w:ascii="Calibri" w:eastAsia="Times New Roman" w:hAnsi="Calibri" w:cs="Times New Roman"/>
                <w:color w:val="000000"/>
              </w:rPr>
              <w:t xml:space="preserve">Global total for heavy </w:t>
            </w:r>
            <w:r w:rsidR="005C5092">
              <w:rPr>
                <w:rFonts w:ascii="Calibri" w:eastAsia="Times New Roman" w:hAnsi="Calibri" w:cs="Times New Roman"/>
                <w:color w:val="000000"/>
              </w:rPr>
              <w:t>sections (≥80mm) in 2008, from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w:t>
            </w:r>
            <w:r w:rsidR="005C5092">
              <w:rPr>
                <w:rFonts w:ascii="Calibri" w:eastAsia="Times New Roman" w:hAnsi="Calibri" w:cs="Times New Roman"/>
                <w:color w:val="000000"/>
              </w:rPr>
              <w:t>l</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107</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Rail</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center"/>
            <w:hideMark/>
          </w:tcPr>
          <w:p w:rsidR="00A27F35" w:rsidRPr="001C73F1" w:rsidRDefault="00A27F35" w:rsidP="005C5092">
            <w:pPr>
              <w:spacing w:after="0" w:line="240" w:lineRule="auto"/>
              <w:rPr>
                <w:rFonts w:ascii="Calibri" w:eastAsia="Times New Roman" w:hAnsi="Calibri" w:cs="Times New Roman"/>
                <w:color w:val="000000"/>
              </w:rPr>
            </w:pPr>
            <w:r w:rsidRPr="001C73F1">
              <w:rPr>
                <w:rFonts w:ascii="Calibri" w:eastAsia="Times New Roman" w:hAnsi="Calibri" w:cs="Times New Roman"/>
                <w:color w:val="000000"/>
              </w:rPr>
              <w:t>Global total for railwa</w:t>
            </w:r>
            <w:r w:rsidR="005C5092">
              <w:rPr>
                <w:rFonts w:ascii="Calibri" w:eastAsia="Times New Roman" w:hAnsi="Calibri" w:cs="Times New Roman"/>
                <w:color w:val="000000"/>
              </w:rPr>
              <w:t>y track material in 2008, from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steel</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108</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173.6</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Re-</w:t>
            </w:r>
            <w:proofErr w:type="spellStart"/>
            <w:r w:rsidRPr="001C73F1">
              <w:rPr>
                <w:rFonts w:ascii="Calibri" w:eastAsia="Times New Roman" w:hAnsi="Calibri" w:cs="Times New Roman"/>
                <w:color w:val="000000"/>
              </w:rPr>
              <w:t>inforcing</w:t>
            </w:r>
            <w:proofErr w:type="spellEnd"/>
            <w:r w:rsidRPr="001C73F1">
              <w:rPr>
                <w:rFonts w:ascii="Calibri" w:eastAsia="Times New Roman" w:hAnsi="Calibri" w:cs="Times New Roman"/>
                <w:color w:val="000000"/>
              </w:rPr>
              <w:t xml:space="preserve"> Bar</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147 + 26.6</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Global total for concrete reinforcing bar in 2008=1</w:t>
            </w:r>
            <w:r w:rsidR="005C5092">
              <w:rPr>
                <w:rFonts w:ascii="Calibri" w:eastAsia="Times New Roman" w:hAnsi="Calibri" w:cs="Times New Roman"/>
                <w:color w:val="000000"/>
              </w:rPr>
              <w:t>47Mt (1, p.48, tab.17), from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steel.</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An additional 26.6Mt is added to the reinforcing bar total, so that the sum of all HR long products [65]+[70],  equals the sum of</w:t>
            </w:r>
            <w:r w:rsidR="005C5092">
              <w:rPr>
                <w:rFonts w:ascii="Calibri" w:eastAsia="Times New Roman" w:hAnsi="Calibri" w:cs="Times New Roman"/>
                <w:color w:val="000000"/>
              </w:rPr>
              <w:t xml:space="preserve"> the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 xml:space="preserve">steel values for: HR long products 525Mt (1, p.41, tab.12),seamless tubes 28Mt (1, p.60, tab.25) and the yield loss from STP 2.3Mt [86]. </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109</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148.5</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Wire Rod</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Global to</w:t>
            </w:r>
            <w:r w:rsidR="005C5092">
              <w:rPr>
                <w:rFonts w:ascii="Calibri" w:eastAsia="Times New Roman" w:hAnsi="Calibri" w:cs="Times New Roman"/>
                <w:color w:val="000000"/>
              </w:rPr>
              <w:t>tal for wire rod in 2008, from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steel.</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110</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109.7</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HR Bar</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Global total for hot rolled bars (other than concrete reinforc</w:t>
            </w:r>
            <w:r w:rsidR="005C5092">
              <w:rPr>
                <w:rFonts w:ascii="Calibri" w:eastAsia="Times New Roman" w:hAnsi="Calibri" w:cs="Times New Roman"/>
                <w:color w:val="000000"/>
              </w:rPr>
              <w:t>ing bars) in 2008, from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steel.</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111</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110.0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Plate</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center"/>
            <w:hideMark/>
          </w:tcPr>
          <w:p w:rsidR="00A27F35" w:rsidRPr="001C73F1" w:rsidRDefault="00A27F35" w:rsidP="005C5092">
            <w:pPr>
              <w:spacing w:after="0" w:line="240" w:lineRule="auto"/>
              <w:rPr>
                <w:rFonts w:ascii="Calibri" w:eastAsia="Times New Roman" w:hAnsi="Calibri" w:cs="Times New Roman"/>
                <w:color w:val="000000"/>
              </w:rPr>
            </w:pPr>
            <w:r w:rsidRPr="001C73F1">
              <w:rPr>
                <w:rFonts w:ascii="Calibri" w:eastAsia="Times New Roman" w:hAnsi="Calibri" w:cs="Times New Roman"/>
                <w:color w:val="000000"/>
              </w:rPr>
              <w:t>Global total for plate in 2008, from SBB.</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112</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10.3</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Electrical Sheet</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center"/>
            <w:hideMark/>
          </w:tcPr>
          <w:p w:rsidR="00A27F35" w:rsidRPr="001C73F1" w:rsidRDefault="00A27F35" w:rsidP="005C5092">
            <w:pPr>
              <w:spacing w:after="0" w:line="240" w:lineRule="auto"/>
              <w:rPr>
                <w:rFonts w:ascii="Calibri" w:eastAsia="Times New Roman" w:hAnsi="Calibri" w:cs="Times New Roman"/>
                <w:color w:val="000000"/>
              </w:rPr>
            </w:pPr>
            <w:r w:rsidRPr="001C73F1">
              <w:rPr>
                <w:rFonts w:ascii="Calibri" w:eastAsia="Times New Roman" w:hAnsi="Calibri" w:cs="Times New Roman"/>
                <w:color w:val="000000"/>
              </w:rPr>
              <w:t>Global total for electrical</w:t>
            </w:r>
            <w:r w:rsidR="005C5092">
              <w:rPr>
                <w:rFonts w:ascii="Calibri" w:eastAsia="Times New Roman" w:hAnsi="Calibri" w:cs="Times New Roman"/>
                <w:color w:val="000000"/>
              </w:rPr>
              <w:t xml:space="preserve"> sheet and strip in 2008, from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steel</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113</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135.0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CRC</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Global total for cold rolled coil (sold as a</w:t>
            </w:r>
            <w:r w:rsidR="005C5092">
              <w:rPr>
                <w:rFonts w:ascii="Calibri" w:eastAsia="Times New Roman" w:hAnsi="Calibri" w:cs="Times New Roman"/>
                <w:color w:val="000000"/>
              </w:rPr>
              <w:t>n</w:t>
            </w:r>
            <w:r w:rsidRPr="001C73F1">
              <w:rPr>
                <w:rFonts w:ascii="Calibri" w:eastAsia="Times New Roman" w:hAnsi="Calibri" w:cs="Times New Roman"/>
                <w:color w:val="000000"/>
              </w:rPr>
              <w:t xml:space="preserve"> intermediate product) in 2008</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114</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96.4</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 xml:space="preserve">CRC </w:t>
            </w:r>
            <w:proofErr w:type="spellStart"/>
            <w:r w:rsidRPr="001C73F1">
              <w:rPr>
                <w:rFonts w:ascii="Calibri" w:eastAsia="Times New Roman" w:hAnsi="Calibri" w:cs="Times New Roman"/>
                <w:color w:val="000000"/>
              </w:rPr>
              <w:t>Galv</w:t>
            </w:r>
            <w:proofErr w:type="spellEnd"/>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Global total for other metalli</w:t>
            </w:r>
            <w:r w:rsidR="005C5092">
              <w:rPr>
                <w:rFonts w:ascii="Calibri" w:eastAsia="Times New Roman" w:hAnsi="Calibri" w:cs="Times New Roman"/>
                <w:color w:val="000000"/>
              </w:rPr>
              <w:t>c coated sheet and strip, from W</w:t>
            </w:r>
            <w:r w:rsidRPr="001C73F1">
              <w:rPr>
                <w:rFonts w:ascii="Calibri" w:eastAsia="Times New Roman" w:hAnsi="Calibri" w:cs="Times New Roman"/>
                <w:color w:val="000000"/>
              </w:rPr>
              <w:t>orld</w:t>
            </w:r>
            <w:r w:rsidR="005C5092">
              <w:rPr>
                <w:rFonts w:ascii="Calibri" w:eastAsia="Times New Roman" w:hAnsi="Calibri" w:cs="Times New Roman"/>
                <w:color w:val="000000"/>
              </w:rPr>
              <w:t xml:space="preserve"> </w:t>
            </w:r>
            <w:r w:rsidRPr="001C73F1">
              <w:rPr>
                <w:rFonts w:ascii="Calibri" w:eastAsia="Times New Roman" w:hAnsi="Calibri" w:cs="Times New Roman"/>
                <w:color w:val="000000"/>
              </w:rPr>
              <w:t>steel assumed to be primarily galvanised cold rolled coil</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115</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150.0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HRC</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bottom"/>
            <w:hideMark/>
          </w:tcPr>
          <w:p w:rsidR="00A27F35" w:rsidRPr="001C73F1" w:rsidRDefault="00A27F35" w:rsidP="005C5092">
            <w:pPr>
              <w:spacing w:after="0" w:line="240" w:lineRule="auto"/>
              <w:jc w:val="both"/>
              <w:rPr>
                <w:rFonts w:ascii="Calibri" w:eastAsia="Times New Roman" w:hAnsi="Calibri" w:cs="Times New Roman"/>
                <w:color w:val="000000"/>
              </w:rPr>
            </w:pPr>
            <w:r w:rsidRPr="001C73F1">
              <w:rPr>
                <w:rFonts w:ascii="Calibri" w:eastAsia="Times New Roman" w:hAnsi="Calibri" w:cs="Times New Roman"/>
                <w:color w:val="000000"/>
              </w:rPr>
              <w:t>Global total for hot rolled coil (sold as a</w:t>
            </w:r>
            <w:r w:rsidR="005C5092">
              <w:rPr>
                <w:rFonts w:ascii="Calibri" w:eastAsia="Times New Roman" w:hAnsi="Calibri" w:cs="Times New Roman"/>
                <w:color w:val="000000"/>
              </w:rPr>
              <w:t>n</w:t>
            </w:r>
            <w:r w:rsidRPr="001C73F1">
              <w:rPr>
                <w:rFonts w:ascii="Calibri" w:eastAsia="Times New Roman" w:hAnsi="Calibri" w:cs="Times New Roman"/>
                <w:color w:val="000000"/>
              </w:rPr>
              <w:t xml:space="preserve"> intermediate product) in 2008,</w:t>
            </w:r>
          </w:p>
        </w:tc>
      </w:tr>
      <w:tr w:rsidR="00A27F35" w:rsidRPr="001C73F1" w:rsidTr="00885D64">
        <w:trPr>
          <w:trHeight w:val="300"/>
        </w:trPr>
        <w:tc>
          <w:tcPr>
            <w:tcW w:w="680"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116</w:t>
            </w:r>
          </w:p>
        </w:tc>
        <w:tc>
          <w:tcPr>
            <w:tcW w:w="763"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40.0</w:t>
            </w:r>
          </w:p>
        </w:tc>
        <w:tc>
          <w:tcPr>
            <w:tcW w:w="1437"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HR Narrow Strip</w:t>
            </w:r>
          </w:p>
        </w:tc>
        <w:tc>
          <w:tcPr>
            <w:tcW w:w="3974" w:type="dxa"/>
            <w:shd w:val="clear" w:color="auto" w:fill="auto"/>
            <w:noWrap/>
            <w:vAlign w:val="center"/>
            <w:hideMark/>
          </w:tcPr>
          <w:p w:rsidR="00A27F35" w:rsidRPr="001C73F1" w:rsidRDefault="00A27F35" w:rsidP="005C5092">
            <w:pPr>
              <w:spacing w:after="0" w:line="240" w:lineRule="auto"/>
              <w:jc w:val="center"/>
              <w:rPr>
                <w:rFonts w:ascii="Calibri" w:eastAsia="Times New Roman" w:hAnsi="Calibri" w:cs="Times New Roman"/>
                <w:color w:val="000000"/>
              </w:rPr>
            </w:pPr>
            <w:r w:rsidRPr="001C73F1">
              <w:rPr>
                <w:rFonts w:ascii="Calibri" w:eastAsia="Times New Roman" w:hAnsi="Calibri" w:cs="Times New Roman"/>
                <w:color w:val="000000"/>
              </w:rPr>
              <w:t>Direct from Reference</w:t>
            </w:r>
          </w:p>
        </w:tc>
        <w:tc>
          <w:tcPr>
            <w:tcW w:w="6611" w:type="dxa"/>
            <w:shd w:val="clear" w:color="auto" w:fill="auto"/>
            <w:noWrap/>
            <w:vAlign w:val="center"/>
            <w:hideMark/>
          </w:tcPr>
          <w:p w:rsidR="00A27F35" w:rsidRPr="001C73F1" w:rsidRDefault="00A27F35" w:rsidP="005C5092">
            <w:pPr>
              <w:spacing w:after="0" w:line="240" w:lineRule="auto"/>
              <w:rPr>
                <w:rFonts w:ascii="Calibri" w:eastAsia="Times New Roman" w:hAnsi="Calibri" w:cs="Times New Roman"/>
                <w:color w:val="000000"/>
              </w:rPr>
            </w:pPr>
            <w:r w:rsidRPr="001C73F1">
              <w:rPr>
                <w:rFonts w:ascii="Calibri" w:eastAsia="Times New Roman" w:hAnsi="Calibri" w:cs="Times New Roman"/>
                <w:color w:val="000000"/>
              </w:rPr>
              <w:t>Global total for hot rolled narrow strip in 2008, from SBB.</w:t>
            </w:r>
          </w:p>
        </w:tc>
      </w:tr>
    </w:tbl>
    <w:p w:rsidR="00A77027" w:rsidRPr="005B3139" w:rsidRDefault="00A77027" w:rsidP="00A77027">
      <w:pPr>
        <w:spacing w:line="360" w:lineRule="auto"/>
        <w:rPr>
          <w:rFonts w:ascii="Times New Roman" w:eastAsia="Calibri" w:hAnsi="Times New Roman" w:cs="Times New Roman"/>
        </w:rPr>
      </w:pPr>
    </w:p>
    <w:p w:rsidR="00344D2B" w:rsidRDefault="00344D2B" w:rsidP="00A77027">
      <w:pPr>
        <w:spacing w:line="360" w:lineRule="auto"/>
        <w:rPr>
          <w:rFonts w:ascii="Times New Roman" w:eastAsia="Calibri" w:hAnsi="Times New Roman" w:cs="Times New Roman"/>
        </w:rPr>
        <w:sectPr w:rsidR="00344D2B" w:rsidSect="00EF2881">
          <w:pgSz w:w="16838" w:h="11906" w:orient="landscape"/>
          <w:pgMar w:top="1440" w:right="1440" w:bottom="1440" w:left="1440" w:header="708" w:footer="708" w:gutter="0"/>
          <w:cols w:space="708"/>
          <w:titlePg/>
          <w:docGrid w:linePitch="360"/>
        </w:sectPr>
      </w:pPr>
    </w:p>
    <w:p w:rsidR="00A77027" w:rsidRPr="0054285D" w:rsidRDefault="00A27F35" w:rsidP="00A27F35">
      <w:pPr>
        <w:tabs>
          <w:tab w:val="left" w:pos="2977"/>
        </w:tabs>
        <w:spacing w:line="360" w:lineRule="auto"/>
        <w:rPr>
          <w:rFonts w:ascii="Times New Roman" w:eastAsia="Calibri" w:hAnsi="Times New Roman" w:cs="Times New Roman"/>
          <w:b/>
        </w:rPr>
      </w:pPr>
      <w:r w:rsidRPr="0054285D">
        <w:rPr>
          <w:rFonts w:ascii="Times New Roman" w:eastAsia="Calibri" w:hAnsi="Times New Roman" w:cs="Times New Roman"/>
          <w:b/>
        </w:rPr>
        <w:lastRenderedPageBreak/>
        <w:t xml:space="preserve">References for </w:t>
      </w:r>
      <w:r w:rsidR="00A6415F" w:rsidRPr="0054285D">
        <w:rPr>
          <w:rFonts w:ascii="Times New Roman" w:hAnsi="Times New Roman" w:cs="Times New Roman"/>
        </w:rPr>
        <w:fldChar w:fldCharType="begin"/>
      </w:r>
      <w:r w:rsidR="00A6415F" w:rsidRPr="0054285D">
        <w:rPr>
          <w:rFonts w:ascii="Times New Roman" w:hAnsi="Times New Roman" w:cs="Times New Roman"/>
        </w:rPr>
        <w:instrText xml:space="preserve"> REF _Ref468430221 \h  \* MERGEFORMAT </w:instrText>
      </w:r>
      <w:r w:rsidR="00A6415F" w:rsidRPr="0054285D">
        <w:rPr>
          <w:rFonts w:ascii="Times New Roman" w:hAnsi="Times New Roman" w:cs="Times New Roman"/>
        </w:rPr>
      </w:r>
      <w:r w:rsidR="00A6415F" w:rsidRPr="0054285D">
        <w:rPr>
          <w:rFonts w:ascii="Times New Roman" w:hAnsi="Times New Roman" w:cs="Times New Roman"/>
        </w:rPr>
        <w:fldChar w:fldCharType="separate"/>
      </w:r>
      <w:r w:rsidR="009F5483" w:rsidRPr="009F5483">
        <w:rPr>
          <w:rFonts w:ascii="Times New Roman" w:hAnsi="Times New Roman" w:cs="Times New Roman"/>
          <w:b/>
        </w:rPr>
        <w:t xml:space="preserve">Table </w:t>
      </w:r>
      <w:r w:rsidR="009F5483" w:rsidRPr="009F5483">
        <w:rPr>
          <w:rFonts w:ascii="Times New Roman" w:hAnsi="Times New Roman" w:cs="Times New Roman"/>
          <w:b/>
          <w:noProof/>
        </w:rPr>
        <w:t>32</w:t>
      </w:r>
      <w:r w:rsidR="00A6415F" w:rsidRPr="0054285D">
        <w:rPr>
          <w:rFonts w:ascii="Times New Roman" w:hAnsi="Times New Roman" w:cs="Times New Roman"/>
        </w:rPr>
        <w:fldChar w:fldCharType="end"/>
      </w:r>
    </w:p>
    <w:p w:rsidR="00A77027" w:rsidRPr="0054285D" w:rsidRDefault="00A77027" w:rsidP="0054285D">
      <w:pPr>
        <w:spacing w:line="240" w:lineRule="auto"/>
        <w:jc w:val="both"/>
        <w:rPr>
          <w:rFonts w:ascii="Times New Roman" w:eastAsia="Calibri" w:hAnsi="Times New Roman" w:cs="Times New Roman"/>
        </w:rPr>
      </w:pPr>
      <w:r w:rsidRPr="0054285D">
        <w:rPr>
          <w:rFonts w:ascii="Times New Roman" w:eastAsia="Calibri" w:hAnsi="Times New Roman" w:cs="Times New Roman"/>
        </w:rPr>
        <w:t xml:space="preserve">1. World steel (2010) </w:t>
      </w:r>
      <w:r w:rsidRPr="0054285D">
        <w:rPr>
          <w:rFonts w:ascii="Times New Roman" w:eastAsia="Calibri" w:hAnsi="Times New Roman" w:cs="Times New Roman"/>
          <w:i/>
        </w:rPr>
        <w:t>Steel statistical yearbook 2009</w:t>
      </w:r>
      <w:r w:rsidRPr="0054285D">
        <w:rPr>
          <w:rFonts w:ascii="Times New Roman" w:eastAsia="Calibri" w:hAnsi="Times New Roman" w:cs="Times New Roman"/>
        </w:rPr>
        <w:t xml:space="preserve">. World Steel Association, Brussels, </w:t>
      </w:r>
      <w:hyperlink r:id="rId121">
        <w:r w:rsidRPr="0054285D">
          <w:rPr>
            <w:rFonts w:ascii="Times New Roman" w:eastAsia="Calibri" w:hAnsi="Times New Roman" w:cs="Times New Roman"/>
            <w:u w:val="single"/>
          </w:rPr>
          <w:t>http://www.worldsteel.com/</w:t>
        </w:r>
      </w:hyperlink>
    </w:p>
    <w:p w:rsidR="00A77027" w:rsidRPr="0054285D" w:rsidRDefault="00A77027" w:rsidP="0054285D">
      <w:pPr>
        <w:spacing w:line="240" w:lineRule="auto"/>
        <w:jc w:val="both"/>
        <w:rPr>
          <w:rFonts w:ascii="Times New Roman" w:eastAsia="Calibri" w:hAnsi="Times New Roman" w:cs="Times New Roman"/>
          <w:i/>
        </w:rPr>
      </w:pPr>
      <w:r w:rsidRPr="0054285D">
        <w:rPr>
          <w:rFonts w:ascii="Times New Roman" w:eastAsia="Calibri" w:hAnsi="Times New Roman" w:cs="Times New Roman"/>
        </w:rPr>
        <w:t xml:space="preserve">2. Barrington, C. (International Pig Iron Association) (2010) Ore based metallics: overview of global trends. Presented at the </w:t>
      </w:r>
      <w:r w:rsidRPr="0054285D">
        <w:rPr>
          <w:rFonts w:ascii="Times New Roman" w:eastAsia="Calibri" w:hAnsi="Times New Roman" w:cs="Times New Roman"/>
          <w:i/>
        </w:rPr>
        <w:t>CIS Steel and Raw Materials in the World Market—2010.</w:t>
      </w:r>
    </w:p>
    <w:p w:rsidR="00A77027" w:rsidRPr="0054285D" w:rsidRDefault="00A77027" w:rsidP="0054285D">
      <w:pPr>
        <w:spacing w:line="240" w:lineRule="auto"/>
        <w:jc w:val="both"/>
        <w:rPr>
          <w:rFonts w:ascii="Times New Roman" w:eastAsia="Calibri" w:hAnsi="Times New Roman" w:cs="Times New Roman"/>
        </w:rPr>
      </w:pPr>
      <w:r w:rsidRPr="0054285D">
        <w:rPr>
          <w:rFonts w:ascii="Times New Roman" w:eastAsia="Calibri" w:hAnsi="Times New Roman" w:cs="Times New Roman"/>
        </w:rPr>
        <w:t xml:space="preserve">3. World steel (2009) </w:t>
      </w:r>
      <w:r w:rsidRPr="0054285D">
        <w:rPr>
          <w:rFonts w:ascii="Times New Roman" w:eastAsia="Calibri" w:hAnsi="Times New Roman" w:cs="Times New Roman"/>
          <w:i/>
        </w:rPr>
        <w:t xml:space="preserve">Yield improvement in the steel industry: working group report 2003—2006. </w:t>
      </w:r>
      <w:r w:rsidRPr="0054285D">
        <w:rPr>
          <w:rFonts w:ascii="Times New Roman" w:eastAsia="Calibri" w:hAnsi="Times New Roman" w:cs="Times New Roman"/>
        </w:rPr>
        <w:t xml:space="preserve">World Steel Association, Brussels, </w:t>
      </w:r>
      <w:hyperlink r:id="rId122">
        <w:r w:rsidRPr="0054285D">
          <w:rPr>
            <w:rFonts w:ascii="Times New Roman" w:eastAsia="Calibri" w:hAnsi="Times New Roman" w:cs="Times New Roman"/>
            <w:u w:val="single"/>
          </w:rPr>
          <w:t>http://www.worldsteel.com/</w:t>
        </w:r>
      </w:hyperlink>
    </w:p>
    <w:p w:rsidR="00A77027" w:rsidRPr="0054285D" w:rsidRDefault="00A77027" w:rsidP="0054285D">
      <w:pPr>
        <w:spacing w:line="240" w:lineRule="auto"/>
        <w:jc w:val="both"/>
        <w:rPr>
          <w:rFonts w:ascii="Times New Roman" w:eastAsia="Calibri" w:hAnsi="Times New Roman" w:cs="Times New Roman"/>
        </w:rPr>
      </w:pPr>
      <w:r w:rsidRPr="0054285D">
        <w:rPr>
          <w:rFonts w:ascii="Times New Roman" w:eastAsia="Calibri" w:hAnsi="Times New Roman" w:cs="Times New Roman"/>
        </w:rPr>
        <w:t xml:space="preserve">4. Hatayama, H., Daigo, I., </w:t>
      </w:r>
      <w:proofErr w:type="spellStart"/>
      <w:r w:rsidRPr="0054285D">
        <w:rPr>
          <w:rFonts w:ascii="Times New Roman" w:eastAsia="Calibri" w:hAnsi="Times New Roman" w:cs="Times New Roman"/>
        </w:rPr>
        <w:t>Matsuno</w:t>
      </w:r>
      <w:proofErr w:type="spellEnd"/>
      <w:r w:rsidRPr="0054285D">
        <w:rPr>
          <w:rFonts w:ascii="Times New Roman" w:eastAsia="Calibri" w:hAnsi="Times New Roman" w:cs="Times New Roman"/>
        </w:rPr>
        <w:t xml:space="preserve">, Y., &amp; Adachi, Y. (2010) Outlook of the world steel cycle based on the stock and flow dynamics. </w:t>
      </w:r>
      <w:r w:rsidRPr="0054285D">
        <w:rPr>
          <w:rFonts w:ascii="Times New Roman" w:eastAsia="Calibri" w:hAnsi="Times New Roman" w:cs="Times New Roman"/>
          <w:i/>
        </w:rPr>
        <w:t>Environmental Science &amp; Technology</w:t>
      </w:r>
      <w:r w:rsidRPr="0054285D">
        <w:rPr>
          <w:rFonts w:ascii="Times New Roman" w:eastAsia="Calibri" w:hAnsi="Times New Roman" w:cs="Times New Roman"/>
        </w:rPr>
        <w:t>, 44(16):6457</w:t>
      </w:r>
      <w:r w:rsidRPr="0054285D">
        <w:rPr>
          <w:rFonts w:ascii="Cambria Math" w:eastAsia="Calibri" w:hAnsi="Cambria Math" w:cs="Cambria Math"/>
        </w:rPr>
        <w:t>‐</w:t>
      </w:r>
      <w:r w:rsidRPr="0054285D">
        <w:rPr>
          <w:rFonts w:ascii="Times New Roman" w:eastAsia="Calibri" w:hAnsi="Times New Roman" w:cs="Times New Roman"/>
        </w:rPr>
        <w:t>63.</w:t>
      </w:r>
    </w:p>
    <w:p w:rsidR="00A77027" w:rsidRPr="0054285D" w:rsidRDefault="00A77027" w:rsidP="0054285D">
      <w:pPr>
        <w:spacing w:line="240" w:lineRule="auto"/>
        <w:jc w:val="both"/>
        <w:rPr>
          <w:rFonts w:ascii="Times New Roman" w:eastAsia="Calibri" w:hAnsi="Times New Roman" w:cs="Times New Roman"/>
        </w:rPr>
      </w:pPr>
      <w:r w:rsidRPr="0054285D">
        <w:rPr>
          <w:rFonts w:ascii="Times New Roman" w:eastAsia="Calibri" w:hAnsi="Times New Roman" w:cs="Times New Roman"/>
        </w:rPr>
        <w:t xml:space="preserve">5. World steel (2011) </w:t>
      </w:r>
      <w:r w:rsidRPr="0054285D">
        <w:rPr>
          <w:rFonts w:ascii="Times New Roman" w:eastAsia="Calibri" w:hAnsi="Times New Roman" w:cs="Times New Roman"/>
          <w:i/>
        </w:rPr>
        <w:t xml:space="preserve">Fact sheet: steel and raw materials. </w:t>
      </w:r>
      <w:r w:rsidRPr="0054285D">
        <w:rPr>
          <w:rFonts w:ascii="Times New Roman" w:eastAsia="Calibri" w:hAnsi="Times New Roman" w:cs="Times New Roman"/>
        </w:rPr>
        <w:t xml:space="preserve">World Steel Association, Brussels, </w:t>
      </w:r>
      <w:hyperlink r:id="rId123">
        <w:r w:rsidRPr="0054285D">
          <w:rPr>
            <w:rFonts w:ascii="Times New Roman" w:eastAsia="Calibri" w:hAnsi="Times New Roman" w:cs="Times New Roman"/>
            <w:u w:val="single"/>
          </w:rPr>
          <w:t>http://worldsteel.com/</w:t>
        </w:r>
      </w:hyperlink>
    </w:p>
    <w:p w:rsidR="00A77027" w:rsidRPr="0054285D" w:rsidRDefault="00A77027" w:rsidP="0054285D">
      <w:pPr>
        <w:spacing w:line="240" w:lineRule="auto"/>
        <w:jc w:val="both"/>
        <w:rPr>
          <w:rFonts w:ascii="Times New Roman" w:eastAsia="Calibri" w:hAnsi="Times New Roman" w:cs="Times New Roman"/>
        </w:rPr>
      </w:pPr>
      <w:r w:rsidRPr="0054285D">
        <w:rPr>
          <w:rFonts w:ascii="Times New Roman" w:eastAsia="Calibri" w:hAnsi="Times New Roman" w:cs="Times New Roman"/>
        </w:rPr>
        <w:t>6. World Steel Dynamics (2008) Ask World Steel Dynamics</w:t>
      </w:r>
      <w:r w:rsidRPr="0054285D">
        <w:rPr>
          <w:rFonts w:ascii="Times New Roman" w:eastAsia="Calibri" w:hAnsi="Times New Roman" w:cs="Times New Roman"/>
          <w:i/>
        </w:rPr>
        <w:t xml:space="preserve">, Iron &amp; Steel Technology, </w:t>
      </w:r>
      <w:r w:rsidRPr="0054285D">
        <w:rPr>
          <w:rFonts w:ascii="Times New Roman" w:eastAsia="Calibri" w:hAnsi="Times New Roman" w:cs="Times New Roman"/>
        </w:rPr>
        <w:t>July 2008.</w:t>
      </w:r>
    </w:p>
    <w:p w:rsidR="00A77027" w:rsidRPr="0054285D" w:rsidRDefault="00A77027" w:rsidP="0054285D">
      <w:pPr>
        <w:spacing w:line="240" w:lineRule="auto"/>
        <w:jc w:val="both"/>
        <w:rPr>
          <w:rFonts w:ascii="Times New Roman" w:eastAsia="Calibri" w:hAnsi="Times New Roman" w:cs="Times New Roman"/>
        </w:rPr>
      </w:pPr>
      <w:r w:rsidRPr="0054285D">
        <w:rPr>
          <w:rFonts w:ascii="Times New Roman" w:eastAsia="Calibri" w:hAnsi="Times New Roman" w:cs="Times New Roman"/>
        </w:rPr>
        <w:t xml:space="preserve">7. World steel (2009) </w:t>
      </w:r>
      <w:r w:rsidRPr="0054285D">
        <w:rPr>
          <w:rFonts w:ascii="Times New Roman" w:eastAsia="Calibri" w:hAnsi="Times New Roman" w:cs="Times New Roman"/>
          <w:i/>
        </w:rPr>
        <w:t>World steel in figures 2009</w:t>
      </w:r>
      <w:r w:rsidRPr="0054285D">
        <w:rPr>
          <w:rFonts w:ascii="Times New Roman" w:eastAsia="Calibri" w:hAnsi="Times New Roman" w:cs="Times New Roman"/>
        </w:rPr>
        <w:t xml:space="preserve">. World Steel Association, Brussels, </w:t>
      </w:r>
      <w:hyperlink r:id="rId124">
        <w:r w:rsidRPr="0054285D">
          <w:rPr>
            <w:rFonts w:ascii="Times New Roman" w:eastAsia="Calibri" w:hAnsi="Times New Roman" w:cs="Times New Roman"/>
            <w:u w:val="single"/>
          </w:rPr>
          <w:t>http://www.worldsteel.com/</w:t>
        </w:r>
      </w:hyperlink>
    </w:p>
    <w:p w:rsidR="00A77027" w:rsidRPr="0054285D" w:rsidRDefault="00A77027" w:rsidP="0054285D">
      <w:pPr>
        <w:spacing w:line="240" w:lineRule="auto"/>
        <w:jc w:val="both"/>
        <w:rPr>
          <w:rFonts w:ascii="Times New Roman" w:eastAsia="Calibri" w:hAnsi="Times New Roman" w:cs="Times New Roman"/>
          <w:i/>
        </w:rPr>
      </w:pPr>
      <w:r w:rsidRPr="0054285D">
        <w:rPr>
          <w:rFonts w:ascii="Times New Roman" w:eastAsia="Calibri" w:hAnsi="Times New Roman" w:cs="Times New Roman"/>
        </w:rPr>
        <w:t xml:space="preserve">8. Worrell, E., Price, L., </w:t>
      </w:r>
      <w:proofErr w:type="spellStart"/>
      <w:r w:rsidRPr="0054285D">
        <w:rPr>
          <w:rFonts w:ascii="Times New Roman" w:eastAsia="Calibri" w:hAnsi="Times New Roman" w:cs="Times New Roman"/>
        </w:rPr>
        <w:t>Neelis</w:t>
      </w:r>
      <w:proofErr w:type="spellEnd"/>
      <w:r w:rsidRPr="0054285D">
        <w:rPr>
          <w:rFonts w:ascii="Times New Roman" w:eastAsia="Calibri" w:hAnsi="Times New Roman" w:cs="Times New Roman"/>
        </w:rPr>
        <w:t xml:space="preserve">, M., </w:t>
      </w:r>
      <w:proofErr w:type="spellStart"/>
      <w:r w:rsidRPr="0054285D">
        <w:rPr>
          <w:rFonts w:ascii="Times New Roman" w:eastAsia="Calibri" w:hAnsi="Times New Roman" w:cs="Times New Roman"/>
        </w:rPr>
        <w:t>Galitsky</w:t>
      </w:r>
      <w:proofErr w:type="spellEnd"/>
      <w:r w:rsidRPr="0054285D">
        <w:rPr>
          <w:rFonts w:ascii="Times New Roman" w:eastAsia="Calibri" w:hAnsi="Times New Roman" w:cs="Times New Roman"/>
        </w:rPr>
        <w:t xml:space="preserve">, C., &amp; Zhou, N. (2008). </w:t>
      </w:r>
      <w:r w:rsidRPr="0054285D">
        <w:rPr>
          <w:rFonts w:ascii="Times New Roman" w:eastAsia="Calibri" w:hAnsi="Times New Roman" w:cs="Times New Roman"/>
          <w:i/>
        </w:rPr>
        <w:t>World best practice energy intensity values for selected industrial sectors, LBNL</w:t>
      </w:r>
      <w:r w:rsidRPr="0054285D">
        <w:rPr>
          <w:rFonts w:ascii="Cambria Math" w:eastAsia="Calibri" w:hAnsi="Cambria Math" w:cs="Cambria Math"/>
          <w:i/>
        </w:rPr>
        <w:t>‐</w:t>
      </w:r>
      <w:r w:rsidRPr="0054285D">
        <w:rPr>
          <w:rFonts w:ascii="Times New Roman" w:eastAsia="Calibri" w:hAnsi="Times New Roman" w:cs="Times New Roman"/>
          <w:i/>
        </w:rPr>
        <w:t>62806, rev.2</w:t>
      </w:r>
      <w:r w:rsidRPr="0054285D">
        <w:rPr>
          <w:rFonts w:ascii="Times New Roman" w:eastAsia="Calibri" w:hAnsi="Times New Roman" w:cs="Times New Roman"/>
        </w:rPr>
        <w:t xml:space="preserve">. Retrieved from </w:t>
      </w:r>
      <w:hyperlink r:id="rId125">
        <w:r w:rsidRPr="0054285D">
          <w:rPr>
            <w:rFonts w:ascii="Times New Roman" w:eastAsia="Calibri" w:hAnsi="Times New Roman" w:cs="Times New Roman"/>
            <w:u w:val="single"/>
          </w:rPr>
          <w:t>http://escholarship.org/uc/item/77n9d4sp.pdf/</w:t>
        </w:r>
      </w:hyperlink>
    </w:p>
    <w:p w:rsidR="00A77027" w:rsidRPr="0054285D" w:rsidRDefault="00A77027" w:rsidP="0054285D">
      <w:pPr>
        <w:spacing w:line="240" w:lineRule="auto"/>
        <w:jc w:val="both"/>
        <w:rPr>
          <w:rFonts w:ascii="Times New Roman" w:eastAsia="Calibri" w:hAnsi="Times New Roman" w:cs="Times New Roman"/>
        </w:rPr>
      </w:pPr>
      <w:r w:rsidRPr="0054285D">
        <w:rPr>
          <w:rFonts w:ascii="Times New Roman" w:eastAsia="Calibri" w:hAnsi="Times New Roman" w:cs="Times New Roman"/>
        </w:rPr>
        <w:t xml:space="preserve">9. Tata (2011) Tata Steel Construction website, </w:t>
      </w:r>
      <w:hyperlink r:id="rId126">
        <w:r w:rsidRPr="0054285D">
          <w:rPr>
            <w:rFonts w:ascii="Times New Roman" w:eastAsia="Calibri" w:hAnsi="Times New Roman" w:cs="Times New Roman"/>
            <w:u w:val="single"/>
          </w:rPr>
          <w:t>http://www.tatasteelconstruction.com/en/sustainability/carbon_and_steel/</w:t>
        </w:r>
      </w:hyperlink>
    </w:p>
    <w:p w:rsidR="00A77027" w:rsidRPr="0054285D" w:rsidRDefault="00A77027" w:rsidP="0054285D">
      <w:pPr>
        <w:spacing w:line="240" w:lineRule="auto"/>
        <w:jc w:val="both"/>
        <w:rPr>
          <w:rFonts w:ascii="Times New Roman" w:eastAsia="Calibri" w:hAnsi="Times New Roman" w:cs="Times New Roman"/>
          <w:i/>
        </w:rPr>
      </w:pPr>
      <w:r w:rsidRPr="0054285D">
        <w:rPr>
          <w:rFonts w:ascii="Times New Roman" w:eastAsia="Calibri" w:hAnsi="Times New Roman" w:cs="Times New Roman"/>
        </w:rPr>
        <w:t>10. De Beer, J., Worrell, E., &amp; Blok, K. (1998). Future technologies for energy</w:t>
      </w:r>
      <w:r w:rsidRPr="0054285D">
        <w:rPr>
          <w:rFonts w:ascii="Cambria Math" w:eastAsia="Calibri" w:hAnsi="Cambria Math" w:cs="Cambria Math"/>
        </w:rPr>
        <w:t>‐</w:t>
      </w:r>
      <w:r w:rsidRPr="0054285D">
        <w:rPr>
          <w:rFonts w:ascii="Times New Roman" w:eastAsia="Calibri" w:hAnsi="Times New Roman" w:cs="Times New Roman"/>
        </w:rPr>
        <w:t xml:space="preserve">efficient iron and steel making. </w:t>
      </w:r>
      <w:r w:rsidRPr="0054285D">
        <w:rPr>
          <w:rFonts w:ascii="Times New Roman" w:eastAsia="Calibri" w:hAnsi="Times New Roman" w:cs="Times New Roman"/>
          <w:i/>
        </w:rPr>
        <w:t>Annual Review of Energy and the Environment</w:t>
      </w:r>
      <w:r w:rsidRPr="0054285D">
        <w:rPr>
          <w:rFonts w:ascii="Times New Roman" w:eastAsia="Calibri" w:hAnsi="Times New Roman" w:cs="Times New Roman"/>
        </w:rPr>
        <w:t>, 23(1):123–205.</w:t>
      </w:r>
    </w:p>
    <w:p w:rsidR="00A77027" w:rsidRPr="0054285D" w:rsidRDefault="00A77027" w:rsidP="0054285D">
      <w:pPr>
        <w:spacing w:line="240" w:lineRule="auto"/>
        <w:jc w:val="both"/>
        <w:rPr>
          <w:rFonts w:ascii="Times New Roman" w:eastAsia="Calibri" w:hAnsi="Times New Roman" w:cs="Times New Roman"/>
        </w:rPr>
      </w:pPr>
      <w:r w:rsidRPr="0054285D">
        <w:rPr>
          <w:rFonts w:ascii="Times New Roman" w:eastAsia="Calibri" w:hAnsi="Times New Roman" w:cs="Times New Roman"/>
        </w:rPr>
        <w:t xml:space="preserve">11. Modern Casting (2009) </w:t>
      </w:r>
      <w:r w:rsidRPr="0054285D">
        <w:rPr>
          <w:rFonts w:ascii="Times New Roman" w:eastAsia="Calibri" w:hAnsi="Times New Roman" w:cs="Times New Roman"/>
          <w:i/>
        </w:rPr>
        <w:t>43rd Census of World Casting Production—2008</w:t>
      </w:r>
      <w:r w:rsidRPr="0054285D">
        <w:rPr>
          <w:rFonts w:ascii="Times New Roman" w:eastAsia="Calibri" w:hAnsi="Times New Roman" w:cs="Times New Roman"/>
        </w:rPr>
        <w:t>, Dec 2009, 17</w:t>
      </w:r>
      <w:r w:rsidRPr="0054285D">
        <w:rPr>
          <w:rFonts w:ascii="Cambria Math" w:eastAsia="Calibri" w:hAnsi="Cambria Math" w:cs="Cambria Math"/>
        </w:rPr>
        <w:t>‐</w:t>
      </w:r>
      <w:r w:rsidRPr="0054285D">
        <w:rPr>
          <w:rFonts w:ascii="Times New Roman" w:eastAsia="Calibri" w:hAnsi="Times New Roman" w:cs="Times New Roman"/>
        </w:rPr>
        <w:t xml:space="preserve">21, </w:t>
      </w:r>
      <w:hyperlink r:id="rId127">
        <w:r w:rsidRPr="0054285D">
          <w:rPr>
            <w:rFonts w:ascii="Times New Roman" w:eastAsia="Calibri" w:hAnsi="Times New Roman" w:cs="Times New Roman"/>
            <w:u w:val="single"/>
          </w:rPr>
          <w:t>http://www.moderncasting.com/content/view/841/207/</w:t>
        </w:r>
      </w:hyperlink>
    </w:p>
    <w:p w:rsidR="00A77027" w:rsidRPr="0054285D" w:rsidRDefault="00A77027" w:rsidP="0054285D">
      <w:pPr>
        <w:spacing w:line="240" w:lineRule="auto"/>
        <w:jc w:val="both"/>
        <w:rPr>
          <w:rFonts w:ascii="Times New Roman" w:eastAsia="Calibri" w:hAnsi="Times New Roman" w:cs="Times New Roman"/>
        </w:rPr>
      </w:pPr>
      <w:r w:rsidRPr="0054285D">
        <w:rPr>
          <w:rFonts w:ascii="Times New Roman" w:eastAsia="Calibri" w:hAnsi="Times New Roman" w:cs="Times New Roman"/>
        </w:rPr>
        <w:t xml:space="preserve">12. IISI (1992) </w:t>
      </w:r>
      <w:proofErr w:type="gramStart"/>
      <w:r w:rsidRPr="0054285D">
        <w:rPr>
          <w:rFonts w:ascii="Times New Roman" w:eastAsia="Calibri" w:hAnsi="Times New Roman" w:cs="Times New Roman"/>
          <w:i/>
        </w:rPr>
        <w:t>Towards</w:t>
      </w:r>
      <w:proofErr w:type="gramEnd"/>
      <w:r w:rsidRPr="0054285D">
        <w:rPr>
          <w:rFonts w:ascii="Times New Roman" w:eastAsia="Calibri" w:hAnsi="Times New Roman" w:cs="Times New Roman"/>
          <w:i/>
        </w:rPr>
        <w:t xml:space="preserve"> a better steelworks' yield</w:t>
      </w:r>
      <w:r w:rsidRPr="0054285D">
        <w:rPr>
          <w:rFonts w:ascii="Times New Roman" w:eastAsia="Calibri" w:hAnsi="Times New Roman" w:cs="Times New Roman"/>
        </w:rPr>
        <w:t xml:space="preserve">. International Iron and Steel Institute, now known as World Steel Association, Brussels, </w:t>
      </w:r>
      <w:hyperlink r:id="rId128">
        <w:r w:rsidRPr="0054285D">
          <w:rPr>
            <w:rFonts w:ascii="Times New Roman" w:eastAsia="Calibri" w:hAnsi="Times New Roman" w:cs="Times New Roman"/>
            <w:u w:val="single"/>
          </w:rPr>
          <w:t>http://www.worldsteel.com/</w:t>
        </w:r>
      </w:hyperlink>
    </w:p>
    <w:p w:rsidR="00A77027" w:rsidRPr="0054285D" w:rsidRDefault="00A77027" w:rsidP="0054285D">
      <w:pPr>
        <w:spacing w:line="240" w:lineRule="auto"/>
        <w:jc w:val="both"/>
        <w:rPr>
          <w:rFonts w:ascii="Times New Roman" w:eastAsia="Calibri" w:hAnsi="Times New Roman" w:cs="Times New Roman"/>
        </w:rPr>
      </w:pPr>
      <w:r w:rsidRPr="0054285D">
        <w:rPr>
          <w:rFonts w:ascii="Times New Roman" w:eastAsia="Calibri" w:hAnsi="Times New Roman" w:cs="Times New Roman"/>
        </w:rPr>
        <w:t xml:space="preserve">13. </w:t>
      </w:r>
      <w:proofErr w:type="spellStart"/>
      <w:r w:rsidRPr="0054285D">
        <w:rPr>
          <w:rFonts w:ascii="Times New Roman" w:eastAsia="Calibri" w:hAnsi="Times New Roman" w:cs="Times New Roman"/>
        </w:rPr>
        <w:t>Schifo</w:t>
      </w:r>
      <w:proofErr w:type="spellEnd"/>
      <w:r w:rsidRPr="0054285D">
        <w:rPr>
          <w:rFonts w:ascii="Times New Roman" w:eastAsia="Calibri" w:hAnsi="Times New Roman" w:cs="Times New Roman"/>
        </w:rPr>
        <w:t xml:space="preserve">, J. F. and </w:t>
      </w:r>
      <w:proofErr w:type="spellStart"/>
      <w:r w:rsidRPr="0054285D">
        <w:rPr>
          <w:rFonts w:ascii="Times New Roman" w:eastAsia="Calibri" w:hAnsi="Times New Roman" w:cs="Times New Roman"/>
        </w:rPr>
        <w:t>Radia</w:t>
      </w:r>
      <w:proofErr w:type="spellEnd"/>
      <w:r w:rsidRPr="0054285D">
        <w:rPr>
          <w:rFonts w:ascii="Times New Roman" w:eastAsia="Calibri" w:hAnsi="Times New Roman" w:cs="Times New Roman"/>
        </w:rPr>
        <w:t xml:space="preserve">, J. T. (2004). </w:t>
      </w:r>
      <w:r w:rsidRPr="0054285D">
        <w:rPr>
          <w:rFonts w:ascii="Times New Roman" w:eastAsia="Calibri" w:hAnsi="Times New Roman" w:cs="Times New Roman"/>
          <w:i/>
        </w:rPr>
        <w:t xml:space="preserve">Theoretical/Best Practice Energy Use </w:t>
      </w:r>
      <w:proofErr w:type="gramStart"/>
      <w:r w:rsidRPr="0054285D">
        <w:rPr>
          <w:rFonts w:ascii="Times New Roman" w:eastAsia="Calibri" w:hAnsi="Times New Roman" w:cs="Times New Roman"/>
          <w:i/>
        </w:rPr>
        <w:t>In</w:t>
      </w:r>
      <w:proofErr w:type="gramEnd"/>
      <w:r w:rsidRPr="0054285D">
        <w:rPr>
          <w:rFonts w:ascii="Times New Roman" w:eastAsia="Calibri" w:hAnsi="Times New Roman" w:cs="Times New Roman"/>
          <w:i/>
        </w:rPr>
        <w:t xml:space="preserve"> Metal Casting Operations</w:t>
      </w:r>
      <w:r w:rsidRPr="0054285D">
        <w:rPr>
          <w:rFonts w:ascii="Times New Roman" w:eastAsia="Calibri" w:hAnsi="Times New Roman" w:cs="Times New Roman"/>
        </w:rPr>
        <w:t>. U.S. Department of Energy: Energy Efficiency and Renewable Energy,</w:t>
      </w:r>
    </w:p>
    <w:p w:rsidR="00A77027" w:rsidRPr="0054285D" w:rsidRDefault="008F124C" w:rsidP="0054285D">
      <w:pPr>
        <w:spacing w:line="240" w:lineRule="auto"/>
        <w:jc w:val="both"/>
        <w:rPr>
          <w:rFonts w:ascii="Times New Roman" w:eastAsia="Calibri" w:hAnsi="Times New Roman" w:cs="Times New Roman"/>
        </w:rPr>
      </w:pPr>
      <w:hyperlink r:id="rId129">
        <w:r w:rsidR="00A77027" w:rsidRPr="0054285D">
          <w:rPr>
            <w:rFonts w:ascii="Times New Roman" w:eastAsia="Calibri" w:hAnsi="Times New Roman" w:cs="Times New Roman"/>
            <w:u w:val="single"/>
          </w:rPr>
          <w:t>http://www1.eere.energy.gov/manufacturing/industries_technologies/metalcasting/pdfs/doebestpractice_052804.pdf</w:t>
        </w:r>
      </w:hyperlink>
    </w:p>
    <w:p w:rsidR="00A77027" w:rsidRPr="0054285D" w:rsidRDefault="00A77027" w:rsidP="0054285D">
      <w:pPr>
        <w:spacing w:line="240" w:lineRule="auto"/>
        <w:jc w:val="both"/>
        <w:rPr>
          <w:rFonts w:ascii="Times New Roman" w:eastAsia="Calibri" w:hAnsi="Times New Roman" w:cs="Times New Roman"/>
        </w:rPr>
      </w:pPr>
      <w:r w:rsidRPr="0054285D">
        <w:rPr>
          <w:rFonts w:ascii="Times New Roman" w:eastAsia="Calibri" w:hAnsi="Times New Roman" w:cs="Times New Roman"/>
        </w:rPr>
        <w:t xml:space="preserve">14. SBB (2009) </w:t>
      </w:r>
      <w:proofErr w:type="gramStart"/>
      <w:r w:rsidRPr="0054285D">
        <w:rPr>
          <w:rFonts w:ascii="Times New Roman" w:eastAsia="Calibri" w:hAnsi="Times New Roman" w:cs="Times New Roman"/>
          <w:i/>
        </w:rPr>
        <w:t>The</w:t>
      </w:r>
      <w:proofErr w:type="gramEnd"/>
      <w:r w:rsidRPr="0054285D">
        <w:rPr>
          <w:rFonts w:ascii="Times New Roman" w:eastAsia="Calibri" w:hAnsi="Times New Roman" w:cs="Times New Roman"/>
          <w:i/>
        </w:rPr>
        <w:t xml:space="preserve"> world of steel: introduction to steel, module 3. </w:t>
      </w:r>
      <w:r w:rsidRPr="0054285D">
        <w:rPr>
          <w:rFonts w:ascii="Times New Roman" w:eastAsia="Calibri" w:hAnsi="Times New Roman" w:cs="Times New Roman"/>
        </w:rPr>
        <w:t>Steel Business Briefing, London.</w:t>
      </w:r>
    </w:p>
    <w:p w:rsidR="00A77027" w:rsidRDefault="00A77027" w:rsidP="00A77027">
      <w:pPr>
        <w:spacing w:line="360" w:lineRule="auto"/>
        <w:jc w:val="both"/>
        <w:rPr>
          <w:rFonts w:ascii="Times New Roman" w:eastAsia="Calibri" w:hAnsi="Times New Roman" w:cs="Times New Roman"/>
          <w:color w:val="0000FF"/>
          <w:u w:val="single"/>
        </w:rPr>
      </w:pPr>
      <w:r w:rsidRPr="0054285D">
        <w:rPr>
          <w:rFonts w:ascii="Times New Roman" w:eastAsia="Calibri" w:hAnsi="Times New Roman" w:cs="Times New Roman"/>
        </w:rPr>
        <w:t xml:space="preserve">15. EUROFER (2010) </w:t>
      </w:r>
      <w:r w:rsidRPr="0054285D">
        <w:rPr>
          <w:rFonts w:ascii="Times New Roman" w:eastAsia="Calibri" w:hAnsi="Times New Roman" w:cs="Times New Roman"/>
          <w:i/>
        </w:rPr>
        <w:t>European steel in figures: 2005</w:t>
      </w:r>
      <w:r w:rsidRPr="0054285D">
        <w:rPr>
          <w:rFonts w:ascii="Cambria Math" w:eastAsia="Calibri" w:hAnsi="Cambria Math" w:cs="Cambria Math"/>
          <w:i/>
        </w:rPr>
        <w:t>‐</w:t>
      </w:r>
      <w:r w:rsidRPr="0054285D">
        <w:rPr>
          <w:rFonts w:ascii="Times New Roman" w:eastAsia="Calibri" w:hAnsi="Times New Roman" w:cs="Times New Roman"/>
          <w:i/>
        </w:rPr>
        <w:t>2009</w:t>
      </w:r>
      <w:r w:rsidRPr="0054285D">
        <w:rPr>
          <w:rFonts w:ascii="Times New Roman" w:eastAsia="Calibri" w:hAnsi="Times New Roman" w:cs="Times New Roman"/>
        </w:rPr>
        <w:t xml:space="preserve">. The European Confederation of Iron and </w:t>
      </w:r>
      <w:r w:rsidRPr="005B3139">
        <w:rPr>
          <w:rFonts w:ascii="Times New Roman" w:eastAsia="Calibri" w:hAnsi="Times New Roman" w:cs="Times New Roman"/>
        </w:rPr>
        <w:t xml:space="preserve">Steel Industries, </w:t>
      </w:r>
      <w:hyperlink r:id="rId130">
        <w:r w:rsidRPr="005B3139">
          <w:rPr>
            <w:rFonts w:ascii="Times New Roman" w:eastAsia="Calibri" w:hAnsi="Times New Roman" w:cs="Times New Roman"/>
            <w:color w:val="0000FF"/>
            <w:u w:val="single"/>
          </w:rPr>
          <w:t>http://www.eurofer.eu/</w:t>
        </w:r>
        <w:proofErr w:type="spellStart"/>
        <w:r w:rsidRPr="005B3139">
          <w:rPr>
            <w:rFonts w:ascii="Times New Roman" w:eastAsia="Calibri" w:hAnsi="Times New Roman" w:cs="Times New Roman"/>
            <w:color w:val="0000FF"/>
            <w:u w:val="single"/>
          </w:rPr>
          <w:t>eurofer</w:t>
        </w:r>
        <w:proofErr w:type="spellEnd"/>
        <w:r w:rsidRPr="005B3139">
          <w:rPr>
            <w:rFonts w:ascii="Times New Roman" w:eastAsia="Calibri" w:hAnsi="Times New Roman" w:cs="Times New Roman"/>
            <w:color w:val="0000FF"/>
            <w:u w:val="single"/>
          </w:rPr>
          <w:t>/Publications/pdf/2009</w:t>
        </w:r>
        <w:r w:rsidRPr="005B3139">
          <w:rPr>
            <w:rFonts w:ascii="Cambria Math" w:eastAsia="Calibri" w:hAnsi="Cambria Math" w:cs="Cambria Math"/>
            <w:color w:val="0000FF"/>
            <w:u w:val="single"/>
          </w:rPr>
          <w:t>‐</w:t>
        </w:r>
        <w:r w:rsidRPr="005B3139">
          <w:rPr>
            <w:rFonts w:ascii="Times New Roman" w:eastAsia="Calibri" w:hAnsi="Times New Roman" w:cs="Times New Roman"/>
            <w:color w:val="0000FF"/>
            <w:u w:val="single"/>
          </w:rPr>
          <w:t>ESF.pdf/</w:t>
        </w:r>
      </w:hyperlink>
    </w:p>
    <w:p w:rsidR="00BD2067" w:rsidRDefault="00BD2067" w:rsidP="00A77027">
      <w:pPr>
        <w:spacing w:line="360" w:lineRule="auto"/>
        <w:jc w:val="both"/>
        <w:rPr>
          <w:rFonts w:ascii="Times New Roman" w:eastAsia="Calibri" w:hAnsi="Times New Roman" w:cs="Times New Roman"/>
          <w:color w:val="0000FF"/>
          <w:u w:val="single"/>
        </w:rPr>
      </w:pPr>
    </w:p>
    <w:p w:rsidR="00BD2067" w:rsidRDefault="00BD2067" w:rsidP="00A77027">
      <w:pPr>
        <w:spacing w:line="360" w:lineRule="auto"/>
        <w:jc w:val="both"/>
        <w:rPr>
          <w:rFonts w:ascii="Times New Roman" w:eastAsia="Calibri" w:hAnsi="Times New Roman" w:cs="Times New Roman"/>
          <w:color w:val="0000FF"/>
          <w:u w:val="single"/>
        </w:rPr>
      </w:pPr>
    </w:p>
    <w:p w:rsidR="00BD2067" w:rsidRDefault="00BD2067" w:rsidP="00A77027">
      <w:pPr>
        <w:spacing w:line="360" w:lineRule="auto"/>
        <w:jc w:val="both"/>
        <w:rPr>
          <w:rFonts w:ascii="Times New Roman" w:eastAsia="Calibri" w:hAnsi="Times New Roman" w:cs="Times New Roman"/>
          <w:color w:val="0000FF"/>
          <w:u w:val="single"/>
        </w:rPr>
      </w:pPr>
    </w:p>
    <w:p w:rsidR="00BD2067" w:rsidRDefault="00BD2067" w:rsidP="00A77027">
      <w:pPr>
        <w:spacing w:line="360" w:lineRule="auto"/>
        <w:jc w:val="both"/>
        <w:rPr>
          <w:rFonts w:ascii="Times New Roman" w:eastAsia="Calibri" w:hAnsi="Times New Roman" w:cs="Times New Roman"/>
          <w:color w:val="0000FF"/>
          <w:u w:val="single"/>
        </w:rPr>
      </w:pPr>
    </w:p>
    <w:p w:rsidR="00DC61C4" w:rsidRPr="005B3139" w:rsidRDefault="00DC61C4" w:rsidP="00A77027">
      <w:pPr>
        <w:spacing w:line="360" w:lineRule="auto"/>
        <w:jc w:val="both"/>
        <w:rPr>
          <w:rFonts w:ascii="Times New Roman" w:eastAsia="Calibri" w:hAnsi="Times New Roman" w:cs="Times New Roman"/>
        </w:rPr>
      </w:pPr>
    </w:p>
    <w:p w:rsidR="00DC61C4" w:rsidRDefault="00DC61C4" w:rsidP="00A77027">
      <w:pPr>
        <w:spacing w:line="360" w:lineRule="auto"/>
        <w:jc w:val="both"/>
        <w:rPr>
          <w:rFonts w:ascii="Times New Roman" w:eastAsia="Calibri" w:hAnsi="Times New Roman" w:cs="Times New Roman"/>
        </w:rPr>
        <w:sectPr w:rsidR="00DC61C4" w:rsidSect="00DC61C4">
          <w:pgSz w:w="11906" w:h="16838"/>
          <w:pgMar w:top="1440" w:right="1440" w:bottom="1440" w:left="1440" w:header="708" w:footer="708" w:gutter="0"/>
          <w:cols w:space="708"/>
          <w:docGrid w:linePitch="360"/>
        </w:sectPr>
      </w:pPr>
    </w:p>
    <w:p w:rsidR="00DC61C4" w:rsidRDefault="00AE7A4C" w:rsidP="00DC61C4">
      <w:pPr>
        <w:pStyle w:val="Heading2"/>
        <w:rPr>
          <w:rFonts w:eastAsia="Calibri Light"/>
        </w:rPr>
      </w:pPr>
      <w:r w:rsidRPr="005B3139">
        <w:rPr>
          <w:rFonts w:eastAsia="Calibri Light"/>
        </w:rPr>
        <w:lastRenderedPageBreak/>
        <w:t>C. LCA Electricity Methodology</w:t>
      </w:r>
      <w:r w:rsidR="0054285D">
        <w:rPr>
          <w:rFonts w:eastAsia="Calibri Light"/>
        </w:rPr>
        <w:t xml:space="preserve"> </w:t>
      </w:r>
    </w:p>
    <w:p w:rsidR="00AE7A4C" w:rsidRPr="005B3139" w:rsidRDefault="004D2D91" w:rsidP="00DC61C4">
      <w:pPr>
        <w:pStyle w:val="Heading2"/>
        <w:rPr>
          <w:rFonts w:eastAsia="Calibri Light"/>
        </w:rPr>
      </w:pPr>
      <w:r>
        <w:rPr>
          <w:rFonts w:eastAsia="Calibri Light"/>
        </w:rPr>
        <w:t>GaBi</w:t>
      </w:r>
      <w:r w:rsidR="0054285D">
        <w:rPr>
          <w:rFonts w:eastAsia="Calibri Light"/>
        </w:rPr>
        <w:t xml:space="preserve"> vs IEA </w:t>
      </w:r>
    </w:p>
    <w:p w:rsidR="00661857" w:rsidRPr="0054285D" w:rsidRDefault="00A86CD7" w:rsidP="00A86CD7">
      <w:pPr>
        <w:rPr>
          <w:rFonts w:ascii="Times New Roman" w:eastAsia="Calibri" w:hAnsi="Times New Roman" w:cs="Times New Roman"/>
        </w:rPr>
      </w:pPr>
      <w:bookmarkStart w:id="221" w:name="_Ref474079415"/>
      <w:bookmarkStart w:id="222" w:name="_Toc474486540"/>
      <w:bookmarkStart w:id="223" w:name="_Toc495852711"/>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33</w:t>
      </w:r>
      <w:r w:rsidR="009A0ED7" w:rsidRPr="0054285D">
        <w:rPr>
          <w:rFonts w:ascii="Times New Roman" w:hAnsi="Times New Roman" w:cs="Times New Roman"/>
        </w:rPr>
        <w:fldChar w:fldCharType="end"/>
      </w:r>
      <w:bookmarkEnd w:id="221"/>
      <w:r w:rsidRPr="0054285D">
        <w:rPr>
          <w:rFonts w:ascii="Times New Roman" w:hAnsi="Times New Roman" w:cs="Times New Roman"/>
        </w:rPr>
        <w:t xml:space="preserve">. </w:t>
      </w:r>
      <w:r w:rsidR="00AE7A4C" w:rsidRPr="0054285D">
        <w:rPr>
          <w:rFonts w:ascii="Times New Roman" w:eastAsia="Calibri" w:hAnsi="Times New Roman" w:cs="Times New Roman"/>
        </w:rPr>
        <w:t xml:space="preserve">Breakdown of </w:t>
      </w:r>
      <w:r w:rsidR="004A68F0" w:rsidRPr="0054285D">
        <w:rPr>
          <w:rFonts w:ascii="Times New Roman" w:eastAsia="Calibri" w:hAnsi="Times New Roman" w:cs="Times New Roman"/>
        </w:rPr>
        <w:t>electricity generation by fuel</w:t>
      </w:r>
      <w:r w:rsidR="00AE7A4C" w:rsidRPr="0054285D">
        <w:rPr>
          <w:rFonts w:ascii="Times New Roman" w:eastAsia="Calibri" w:hAnsi="Times New Roman" w:cs="Times New Roman"/>
        </w:rPr>
        <w:t xml:space="preserve"> source</w:t>
      </w:r>
      <w:r w:rsidR="004A68F0" w:rsidRPr="0054285D">
        <w:rPr>
          <w:rFonts w:ascii="Times New Roman" w:eastAsia="Calibri" w:hAnsi="Times New Roman" w:cs="Times New Roman"/>
        </w:rPr>
        <w:t xml:space="preserve"> from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and IEA</w:t>
      </w:r>
      <w:r w:rsidR="004A68F0" w:rsidRPr="0054285D">
        <w:rPr>
          <w:rFonts w:ascii="Times New Roman" w:eastAsia="Calibri" w:hAnsi="Times New Roman" w:cs="Times New Roman"/>
        </w:rPr>
        <w:t xml:space="preserve"> databases for India</w:t>
      </w:r>
      <w:r w:rsidR="00AE7A4C" w:rsidRPr="0054285D">
        <w:rPr>
          <w:rFonts w:ascii="Times New Roman" w:eastAsia="Calibri" w:hAnsi="Times New Roman" w:cs="Times New Roman"/>
        </w:rPr>
        <w:t>.</w:t>
      </w:r>
      <w:bookmarkEnd w:id="222"/>
      <w:bookmarkEnd w:id="223"/>
    </w:p>
    <w:tbl>
      <w:tblPr>
        <w:tblStyle w:val="TableGrid"/>
        <w:tblW w:w="14029" w:type="dxa"/>
        <w:tblLook w:val="04A0" w:firstRow="1" w:lastRow="0" w:firstColumn="1" w:lastColumn="0" w:noHBand="0" w:noVBand="1"/>
      </w:tblPr>
      <w:tblGrid>
        <w:gridCol w:w="2261"/>
        <w:gridCol w:w="909"/>
        <w:gridCol w:w="812"/>
        <w:gridCol w:w="1113"/>
        <w:gridCol w:w="1274"/>
        <w:gridCol w:w="1274"/>
        <w:gridCol w:w="1557"/>
        <w:gridCol w:w="991"/>
        <w:gridCol w:w="761"/>
        <w:gridCol w:w="787"/>
        <w:gridCol w:w="694"/>
        <w:gridCol w:w="671"/>
        <w:gridCol w:w="930"/>
      </w:tblGrid>
      <w:tr w:rsidR="00661857" w:rsidRPr="0054285D" w:rsidTr="00661857">
        <w:trPr>
          <w:trHeight w:val="300"/>
        </w:trPr>
        <w:tc>
          <w:tcPr>
            <w:tcW w:w="2261" w:type="dxa"/>
            <w:noWrap/>
            <w:hideMark/>
          </w:tcPr>
          <w:p w:rsidR="00661857" w:rsidRPr="0054285D" w:rsidRDefault="00661857" w:rsidP="0083243E">
            <w:r w:rsidRPr="0054285D">
              <w:br w:type="page"/>
            </w:r>
          </w:p>
        </w:tc>
        <w:tc>
          <w:tcPr>
            <w:tcW w:w="908" w:type="dxa"/>
            <w:noWrap/>
            <w:hideMark/>
          </w:tcPr>
          <w:p w:rsidR="00661857" w:rsidRPr="0054285D" w:rsidRDefault="00661857" w:rsidP="0083243E">
            <w:pPr>
              <w:jc w:val="center"/>
            </w:pPr>
            <w:r w:rsidRPr="0054285D">
              <w:t>Nuclear</w:t>
            </w:r>
          </w:p>
        </w:tc>
        <w:tc>
          <w:tcPr>
            <w:tcW w:w="811" w:type="dxa"/>
            <w:noWrap/>
            <w:hideMark/>
          </w:tcPr>
          <w:p w:rsidR="00661857" w:rsidRPr="0054285D" w:rsidRDefault="00661857" w:rsidP="0083243E">
            <w:pPr>
              <w:jc w:val="center"/>
            </w:pPr>
            <w:r w:rsidRPr="0054285D">
              <w:t>Lignite</w:t>
            </w:r>
          </w:p>
        </w:tc>
        <w:tc>
          <w:tcPr>
            <w:tcW w:w="1113" w:type="dxa"/>
            <w:noWrap/>
            <w:hideMark/>
          </w:tcPr>
          <w:p w:rsidR="00661857" w:rsidRPr="0054285D" w:rsidRDefault="00661857" w:rsidP="0083243E">
            <w:pPr>
              <w:jc w:val="center"/>
            </w:pPr>
            <w:r w:rsidRPr="0054285D">
              <w:t>Hard Coal</w:t>
            </w:r>
          </w:p>
        </w:tc>
        <w:tc>
          <w:tcPr>
            <w:tcW w:w="1274" w:type="dxa"/>
            <w:noWrap/>
            <w:hideMark/>
          </w:tcPr>
          <w:p w:rsidR="00661857" w:rsidRPr="0054285D" w:rsidRDefault="00661857" w:rsidP="0083243E">
            <w:pPr>
              <w:jc w:val="center"/>
            </w:pPr>
            <w:r w:rsidRPr="0054285D">
              <w:t>Coal Gases</w:t>
            </w:r>
          </w:p>
        </w:tc>
        <w:tc>
          <w:tcPr>
            <w:tcW w:w="1274" w:type="dxa"/>
            <w:noWrap/>
            <w:hideMark/>
          </w:tcPr>
          <w:p w:rsidR="00661857" w:rsidRPr="0054285D" w:rsidRDefault="00661857" w:rsidP="0083243E">
            <w:pPr>
              <w:jc w:val="center"/>
            </w:pPr>
            <w:r w:rsidRPr="0054285D">
              <w:t>Natural Gas</w:t>
            </w:r>
          </w:p>
        </w:tc>
        <w:tc>
          <w:tcPr>
            <w:tcW w:w="1557" w:type="dxa"/>
            <w:noWrap/>
            <w:hideMark/>
          </w:tcPr>
          <w:p w:rsidR="00661857" w:rsidRPr="0054285D" w:rsidRDefault="00661857" w:rsidP="0083243E">
            <w:pPr>
              <w:jc w:val="center"/>
            </w:pPr>
            <w:r w:rsidRPr="0054285D">
              <w:t>Heavy Fuel Oil</w:t>
            </w:r>
          </w:p>
        </w:tc>
        <w:tc>
          <w:tcPr>
            <w:tcW w:w="991" w:type="dxa"/>
            <w:noWrap/>
            <w:hideMark/>
          </w:tcPr>
          <w:p w:rsidR="00661857" w:rsidRPr="0054285D" w:rsidRDefault="00661857" w:rsidP="0083243E">
            <w:pPr>
              <w:jc w:val="center"/>
            </w:pPr>
            <w:r w:rsidRPr="0054285D">
              <w:t>Biomass</w:t>
            </w:r>
          </w:p>
        </w:tc>
        <w:tc>
          <w:tcPr>
            <w:tcW w:w="760" w:type="dxa"/>
            <w:noWrap/>
            <w:hideMark/>
          </w:tcPr>
          <w:p w:rsidR="00661857" w:rsidRPr="0054285D" w:rsidRDefault="00661857" w:rsidP="0083243E">
            <w:pPr>
              <w:jc w:val="center"/>
            </w:pPr>
            <w:r w:rsidRPr="0054285D">
              <w:t>Hydro</w:t>
            </w:r>
          </w:p>
        </w:tc>
        <w:tc>
          <w:tcPr>
            <w:tcW w:w="786" w:type="dxa"/>
          </w:tcPr>
          <w:p w:rsidR="00661857" w:rsidRPr="0054285D" w:rsidRDefault="00661857" w:rsidP="0083243E">
            <w:pPr>
              <w:jc w:val="center"/>
            </w:pPr>
            <w:r w:rsidRPr="0054285D">
              <w:t>Waste</w:t>
            </w:r>
          </w:p>
        </w:tc>
        <w:tc>
          <w:tcPr>
            <w:tcW w:w="693" w:type="dxa"/>
            <w:noWrap/>
            <w:hideMark/>
          </w:tcPr>
          <w:p w:rsidR="00661857" w:rsidRPr="0054285D" w:rsidRDefault="00661857" w:rsidP="0083243E">
            <w:pPr>
              <w:jc w:val="center"/>
            </w:pPr>
            <w:r w:rsidRPr="0054285D">
              <w:t>Wind</w:t>
            </w:r>
          </w:p>
        </w:tc>
        <w:tc>
          <w:tcPr>
            <w:tcW w:w="671" w:type="dxa"/>
            <w:noWrap/>
            <w:hideMark/>
          </w:tcPr>
          <w:p w:rsidR="00661857" w:rsidRPr="0054285D" w:rsidRDefault="00661857" w:rsidP="0083243E">
            <w:pPr>
              <w:jc w:val="center"/>
            </w:pPr>
            <w:r w:rsidRPr="0054285D">
              <w:t>Solar</w:t>
            </w:r>
          </w:p>
        </w:tc>
        <w:tc>
          <w:tcPr>
            <w:tcW w:w="930" w:type="dxa"/>
            <w:noWrap/>
            <w:hideMark/>
          </w:tcPr>
          <w:p w:rsidR="00661857" w:rsidRPr="0054285D" w:rsidRDefault="00661857" w:rsidP="0083243E">
            <w:pPr>
              <w:jc w:val="center"/>
            </w:pPr>
            <w:r w:rsidRPr="0054285D">
              <w:t>Total</w:t>
            </w:r>
          </w:p>
        </w:tc>
      </w:tr>
      <w:tr w:rsidR="00661857" w:rsidRPr="0054285D" w:rsidTr="00661857">
        <w:trPr>
          <w:trHeight w:val="300"/>
        </w:trPr>
        <w:tc>
          <w:tcPr>
            <w:tcW w:w="2261" w:type="dxa"/>
            <w:noWrap/>
            <w:hideMark/>
          </w:tcPr>
          <w:p w:rsidR="00661857" w:rsidRPr="0054285D" w:rsidRDefault="00661857" w:rsidP="0083243E">
            <w:pPr>
              <w:jc w:val="center"/>
            </w:pPr>
            <w:r w:rsidRPr="0054285D">
              <w:t>India (</w:t>
            </w:r>
            <w:r w:rsidR="004D2D91" w:rsidRPr="0054285D">
              <w:t>GaBi</w:t>
            </w:r>
            <w:r w:rsidRPr="0054285D">
              <w:t>) 2011</w:t>
            </w:r>
          </w:p>
        </w:tc>
        <w:tc>
          <w:tcPr>
            <w:tcW w:w="908" w:type="dxa"/>
            <w:noWrap/>
            <w:hideMark/>
          </w:tcPr>
          <w:p w:rsidR="00661857" w:rsidRPr="0054285D" w:rsidRDefault="00661857" w:rsidP="0083243E">
            <w:pPr>
              <w:jc w:val="center"/>
            </w:pPr>
            <w:r w:rsidRPr="0054285D">
              <w:t>3.16</w:t>
            </w:r>
          </w:p>
        </w:tc>
        <w:tc>
          <w:tcPr>
            <w:tcW w:w="811" w:type="dxa"/>
            <w:noWrap/>
            <w:hideMark/>
          </w:tcPr>
          <w:p w:rsidR="00661857" w:rsidRPr="0054285D" w:rsidRDefault="00661857" w:rsidP="0083243E">
            <w:pPr>
              <w:jc w:val="center"/>
            </w:pPr>
            <w:r w:rsidRPr="0054285D">
              <w:t>6.63</w:t>
            </w:r>
          </w:p>
        </w:tc>
        <w:tc>
          <w:tcPr>
            <w:tcW w:w="1113" w:type="dxa"/>
            <w:noWrap/>
            <w:hideMark/>
          </w:tcPr>
          <w:p w:rsidR="00661857" w:rsidRPr="0054285D" w:rsidRDefault="00661857" w:rsidP="0083243E">
            <w:pPr>
              <w:jc w:val="center"/>
            </w:pPr>
            <w:r w:rsidRPr="0054285D">
              <w:t>61.19</w:t>
            </w:r>
          </w:p>
        </w:tc>
        <w:tc>
          <w:tcPr>
            <w:tcW w:w="1274" w:type="dxa"/>
            <w:noWrap/>
            <w:hideMark/>
          </w:tcPr>
          <w:p w:rsidR="00661857" w:rsidRPr="0054285D" w:rsidRDefault="00661857" w:rsidP="0083243E">
            <w:pPr>
              <w:jc w:val="center"/>
            </w:pPr>
            <w:r w:rsidRPr="0054285D">
              <w:t>0.12</w:t>
            </w:r>
          </w:p>
        </w:tc>
        <w:tc>
          <w:tcPr>
            <w:tcW w:w="1274" w:type="dxa"/>
            <w:noWrap/>
            <w:hideMark/>
          </w:tcPr>
          <w:p w:rsidR="00661857" w:rsidRPr="0054285D" w:rsidRDefault="00661857" w:rsidP="0083243E">
            <w:pPr>
              <w:jc w:val="center"/>
            </w:pPr>
            <w:r w:rsidRPr="0054285D">
              <w:t>10.31</w:t>
            </w:r>
          </w:p>
        </w:tc>
        <w:tc>
          <w:tcPr>
            <w:tcW w:w="1557" w:type="dxa"/>
            <w:noWrap/>
            <w:hideMark/>
          </w:tcPr>
          <w:p w:rsidR="00661857" w:rsidRPr="0054285D" w:rsidRDefault="00661857" w:rsidP="0083243E">
            <w:pPr>
              <w:jc w:val="center"/>
            </w:pPr>
            <w:r w:rsidRPr="0054285D">
              <w:t>1.16</w:t>
            </w:r>
          </w:p>
        </w:tc>
        <w:tc>
          <w:tcPr>
            <w:tcW w:w="991" w:type="dxa"/>
            <w:noWrap/>
            <w:hideMark/>
          </w:tcPr>
          <w:p w:rsidR="00661857" w:rsidRPr="0054285D" w:rsidRDefault="00661857" w:rsidP="0083243E">
            <w:pPr>
              <w:jc w:val="center"/>
            </w:pPr>
            <w:r w:rsidRPr="0054285D">
              <w:t>2.71</w:t>
            </w:r>
          </w:p>
        </w:tc>
        <w:tc>
          <w:tcPr>
            <w:tcW w:w="760" w:type="dxa"/>
            <w:noWrap/>
            <w:hideMark/>
          </w:tcPr>
          <w:p w:rsidR="00661857" w:rsidRPr="0054285D" w:rsidRDefault="00661857" w:rsidP="0083243E">
            <w:pPr>
              <w:jc w:val="center"/>
            </w:pPr>
            <w:r w:rsidRPr="0054285D">
              <w:t>12.42</w:t>
            </w:r>
          </w:p>
        </w:tc>
        <w:tc>
          <w:tcPr>
            <w:tcW w:w="786" w:type="dxa"/>
          </w:tcPr>
          <w:p w:rsidR="00661857" w:rsidRPr="0054285D" w:rsidRDefault="00661857" w:rsidP="0083243E">
            <w:pPr>
              <w:jc w:val="center"/>
            </w:pPr>
            <w:r w:rsidRPr="0054285D">
              <w:t>0.02</w:t>
            </w:r>
          </w:p>
        </w:tc>
        <w:tc>
          <w:tcPr>
            <w:tcW w:w="693" w:type="dxa"/>
            <w:noWrap/>
            <w:hideMark/>
          </w:tcPr>
          <w:p w:rsidR="00661857" w:rsidRPr="0054285D" w:rsidRDefault="00661857" w:rsidP="0083243E">
            <w:pPr>
              <w:jc w:val="center"/>
            </w:pPr>
            <w:r w:rsidRPr="0054285D">
              <w:t>2.27</w:t>
            </w:r>
          </w:p>
        </w:tc>
        <w:tc>
          <w:tcPr>
            <w:tcW w:w="671" w:type="dxa"/>
            <w:noWrap/>
            <w:hideMark/>
          </w:tcPr>
          <w:p w:rsidR="00661857" w:rsidRPr="0054285D" w:rsidRDefault="00661857" w:rsidP="0083243E">
            <w:pPr>
              <w:jc w:val="center"/>
            </w:pPr>
            <w:r w:rsidRPr="0054285D">
              <w:t>0.01</w:t>
            </w:r>
          </w:p>
        </w:tc>
        <w:tc>
          <w:tcPr>
            <w:tcW w:w="930" w:type="dxa"/>
            <w:noWrap/>
            <w:hideMark/>
          </w:tcPr>
          <w:p w:rsidR="00661857" w:rsidRPr="0054285D" w:rsidRDefault="00661857" w:rsidP="0083243E">
            <w:pPr>
              <w:jc w:val="center"/>
            </w:pPr>
            <w:r w:rsidRPr="0054285D">
              <w:t>100.00</w:t>
            </w:r>
          </w:p>
        </w:tc>
      </w:tr>
      <w:tr w:rsidR="00661857" w:rsidRPr="0054285D" w:rsidTr="00661857">
        <w:trPr>
          <w:trHeight w:val="300"/>
        </w:trPr>
        <w:tc>
          <w:tcPr>
            <w:tcW w:w="2261" w:type="dxa"/>
            <w:noWrap/>
            <w:hideMark/>
          </w:tcPr>
          <w:p w:rsidR="00661857" w:rsidRPr="0054285D" w:rsidRDefault="00661857" w:rsidP="0083243E">
            <w:pPr>
              <w:jc w:val="center"/>
            </w:pPr>
            <w:r w:rsidRPr="0054285D">
              <w:t>India (IEA) 2011</w:t>
            </w:r>
          </w:p>
        </w:tc>
        <w:tc>
          <w:tcPr>
            <w:tcW w:w="908" w:type="dxa"/>
            <w:noWrap/>
            <w:hideMark/>
          </w:tcPr>
          <w:p w:rsidR="00661857" w:rsidRPr="0054285D" w:rsidRDefault="00661857" w:rsidP="0083243E">
            <w:pPr>
              <w:jc w:val="center"/>
            </w:pPr>
            <w:r w:rsidRPr="0054285D">
              <w:t>3.00</w:t>
            </w:r>
          </w:p>
        </w:tc>
        <w:tc>
          <w:tcPr>
            <w:tcW w:w="811" w:type="dxa"/>
            <w:noWrap/>
            <w:hideMark/>
          </w:tcPr>
          <w:p w:rsidR="00661857" w:rsidRPr="0054285D" w:rsidRDefault="00661857" w:rsidP="0083243E">
            <w:pPr>
              <w:jc w:val="center"/>
            </w:pPr>
            <w:r w:rsidRPr="0054285D">
              <w:t>0.00</w:t>
            </w:r>
          </w:p>
        </w:tc>
        <w:tc>
          <w:tcPr>
            <w:tcW w:w="1113" w:type="dxa"/>
            <w:noWrap/>
            <w:hideMark/>
          </w:tcPr>
          <w:p w:rsidR="00661857" w:rsidRPr="0054285D" w:rsidRDefault="00661857" w:rsidP="0083243E">
            <w:pPr>
              <w:jc w:val="center"/>
            </w:pPr>
            <w:r w:rsidRPr="0054285D">
              <w:t>66.76</w:t>
            </w:r>
          </w:p>
        </w:tc>
        <w:tc>
          <w:tcPr>
            <w:tcW w:w="1274" w:type="dxa"/>
            <w:noWrap/>
            <w:hideMark/>
          </w:tcPr>
          <w:p w:rsidR="00661857" w:rsidRPr="0054285D" w:rsidRDefault="00661857" w:rsidP="0083243E">
            <w:pPr>
              <w:jc w:val="center"/>
            </w:pPr>
            <w:r w:rsidRPr="0054285D">
              <w:t>0.00</w:t>
            </w:r>
          </w:p>
        </w:tc>
        <w:tc>
          <w:tcPr>
            <w:tcW w:w="1274" w:type="dxa"/>
            <w:noWrap/>
            <w:hideMark/>
          </w:tcPr>
          <w:p w:rsidR="00661857" w:rsidRPr="0054285D" w:rsidRDefault="00661857" w:rsidP="0083243E">
            <w:pPr>
              <w:jc w:val="center"/>
            </w:pPr>
            <w:r w:rsidRPr="0054285D">
              <w:t>10.63</w:t>
            </w:r>
          </w:p>
        </w:tc>
        <w:tc>
          <w:tcPr>
            <w:tcW w:w="1557" w:type="dxa"/>
            <w:noWrap/>
            <w:hideMark/>
          </w:tcPr>
          <w:p w:rsidR="00661857" w:rsidRPr="0054285D" w:rsidRDefault="00661857" w:rsidP="0083243E">
            <w:pPr>
              <w:jc w:val="center"/>
            </w:pPr>
            <w:r w:rsidRPr="0054285D">
              <w:t>2.25</w:t>
            </w:r>
          </w:p>
        </w:tc>
        <w:tc>
          <w:tcPr>
            <w:tcW w:w="991" w:type="dxa"/>
            <w:noWrap/>
            <w:hideMark/>
          </w:tcPr>
          <w:p w:rsidR="00661857" w:rsidRPr="0054285D" w:rsidRDefault="00661857" w:rsidP="0083243E">
            <w:pPr>
              <w:jc w:val="center"/>
            </w:pPr>
            <w:r w:rsidRPr="0054285D">
              <w:t>1.64</w:t>
            </w:r>
          </w:p>
        </w:tc>
        <w:tc>
          <w:tcPr>
            <w:tcW w:w="760" w:type="dxa"/>
            <w:noWrap/>
            <w:hideMark/>
          </w:tcPr>
          <w:p w:rsidR="00661857" w:rsidRPr="0054285D" w:rsidRDefault="00661857" w:rsidP="0083243E">
            <w:pPr>
              <w:jc w:val="center"/>
            </w:pPr>
            <w:r w:rsidRPr="0054285D">
              <w:t>13.34</w:t>
            </w:r>
          </w:p>
        </w:tc>
        <w:tc>
          <w:tcPr>
            <w:tcW w:w="786" w:type="dxa"/>
          </w:tcPr>
          <w:p w:rsidR="00661857" w:rsidRPr="0054285D" w:rsidRDefault="00661857" w:rsidP="0083243E">
            <w:pPr>
              <w:jc w:val="center"/>
            </w:pPr>
            <w:r w:rsidRPr="0054285D">
              <w:t>0.02</w:t>
            </w:r>
          </w:p>
        </w:tc>
        <w:tc>
          <w:tcPr>
            <w:tcW w:w="693" w:type="dxa"/>
            <w:noWrap/>
            <w:hideMark/>
          </w:tcPr>
          <w:p w:rsidR="00661857" w:rsidRPr="0054285D" w:rsidRDefault="00661857" w:rsidP="0083243E">
            <w:pPr>
              <w:jc w:val="center"/>
            </w:pPr>
            <w:r w:rsidRPr="0054285D">
              <w:t>2.28</w:t>
            </w:r>
          </w:p>
        </w:tc>
        <w:tc>
          <w:tcPr>
            <w:tcW w:w="671" w:type="dxa"/>
            <w:noWrap/>
            <w:hideMark/>
          </w:tcPr>
          <w:p w:rsidR="00661857" w:rsidRPr="0054285D" w:rsidRDefault="00661857" w:rsidP="0083243E">
            <w:pPr>
              <w:jc w:val="center"/>
            </w:pPr>
            <w:r w:rsidRPr="0054285D">
              <w:t>0.08</w:t>
            </w:r>
          </w:p>
        </w:tc>
        <w:tc>
          <w:tcPr>
            <w:tcW w:w="930" w:type="dxa"/>
            <w:noWrap/>
            <w:hideMark/>
          </w:tcPr>
          <w:p w:rsidR="00661857" w:rsidRPr="0054285D" w:rsidRDefault="00661857" w:rsidP="0083243E">
            <w:pPr>
              <w:jc w:val="center"/>
            </w:pPr>
            <w:r w:rsidRPr="0054285D">
              <w:t>100.00</w:t>
            </w:r>
          </w:p>
        </w:tc>
      </w:tr>
    </w:tbl>
    <w:p w:rsidR="00AE7A4C" w:rsidRPr="0054285D" w:rsidRDefault="00AE7A4C" w:rsidP="00A86CD7">
      <w:pPr>
        <w:rPr>
          <w:rFonts w:ascii="Times New Roman" w:eastAsia="Calibri" w:hAnsi="Times New Roman" w:cs="Times New Roman"/>
        </w:rPr>
      </w:pPr>
    </w:p>
    <w:p w:rsidR="00AE7A4C" w:rsidRPr="0054285D" w:rsidRDefault="00A86CD7" w:rsidP="00A86CD7">
      <w:pPr>
        <w:rPr>
          <w:rFonts w:ascii="Times New Roman" w:eastAsia="Calibri" w:hAnsi="Times New Roman" w:cs="Times New Roman"/>
        </w:rPr>
      </w:pPr>
      <w:bookmarkStart w:id="224" w:name="_Toc474486541"/>
      <w:bookmarkStart w:id="225" w:name="_Toc495852712"/>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34</w:t>
      </w:r>
      <w:r w:rsidR="009A0ED7" w:rsidRPr="0054285D">
        <w:rPr>
          <w:rFonts w:ascii="Times New Roman" w:hAnsi="Times New Roman" w:cs="Times New Roman"/>
        </w:rPr>
        <w:fldChar w:fldCharType="end"/>
      </w:r>
      <w:r w:rsidRPr="0054285D">
        <w:rPr>
          <w:rFonts w:ascii="Times New Roman" w:hAnsi="Times New Roman" w:cs="Times New Roman"/>
        </w:rPr>
        <w:t xml:space="preserve">. </w:t>
      </w:r>
      <w:r w:rsidR="004A68F0" w:rsidRPr="0054285D">
        <w:rPr>
          <w:rFonts w:ascii="Times New Roman" w:eastAsia="Calibri" w:hAnsi="Times New Roman" w:cs="Times New Roman"/>
        </w:rPr>
        <w:t xml:space="preserve">Breakdown of electricity generation by fuel source from </w:t>
      </w:r>
      <w:r w:rsidR="004D2D91" w:rsidRPr="0054285D">
        <w:rPr>
          <w:rFonts w:ascii="Times New Roman" w:eastAsia="Calibri" w:hAnsi="Times New Roman" w:cs="Times New Roman"/>
        </w:rPr>
        <w:t>GaBi</w:t>
      </w:r>
      <w:r w:rsidR="004A68F0" w:rsidRPr="0054285D">
        <w:rPr>
          <w:rFonts w:ascii="Times New Roman" w:eastAsia="Calibri" w:hAnsi="Times New Roman" w:cs="Times New Roman"/>
        </w:rPr>
        <w:t xml:space="preserve"> and IEA databases for Japan.</w:t>
      </w:r>
      <w:bookmarkEnd w:id="224"/>
      <w:bookmarkEnd w:id="225"/>
    </w:p>
    <w:tbl>
      <w:tblPr>
        <w:tblStyle w:val="TableGrid"/>
        <w:tblW w:w="14569" w:type="dxa"/>
        <w:tblLook w:val="04A0" w:firstRow="1" w:lastRow="0" w:firstColumn="1" w:lastColumn="0" w:noHBand="0" w:noVBand="1"/>
      </w:tblPr>
      <w:tblGrid>
        <w:gridCol w:w="2263"/>
        <w:gridCol w:w="909"/>
        <w:gridCol w:w="1218"/>
        <w:gridCol w:w="1275"/>
        <w:gridCol w:w="1276"/>
        <w:gridCol w:w="1646"/>
        <w:gridCol w:w="956"/>
        <w:gridCol w:w="787"/>
        <w:gridCol w:w="761"/>
        <w:gridCol w:w="694"/>
        <w:gridCol w:w="666"/>
        <w:gridCol w:w="1288"/>
        <w:gridCol w:w="830"/>
      </w:tblGrid>
      <w:tr w:rsidR="00A86CD7" w:rsidRPr="0054285D" w:rsidTr="0083243E">
        <w:trPr>
          <w:trHeight w:val="300"/>
        </w:trPr>
        <w:tc>
          <w:tcPr>
            <w:tcW w:w="2263" w:type="dxa"/>
            <w:noWrap/>
            <w:hideMark/>
          </w:tcPr>
          <w:p w:rsidR="00A86CD7" w:rsidRPr="0054285D" w:rsidRDefault="00A86CD7" w:rsidP="0083243E"/>
        </w:tc>
        <w:tc>
          <w:tcPr>
            <w:tcW w:w="909" w:type="dxa"/>
            <w:noWrap/>
            <w:hideMark/>
          </w:tcPr>
          <w:p w:rsidR="00A86CD7" w:rsidRPr="0054285D" w:rsidRDefault="00A86CD7" w:rsidP="0083243E">
            <w:pPr>
              <w:jc w:val="center"/>
            </w:pPr>
            <w:r w:rsidRPr="0054285D">
              <w:t>Nuclear</w:t>
            </w:r>
          </w:p>
        </w:tc>
        <w:tc>
          <w:tcPr>
            <w:tcW w:w="1218" w:type="dxa"/>
            <w:noWrap/>
            <w:hideMark/>
          </w:tcPr>
          <w:p w:rsidR="00A86CD7" w:rsidRPr="0054285D" w:rsidRDefault="00A86CD7" w:rsidP="0083243E">
            <w:pPr>
              <w:jc w:val="center"/>
            </w:pPr>
            <w:r w:rsidRPr="0054285D">
              <w:t>Hard Coal</w:t>
            </w:r>
          </w:p>
        </w:tc>
        <w:tc>
          <w:tcPr>
            <w:tcW w:w="1275" w:type="dxa"/>
            <w:noWrap/>
            <w:hideMark/>
          </w:tcPr>
          <w:p w:rsidR="00A86CD7" w:rsidRPr="0054285D" w:rsidRDefault="00A86CD7" w:rsidP="0083243E">
            <w:pPr>
              <w:jc w:val="center"/>
            </w:pPr>
            <w:r w:rsidRPr="0054285D">
              <w:t>Coal Gases</w:t>
            </w:r>
          </w:p>
        </w:tc>
        <w:tc>
          <w:tcPr>
            <w:tcW w:w="1276" w:type="dxa"/>
            <w:noWrap/>
            <w:hideMark/>
          </w:tcPr>
          <w:p w:rsidR="00A86CD7" w:rsidRPr="0054285D" w:rsidRDefault="00A86CD7" w:rsidP="0083243E">
            <w:pPr>
              <w:jc w:val="center"/>
            </w:pPr>
            <w:r w:rsidRPr="0054285D">
              <w:t>Natural Gas</w:t>
            </w:r>
          </w:p>
        </w:tc>
        <w:tc>
          <w:tcPr>
            <w:tcW w:w="1646" w:type="dxa"/>
            <w:noWrap/>
            <w:hideMark/>
          </w:tcPr>
          <w:p w:rsidR="00A86CD7" w:rsidRPr="0054285D" w:rsidRDefault="00A86CD7" w:rsidP="0083243E">
            <w:pPr>
              <w:jc w:val="center"/>
            </w:pPr>
            <w:r w:rsidRPr="0054285D">
              <w:t>Heavy Fuel Oil</w:t>
            </w:r>
          </w:p>
        </w:tc>
        <w:tc>
          <w:tcPr>
            <w:tcW w:w="956" w:type="dxa"/>
            <w:noWrap/>
            <w:hideMark/>
          </w:tcPr>
          <w:p w:rsidR="00A86CD7" w:rsidRPr="0054285D" w:rsidRDefault="00A86CD7" w:rsidP="0083243E">
            <w:pPr>
              <w:jc w:val="center"/>
            </w:pPr>
            <w:r w:rsidRPr="0054285D">
              <w:t>Biomass</w:t>
            </w:r>
          </w:p>
        </w:tc>
        <w:tc>
          <w:tcPr>
            <w:tcW w:w="787" w:type="dxa"/>
            <w:noWrap/>
            <w:hideMark/>
          </w:tcPr>
          <w:p w:rsidR="00A86CD7" w:rsidRPr="0054285D" w:rsidRDefault="00A86CD7" w:rsidP="0083243E">
            <w:pPr>
              <w:jc w:val="center"/>
            </w:pPr>
            <w:r w:rsidRPr="0054285D">
              <w:t>Waste</w:t>
            </w:r>
          </w:p>
        </w:tc>
        <w:tc>
          <w:tcPr>
            <w:tcW w:w="761" w:type="dxa"/>
            <w:noWrap/>
            <w:hideMark/>
          </w:tcPr>
          <w:p w:rsidR="00A86CD7" w:rsidRPr="0054285D" w:rsidRDefault="00A86CD7" w:rsidP="0083243E">
            <w:pPr>
              <w:jc w:val="center"/>
            </w:pPr>
            <w:r w:rsidRPr="0054285D">
              <w:t>Hydro</w:t>
            </w:r>
          </w:p>
        </w:tc>
        <w:tc>
          <w:tcPr>
            <w:tcW w:w="694" w:type="dxa"/>
            <w:noWrap/>
            <w:hideMark/>
          </w:tcPr>
          <w:p w:rsidR="00A86CD7" w:rsidRPr="0054285D" w:rsidRDefault="00A86CD7" w:rsidP="0083243E">
            <w:pPr>
              <w:jc w:val="center"/>
            </w:pPr>
            <w:r w:rsidRPr="0054285D">
              <w:t>Wind</w:t>
            </w:r>
          </w:p>
        </w:tc>
        <w:tc>
          <w:tcPr>
            <w:tcW w:w="666" w:type="dxa"/>
            <w:noWrap/>
            <w:hideMark/>
          </w:tcPr>
          <w:p w:rsidR="00A86CD7" w:rsidRPr="0054285D" w:rsidRDefault="00A86CD7" w:rsidP="0083243E">
            <w:pPr>
              <w:jc w:val="center"/>
            </w:pPr>
            <w:r w:rsidRPr="0054285D">
              <w:t>Solar</w:t>
            </w:r>
          </w:p>
        </w:tc>
        <w:tc>
          <w:tcPr>
            <w:tcW w:w="1288" w:type="dxa"/>
            <w:noWrap/>
            <w:hideMark/>
          </w:tcPr>
          <w:p w:rsidR="00A86CD7" w:rsidRPr="0054285D" w:rsidRDefault="00A86CD7" w:rsidP="0083243E">
            <w:pPr>
              <w:jc w:val="center"/>
            </w:pPr>
            <w:r w:rsidRPr="0054285D">
              <w:t>Geothermal</w:t>
            </w:r>
          </w:p>
        </w:tc>
        <w:tc>
          <w:tcPr>
            <w:tcW w:w="830" w:type="dxa"/>
            <w:noWrap/>
            <w:hideMark/>
          </w:tcPr>
          <w:p w:rsidR="00A86CD7" w:rsidRPr="0054285D" w:rsidRDefault="00A86CD7" w:rsidP="0083243E">
            <w:pPr>
              <w:jc w:val="center"/>
            </w:pPr>
            <w:r w:rsidRPr="0054285D">
              <w:t>Total</w:t>
            </w:r>
          </w:p>
        </w:tc>
      </w:tr>
      <w:tr w:rsidR="00A86CD7" w:rsidRPr="0054285D" w:rsidTr="0083243E">
        <w:trPr>
          <w:trHeight w:val="300"/>
        </w:trPr>
        <w:tc>
          <w:tcPr>
            <w:tcW w:w="2263" w:type="dxa"/>
            <w:noWrap/>
            <w:hideMark/>
          </w:tcPr>
          <w:p w:rsidR="00A86CD7" w:rsidRPr="0054285D" w:rsidRDefault="00A86CD7" w:rsidP="0083243E">
            <w:pPr>
              <w:jc w:val="center"/>
            </w:pPr>
            <w:r w:rsidRPr="0054285D">
              <w:t>Japan (</w:t>
            </w:r>
            <w:r w:rsidR="004D2D91" w:rsidRPr="0054285D">
              <w:t>GaBi</w:t>
            </w:r>
            <w:r w:rsidRPr="0054285D">
              <w:t>) 2011</w:t>
            </w:r>
          </w:p>
        </w:tc>
        <w:tc>
          <w:tcPr>
            <w:tcW w:w="909" w:type="dxa"/>
            <w:noWrap/>
            <w:hideMark/>
          </w:tcPr>
          <w:p w:rsidR="00A86CD7" w:rsidRPr="0054285D" w:rsidRDefault="00A86CD7" w:rsidP="0083243E">
            <w:pPr>
              <w:jc w:val="center"/>
            </w:pPr>
            <w:r w:rsidRPr="0054285D">
              <w:t>9.68</w:t>
            </w:r>
          </w:p>
        </w:tc>
        <w:tc>
          <w:tcPr>
            <w:tcW w:w="1218" w:type="dxa"/>
            <w:noWrap/>
            <w:hideMark/>
          </w:tcPr>
          <w:p w:rsidR="00A86CD7" w:rsidRPr="0054285D" w:rsidRDefault="00A86CD7" w:rsidP="0083243E">
            <w:pPr>
              <w:jc w:val="center"/>
            </w:pPr>
            <w:r w:rsidRPr="0054285D">
              <w:t>23.49</w:t>
            </w:r>
          </w:p>
        </w:tc>
        <w:tc>
          <w:tcPr>
            <w:tcW w:w="1275" w:type="dxa"/>
            <w:noWrap/>
            <w:hideMark/>
          </w:tcPr>
          <w:p w:rsidR="00A86CD7" w:rsidRPr="0054285D" w:rsidRDefault="00A86CD7" w:rsidP="0083243E">
            <w:pPr>
              <w:jc w:val="center"/>
            </w:pPr>
            <w:r w:rsidRPr="0054285D">
              <w:t>3.25</w:t>
            </w:r>
          </w:p>
        </w:tc>
        <w:tc>
          <w:tcPr>
            <w:tcW w:w="1276" w:type="dxa"/>
            <w:noWrap/>
            <w:hideMark/>
          </w:tcPr>
          <w:p w:rsidR="00A86CD7" w:rsidRPr="0054285D" w:rsidRDefault="00A86CD7" w:rsidP="0083243E">
            <w:pPr>
              <w:jc w:val="center"/>
            </w:pPr>
            <w:r w:rsidRPr="0054285D">
              <w:t>35.57</w:t>
            </w:r>
          </w:p>
        </w:tc>
        <w:tc>
          <w:tcPr>
            <w:tcW w:w="1646" w:type="dxa"/>
            <w:noWrap/>
            <w:hideMark/>
          </w:tcPr>
          <w:p w:rsidR="00A86CD7" w:rsidRPr="0054285D" w:rsidRDefault="00A86CD7" w:rsidP="0083243E">
            <w:pPr>
              <w:jc w:val="center"/>
            </w:pPr>
            <w:r w:rsidRPr="0054285D">
              <w:t>14.59</w:t>
            </w:r>
          </w:p>
        </w:tc>
        <w:tc>
          <w:tcPr>
            <w:tcW w:w="956" w:type="dxa"/>
            <w:noWrap/>
            <w:hideMark/>
          </w:tcPr>
          <w:p w:rsidR="00A86CD7" w:rsidRPr="0054285D" w:rsidRDefault="00A86CD7" w:rsidP="0083243E">
            <w:pPr>
              <w:jc w:val="center"/>
            </w:pPr>
            <w:r w:rsidRPr="0054285D">
              <w:t>2.74</w:t>
            </w:r>
          </w:p>
        </w:tc>
        <w:tc>
          <w:tcPr>
            <w:tcW w:w="787" w:type="dxa"/>
            <w:noWrap/>
            <w:hideMark/>
          </w:tcPr>
          <w:p w:rsidR="00A86CD7" w:rsidRPr="0054285D" w:rsidRDefault="00A86CD7" w:rsidP="0083243E">
            <w:pPr>
              <w:jc w:val="center"/>
            </w:pPr>
            <w:r w:rsidRPr="0054285D">
              <w:t>0.77</w:t>
            </w:r>
          </w:p>
        </w:tc>
        <w:tc>
          <w:tcPr>
            <w:tcW w:w="761" w:type="dxa"/>
            <w:noWrap/>
            <w:hideMark/>
          </w:tcPr>
          <w:p w:rsidR="00A86CD7" w:rsidRPr="0054285D" w:rsidRDefault="00A86CD7" w:rsidP="0083243E">
            <w:pPr>
              <w:jc w:val="center"/>
            </w:pPr>
            <w:r w:rsidRPr="0054285D">
              <w:t>8.72</w:t>
            </w:r>
          </w:p>
        </w:tc>
        <w:tc>
          <w:tcPr>
            <w:tcW w:w="694" w:type="dxa"/>
            <w:noWrap/>
            <w:hideMark/>
          </w:tcPr>
          <w:p w:rsidR="00A86CD7" w:rsidRPr="0054285D" w:rsidRDefault="00A86CD7" w:rsidP="0083243E">
            <w:pPr>
              <w:jc w:val="center"/>
            </w:pPr>
            <w:r w:rsidRPr="0054285D">
              <w:t>0.43</w:t>
            </w:r>
          </w:p>
        </w:tc>
        <w:tc>
          <w:tcPr>
            <w:tcW w:w="666" w:type="dxa"/>
            <w:noWrap/>
            <w:hideMark/>
          </w:tcPr>
          <w:p w:rsidR="00A86CD7" w:rsidRPr="0054285D" w:rsidRDefault="00A86CD7" w:rsidP="0083243E">
            <w:pPr>
              <w:jc w:val="center"/>
            </w:pPr>
            <w:r w:rsidRPr="0054285D">
              <w:t>0.49</w:t>
            </w:r>
          </w:p>
        </w:tc>
        <w:tc>
          <w:tcPr>
            <w:tcW w:w="1288" w:type="dxa"/>
            <w:noWrap/>
            <w:hideMark/>
          </w:tcPr>
          <w:p w:rsidR="00A86CD7" w:rsidRPr="0054285D" w:rsidRDefault="00A86CD7" w:rsidP="0083243E">
            <w:pPr>
              <w:jc w:val="center"/>
            </w:pPr>
            <w:r w:rsidRPr="0054285D">
              <w:t>0.25</w:t>
            </w:r>
          </w:p>
        </w:tc>
        <w:tc>
          <w:tcPr>
            <w:tcW w:w="830" w:type="dxa"/>
            <w:noWrap/>
            <w:hideMark/>
          </w:tcPr>
          <w:p w:rsidR="00A86CD7" w:rsidRPr="0054285D" w:rsidRDefault="00A86CD7" w:rsidP="0083243E">
            <w:pPr>
              <w:jc w:val="center"/>
            </w:pPr>
            <w:r w:rsidRPr="0054285D">
              <w:t>99.98</w:t>
            </w:r>
          </w:p>
        </w:tc>
      </w:tr>
      <w:tr w:rsidR="00A86CD7" w:rsidRPr="0054285D" w:rsidTr="0083243E">
        <w:trPr>
          <w:trHeight w:val="300"/>
        </w:trPr>
        <w:tc>
          <w:tcPr>
            <w:tcW w:w="2263" w:type="dxa"/>
            <w:noWrap/>
            <w:hideMark/>
          </w:tcPr>
          <w:p w:rsidR="00A86CD7" w:rsidRPr="0054285D" w:rsidRDefault="00A86CD7" w:rsidP="0083243E">
            <w:pPr>
              <w:jc w:val="center"/>
            </w:pPr>
            <w:r w:rsidRPr="0054285D">
              <w:t>Japan (IEA) 2011</w:t>
            </w:r>
          </w:p>
        </w:tc>
        <w:tc>
          <w:tcPr>
            <w:tcW w:w="909" w:type="dxa"/>
            <w:noWrap/>
            <w:hideMark/>
          </w:tcPr>
          <w:p w:rsidR="00A86CD7" w:rsidRPr="0054285D" w:rsidRDefault="00A86CD7" w:rsidP="0083243E">
            <w:pPr>
              <w:jc w:val="center"/>
            </w:pPr>
            <w:r w:rsidRPr="0054285D">
              <w:t>9.68</w:t>
            </w:r>
          </w:p>
        </w:tc>
        <w:tc>
          <w:tcPr>
            <w:tcW w:w="1218" w:type="dxa"/>
            <w:noWrap/>
            <w:hideMark/>
          </w:tcPr>
          <w:p w:rsidR="00A86CD7" w:rsidRPr="0054285D" w:rsidRDefault="00A86CD7" w:rsidP="0083243E">
            <w:pPr>
              <w:jc w:val="center"/>
            </w:pPr>
            <w:r w:rsidRPr="0054285D">
              <w:t>26.82</w:t>
            </w:r>
          </w:p>
        </w:tc>
        <w:tc>
          <w:tcPr>
            <w:tcW w:w="1275" w:type="dxa"/>
            <w:noWrap/>
            <w:hideMark/>
          </w:tcPr>
          <w:p w:rsidR="00A86CD7" w:rsidRPr="0054285D" w:rsidRDefault="00A86CD7" w:rsidP="0083243E">
            <w:pPr>
              <w:jc w:val="center"/>
            </w:pPr>
            <w:r w:rsidRPr="0054285D">
              <w:t>0.00</w:t>
            </w:r>
          </w:p>
        </w:tc>
        <w:tc>
          <w:tcPr>
            <w:tcW w:w="1276" w:type="dxa"/>
            <w:noWrap/>
            <w:hideMark/>
          </w:tcPr>
          <w:p w:rsidR="00A86CD7" w:rsidRPr="0054285D" w:rsidRDefault="00A86CD7" w:rsidP="0083243E">
            <w:pPr>
              <w:jc w:val="center"/>
            </w:pPr>
            <w:r w:rsidRPr="0054285D">
              <w:t>35.68</w:t>
            </w:r>
          </w:p>
        </w:tc>
        <w:tc>
          <w:tcPr>
            <w:tcW w:w="1646" w:type="dxa"/>
            <w:noWrap/>
            <w:hideMark/>
          </w:tcPr>
          <w:p w:rsidR="00A86CD7" w:rsidRPr="0054285D" w:rsidRDefault="00A86CD7" w:rsidP="0083243E">
            <w:pPr>
              <w:jc w:val="center"/>
            </w:pPr>
            <w:r w:rsidRPr="0054285D">
              <w:t>14.36</w:t>
            </w:r>
          </w:p>
        </w:tc>
        <w:tc>
          <w:tcPr>
            <w:tcW w:w="956" w:type="dxa"/>
            <w:noWrap/>
            <w:hideMark/>
          </w:tcPr>
          <w:p w:rsidR="00A86CD7" w:rsidRPr="0054285D" w:rsidRDefault="00A86CD7" w:rsidP="0083243E">
            <w:pPr>
              <w:jc w:val="center"/>
            </w:pPr>
            <w:r w:rsidRPr="0054285D">
              <w:t>2.77</w:t>
            </w:r>
          </w:p>
        </w:tc>
        <w:tc>
          <w:tcPr>
            <w:tcW w:w="787" w:type="dxa"/>
            <w:noWrap/>
            <w:hideMark/>
          </w:tcPr>
          <w:p w:rsidR="00A86CD7" w:rsidRPr="0054285D" w:rsidRDefault="00A86CD7" w:rsidP="0083243E">
            <w:pPr>
              <w:jc w:val="center"/>
            </w:pPr>
            <w:r w:rsidRPr="0054285D">
              <w:t>0.78</w:t>
            </w:r>
          </w:p>
        </w:tc>
        <w:tc>
          <w:tcPr>
            <w:tcW w:w="761" w:type="dxa"/>
            <w:noWrap/>
            <w:hideMark/>
          </w:tcPr>
          <w:p w:rsidR="00A86CD7" w:rsidRPr="0054285D" w:rsidRDefault="00A86CD7" w:rsidP="0083243E">
            <w:pPr>
              <w:jc w:val="center"/>
            </w:pPr>
            <w:r w:rsidRPr="0054285D">
              <w:t>8.72</w:t>
            </w:r>
          </w:p>
        </w:tc>
        <w:tc>
          <w:tcPr>
            <w:tcW w:w="694" w:type="dxa"/>
            <w:noWrap/>
            <w:hideMark/>
          </w:tcPr>
          <w:p w:rsidR="00A86CD7" w:rsidRPr="0054285D" w:rsidRDefault="00A86CD7" w:rsidP="0083243E">
            <w:pPr>
              <w:jc w:val="center"/>
            </w:pPr>
            <w:r w:rsidRPr="0054285D">
              <w:t>0.44</w:t>
            </w:r>
          </w:p>
        </w:tc>
        <w:tc>
          <w:tcPr>
            <w:tcW w:w="666" w:type="dxa"/>
            <w:noWrap/>
            <w:hideMark/>
          </w:tcPr>
          <w:p w:rsidR="00A86CD7" w:rsidRPr="0054285D" w:rsidRDefault="00A86CD7" w:rsidP="0083243E">
            <w:pPr>
              <w:jc w:val="center"/>
            </w:pPr>
            <w:r w:rsidRPr="0054285D">
              <w:t>0.49</w:t>
            </w:r>
          </w:p>
        </w:tc>
        <w:tc>
          <w:tcPr>
            <w:tcW w:w="1288" w:type="dxa"/>
            <w:noWrap/>
            <w:hideMark/>
          </w:tcPr>
          <w:p w:rsidR="00A86CD7" w:rsidRPr="0054285D" w:rsidRDefault="00A86CD7" w:rsidP="0083243E">
            <w:pPr>
              <w:jc w:val="center"/>
            </w:pPr>
            <w:r w:rsidRPr="0054285D">
              <w:t>0.25</w:t>
            </w:r>
          </w:p>
        </w:tc>
        <w:tc>
          <w:tcPr>
            <w:tcW w:w="830" w:type="dxa"/>
            <w:noWrap/>
            <w:hideMark/>
          </w:tcPr>
          <w:p w:rsidR="00A86CD7" w:rsidRPr="0054285D" w:rsidRDefault="00A86CD7" w:rsidP="0083243E">
            <w:pPr>
              <w:jc w:val="center"/>
            </w:pPr>
            <w:r w:rsidRPr="0054285D">
              <w:t>100.00</w:t>
            </w:r>
          </w:p>
        </w:tc>
      </w:tr>
    </w:tbl>
    <w:p w:rsidR="00AE7A4C" w:rsidRPr="0054285D" w:rsidRDefault="00AE7A4C" w:rsidP="00A86CD7">
      <w:pPr>
        <w:rPr>
          <w:rFonts w:ascii="Times New Roman" w:eastAsia="Calibri" w:hAnsi="Times New Roman" w:cs="Times New Roman"/>
        </w:rPr>
      </w:pPr>
    </w:p>
    <w:p w:rsidR="00A86CD7" w:rsidRPr="00A86CD7" w:rsidRDefault="00A86CD7" w:rsidP="00A86CD7">
      <w:pPr>
        <w:rPr>
          <w:rFonts w:ascii="Times New Roman" w:eastAsia="Calibri" w:hAnsi="Times New Roman" w:cs="Times New Roman"/>
        </w:rPr>
      </w:pPr>
      <w:bookmarkStart w:id="226" w:name="_Ref474079418"/>
      <w:bookmarkStart w:id="227" w:name="_Toc474486542"/>
      <w:bookmarkStart w:id="228" w:name="_Toc495852713"/>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35</w:t>
      </w:r>
      <w:r w:rsidR="009A0ED7" w:rsidRPr="0054285D">
        <w:rPr>
          <w:rFonts w:ascii="Times New Roman" w:hAnsi="Times New Roman" w:cs="Times New Roman"/>
        </w:rPr>
        <w:fldChar w:fldCharType="end"/>
      </w:r>
      <w:bookmarkEnd w:id="226"/>
      <w:r w:rsidRPr="0054285D">
        <w:rPr>
          <w:rFonts w:ascii="Times New Roman" w:hAnsi="Times New Roman" w:cs="Times New Roman"/>
        </w:rPr>
        <w:t xml:space="preserve">. </w:t>
      </w:r>
      <w:r w:rsidR="004A68F0" w:rsidRPr="0054285D">
        <w:rPr>
          <w:rFonts w:ascii="Times New Roman" w:eastAsia="Calibri" w:hAnsi="Times New Roman" w:cs="Times New Roman"/>
        </w:rPr>
        <w:t xml:space="preserve">Breakdown of electricity generation by fuel source from </w:t>
      </w:r>
      <w:r w:rsidR="004D2D91" w:rsidRPr="0054285D">
        <w:rPr>
          <w:rFonts w:ascii="Times New Roman" w:eastAsia="Calibri" w:hAnsi="Times New Roman" w:cs="Times New Roman"/>
        </w:rPr>
        <w:t>GaBi</w:t>
      </w:r>
      <w:r w:rsidR="004A68F0" w:rsidRPr="0054285D">
        <w:rPr>
          <w:rFonts w:ascii="Times New Roman" w:eastAsia="Calibri" w:hAnsi="Times New Roman" w:cs="Times New Roman"/>
        </w:rPr>
        <w:t xml:space="preserve"> and IEA databases for Norway.</w:t>
      </w:r>
      <w:bookmarkEnd w:id="227"/>
      <w:bookmarkEnd w:id="228"/>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134"/>
        <w:gridCol w:w="1418"/>
        <w:gridCol w:w="1276"/>
        <w:gridCol w:w="1559"/>
        <w:gridCol w:w="1134"/>
        <w:gridCol w:w="798"/>
        <w:gridCol w:w="1011"/>
        <w:gridCol w:w="925"/>
        <w:gridCol w:w="869"/>
        <w:gridCol w:w="791"/>
        <w:gridCol w:w="992"/>
      </w:tblGrid>
      <w:tr w:rsidR="00A86CD7" w:rsidRPr="004A75DA" w:rsidTr="00D2436E">
        <w:trPr>
          <w:trHeight w:val="300"/>
        </w:trPr>
        <w:tc>
          <w:tcPr>
            <w:tcW w:w="2268" w:type="dxa"/>
            <w:shd w:val="clear" w:color="auto" w:fill="auto"/>
            <w:noWrap/>
            <w:vAlign w:val="bottom"/>
            <w:hideMark/>
          </w:tcPr>
          <w:p w:rsidR="00A86CD7" w:rsidRPr="004A75DA" w:rsidRDefault="00A86CD7" w:rsidP="0083243E">
            <w:pPr>
              <w:spacing w:after="0" w:line="240" w:lineRule="auto"/>
              <w:rPr>
                <w:rFonts w:ascii="Times New Roman" w:eastAsia="Times New Roman" w:hAnsi="Times New Roman" w:cs="Times New Roman"/>
                <w:sz w:val="24"/>
                <w:szCs w:val="24"/>
              </w:rPr>
            </w:pPr>
          </w:p>
        </w:tc>
        <w:tc>
          <w:tcPr>
            <w:tcW w:w="1134"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Hard Coal</w:t>
            </w:r>
          </w:p>
        </w:tc>
        <w:tc>
          <w:tcPr>
            <w:tcW w:w="1418" w:type="dxa"/>
            <w:shd w:val="clear" w:color="000000" w:fill="FFFFFF"/>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Coal Gases</w:t>
            </w:r>
          </w:p>
        </w:tc>
        <w:tc>
          <w:tcPr>
            <w:tcW w:w="1276" w:type="dxa"/>
            <w:shd w:val="clear" w:color="000000" w:fill="FFFFFF"/>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Natural Gas</w:t>
            </w:r>
          </w:p>
        </w:tc>
        <w:tc>
          <w:tcPr>
            <w:tcW w:w="1559" w:type="dxa"/>
            <w:shd w:val="clear" w:color="000000" w:fill="FFFFFF"/>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Heavy Fuel Oil</w:t>
            </w:r>
          </w:p>
        </w:tc>
        <w:tc>
          <w:tcPr>
            <w:tcW w:w="1134" w:type="dxa"/>
            <w:shd w:val="clear" w:color="000000" w:fill="FFFFFF"/>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Biomass</w:t>
            </w:r>
          </w:p>
        </w:tc>
        <w:tc>
          <w:tcPr>
            <w:tcW w:w="798" w:type="dxa"/>
            <w:shd w:val="clear" w:color="000000" w:fill="FFFFFF"/>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Biogas</w:t>
            </w:r>
          </w:p>
        </w:tc>
        <w:tc>
          <w:tcPr>
            <w:tcW w:w="1011" w:type="dxa"/>
            <w:shd w:val="clear" w:color="000000" w:fill="FFFFFF"/>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Waste</w:t>
            </w:r>
          </w:p>
        </w:tc>
        <w:tc>
          <w:tcPr>
            <w:tcW w:w="925" w:type="dxa"/>
            <w:shd w:val="clear" w:color="000000" w:fill="FFFFFF"/>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Hydro</w:t>
            </w:r>
          </w:p>
        </w:tc>
        <w:tc>
          <w:tcPr>
            <w:tcW w:w="869"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Wind</w:t>
            </w:r>
          </w:p>
        </w:tc>
        <w:tc>
          <w:tcPr>
            <w:tcW w:w="791"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Other</w:t>
            </w:r>
          </w:p>
        </w:tc>
        <w:tc>
          <w:tcPr>
            <w:tcW w:w="992"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Total</w:t>
            </w:r>
          </w:p>
        </w:tc>
      </w:tr>
      <w:tr w:rsidR="00A86CD7" w:rsidRPr="004A75DA" w:rsidTr="00D2436E">
        <w:trPr>
          <w:trHeight w:val="300"/>
        </w:trPr>
        <w:tc>
          <w:tcPr>
            <w:tcW w:w="2268"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Norway (</w:t>
            </w:r>
            <w:r w:rsidR="004D2D91">
              <w:rPr>
                <w:rFonts w:ascii="Calibri" w:eastAsia="Times New Roman" w:hAnsi="Calibri" w:cs="Times New Roman"/>
                <w:color w:val="000000"/>
              </w:rPr>
              <w:t>GaBi</w:t>
            </w:r>
            <w:r>
              <w:rPr>
                <w:rFonts w:ascii="Calibri" w:eastAsia="Times New Roman" w:hAnsi="Calibri" w:cs="Times New Roman"/>
                <w:color w:val="000000"/>
              </w:rPr>
              <w:t xml:space="preserve">) 2011 </w:t>
            </w:r>
          </w:p>
        </w:tc>
        <w:tc>
          <w:tcPr>
            <w:tcW w:w="1134"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0.03</w:t>
            </w:r>
          </w:p>
        </w:tc>
        <w:tc>
          <w:tcPr>
            <w:tcW w:w="1418" w:type="dxa"/>
            <w:shd w:val="clear" w:color="000000" w:fill="FFFFFF"/>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0.06</w:t>
            </w:r>
          </w:p>
        </w:tc>
        <w:tc>
          <w:tcPr>
            <w:tcW w:w="1276" w:type="dxa"/>
            <w:shd w:val="clear" w:color="000000" w:fill="FFFFFF"/>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3.17</w:t>
            </w:r>
          </w:p>
        </w:tc>
        <w:tc>
          <w:tcPr>
            <w:tcW w:w="1559" w:type="dxa"/>
            <w:shd w:val="clear" w:color="000000" w:fill="FFFFFF"/>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0.02</w:t>
            </w:r>
          </w:p>
        </w:tc>
        <w:tc>
          <w:tcPr>
            <w:tcW w:w="1134" w:type="dxa"/>
            <w:shd w:val="clear" w:color="000000" w:fill="FFFFFF"/>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0.19</w:t>
            </w:r>
          </w:p>
        </w:tc>
        <w:tc>
          <w:tcPr>
            <w:tcW w:w="798"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0.01</w:t>
            </w:r>
          </w:p>
        </w:tc>
        <w:tc>
          <w:tcPr>
            <w:tcW w:w="1011"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0.18</w:t>
            </w:r>
          </w:p>
        </w:tc>
        <w:tc>
          <w:tcPr>
            <w:tcW w:w="925"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95.33</w:t>
            </w:r>
          </w:p>
        </w:tc>
        <w:tc>
          <w:tcPr>
            <w:tcW w:w="869"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1.01</w:t>
            </w:r>
          </w:p>
        </w:tc>
        <w:tc>
          <w:tcPr>
            <w:tcW w:w="791"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0.00</w:t>
            </w:r>
          </w:p>
        </w:tc>
        <w:tc>
          <w:tcPr>
            <w:tcW w:w="992"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100.00</w:t>
            </w:r>
          </w:p>
        </w:tc>
      </w:tr>
      <w:tr w:rsidR="00A86CD7" w:rsidRPr="004A75DA" w:rsidTr="00D2436E">
        <w:trPr>
          <w:trHeight w:val="300"/>
        </w:trPr>
        <w:tc>
          <w:tcPr>
            <w:tcW w:w="2268"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 xml:space="preserve">Norway (IEA) 2011 </w:t>
            </w:r>
          </w:p>
        </w:tc>
        <w:tc>
          <w:tcPr>
            <w:tcW w:w="1134"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0.10</w:t>
            </w:r>
          </w:p>
        </w:tc>
        <w:tc>
          <w:tcPr>
            <w:tcW w:w="1418"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0.00</w:t>
            </w:r>
          </w:p>
        </w:tc>
        <w:tc>
          <w:tcPr>
            <w:tcW w:w="1276"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3.21</w:t>
            </w:r>
          </w:p>
        </w:tc>
        <w:tc>
          <w:tcPr>
            <w:tcW w:w="1559"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0.02</w:t>
            </w:r>
          </w:p>
        </w:tc>
        <w:tc>
          <w:tcPr>
            <w:tcW w:w="1134"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2.03E-03</w:t>
            </w:r>
          </w:p>
        </w:tc>
        <w:tc>
          <w:tcPr>
            <w:tcW w:w="798"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0.00</w:t>
            </w:r>
          </w:p>
        </w:tc>
        <w:tc>
          <w:tcPr>
            <w:tcW w:w="1011"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1.78E-03</w:t>
            </w:r>
          </w:p>
        </w:tc>
        <w:tc>
          <w:tcPr>
            <w:tcW w:w="925"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95.24</w:t>
            </w:r>
          </w:p>
        </w:tc>
        <w:tc>
          <w:tcPr>
            <w:tcW w:w="869"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1.01</w:t>
            </w:r>
          </w:p>
        </w:tc>
        <w:tc>
          <w:tcPr>
            <w:tcW w:w="791"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0.05</w:t>
            </w:r>
          </w:p>
        </w:tc>
        <w:tc>
          <w:tcPr>
            <w:tcW w:w="992" w:type="dxa"/>
            <w:shd w:val="clear" w:color="auto" w:fill="auto"/>
            <w:noWrap/>
            <w:vAlign w:val="bottom"/>
            <w:hideMark/>
          </w:tcPr>
          <w:p w:rsidR="00A86CD7" w:rsidRPr="004A75DA" w:rsidRDefault="00A86CD7" w:rsidP="0083243E">
            <w:pPr>
              <w:spacing w:after="0" w:line="240" w:lineRule="auto"/>
              <w:jc w:val="center"/>
              <w:rPr>
                <w:rFonts w:ascii="Calibri" w:eastAsia="Times New Roman" w:hAnsi="Calibri" w:cs="Times New Roman"/>
                <w:color w:val="000000"/>
              </w:rPr>
            </w:pPr>
            <w:r w:rsidRPr="004A75DA">
              <w:rPr>
                <w:rFonts w:ascii="Calibri" w:eastAsia="Times New Roman" w:hAnsi="Calibri" w:cs="Times New Roman"/>
                <w:color w:val="000000"/>
              </w:rPr>
              <w:t>99.62</w:t>
            </w:r>
          </w:p>
        </w:tc>
      </w:tr>
    </w:tbl>
    <w:p w:rsidR="00A86CD7" w:rsidRDefault="00A86CD7" w:rsidP="00AE7A4C">
      <w:pPr>
        <w:spacing w:line="360" w:lineRule="auto"/>
        <w:rPr>
          <w:rFonts w:ascii="Times New Roman" w:eastAsia="Calibri" w:hAnsi="Times New Roman" w:cs="Times New Roman"/>
        </w:rPr>
        <w:sectPr w:rsidR="00A86CD7" w:rsidSect="00593B2F">
          <w:footerReference w:type="default" r:id="rId131"/>
          <w:pgSz w:w="16838" w:h="11906" w:orient="landscape"/>
          <w:pgMar w:top="1440" w:right="1440" w:bottom="1440" w:left="1440" w:header="708" w:footer="708" w:gutter="0"/>
          <w:cols w:space="708"/>
          <w:titlePg/>
          <w:docGrid w:linePitch="360"/>
        </w:sectPr>
      </w:pPr>
    </w:p>
    <w:p w:rsidR="00AE7A4C" w:rsidRPr="005B3139" w:rsidRDefault="00AE7A4C" w:rsidP="0044177D">
      <w:pPr>
        <w:pStyle w:val="Heading2"/>
        <w:rPr>
          <w:rFonts w:eastAsia="Calibri Light"/>
        </w:rPr>
      </w:pPr>
      <w:r w:rsidRPr="005B3139">
        <w:rPr>
          <w:rFonts w:eastAsia="Calibri Light"/>
        </w:rPr>
        <w:lastRenderedPageBreak/>
        <w:t>D. LCA Ferro-alloy Methodology</w:t>
      </w:r>
    </w:p>
    <w:p w:rsidR="00AE7A4C" w:rsidRPr="005B3139" w:rsidRDefault="0054285D" w:rsidP="0044177D">
      <w:pPr>
        <w:pStyle w:val="Heading3"/>
        <w:rPr>
          <w:rFonts w:eastAsia="Calibri Light"/>
        </w:rPr>
      </w:pPr>
      <w:r>
        <w:rPr>
          <w:rFonts w:eastAsia="Calibri Light"/>
        </w:rPr>
        <w:t xml:space="preserve">D1.Ferro-Boron </w:t>
      </w:r>
    </w:p>
    <w:p w:rsidR="00DF15CA" w:rsidRPr="0054285D" w:rsidRDefault="00F1296A" w:rsidP="00DF15CA">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Three </w:t>
      </w:r>
      <w:r w:rsidR="00AE7A4C" w:rsidRPr="0054285D">
        <w:rPr>
          <w:rFonts w:ascii="Times New Roman" w:eastAsia="Calibri" w:hAnsi="Times New Roman" w:cs="Times New Roman"/>
        </w:rPr>
        <w:t xml:space="preserve">data sources </w:t>
      </w:r>
      <w:r w:rsidR="00C11D11" w:rsidRPr="0054285D">
        <w:rPr>
          <w:rFonts w:ascii="Times New Roman" w:eastAsia="Calibri" w:hAnsi="Times New Roman" w:cs="Times New Roman"/>
          <w:noProof/>
        </w:rPr>
        <w:t>(thinkStep 2015; Gasik.M 2013; Probas 2004)</w:t>
      </w:r>
      <w:r w:rsidRPr="0054285D">
        <w:rPr>
          <w:rFonts w:ascii="Times New Roman" w:eastAsia="Calibri" w:hAnsi="Times New Roman" w:cs="Times New Roman"/>
        </w:rPr>
        <w:t xml:space="preserve"> were used for the construction of a ferroboron model. Primary data was obtained from </w:t>
      </w:r>
      <w:r w:rsidR="00C11D11" w:rsidRPr="0054285D">
        <w:rPr>
          <w:rFonts w:ascii="Times New Roman" w:eastAsia="Calibri" w:hAnsi="Times New Roman" w:cs="Times New Roman"/>
          <w:noProof/>
        </w:rPr>
        <w:t>(Gasik.M 2013)</w:t>
      </w:r>
      <w:r w:rsidR="00AE7A4C" w:rsidRPr="0054285D">
        <w:rPr>
          <w:rFonts w:ascii="Times New Roman" w:eastAsia="Calibri" w:hAnsi="Times New Roman" w:cs="Times New Roman"/>
        </w:rPr>
        <w:t xml:space="preserve"> in the form of an input/output table as shown by</w:t>
      </w:r>
      <w:r w:rsidR="003E7792" w:rsidRPr="0054285D">
        <w:rPr>
          <w:rFonts w:ascii="Times New Roman" w:eastAsia="Calibri" w:hAnsi="Times New Roman" w:cs="Times New Roman"/>
        </w:rPr>
        <w:t xml:space="preserve"> </w:t>
      </w:r>
      <w:r w:rsidR="00A6415F" w:rsidRPr="0054285D">
        <w:fldChar w:fldCharType="begin"/>
      </w:r>
      <w:r w:rsidR="00A6415F" w:rsidRPr="0054285D">
        <w:instrText xml:space="preserve"> REF _Ref468432607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36</w:t>
      </w:r>
      <w:r w:rsidR="00A6415F" w:rsidRPr="0054285D">
        <w:fldChar w:fldCharType="end"/>
      </w:r>
      <w:r w:rsidRPr="0054285D">
        <w:rPr>
          <w:rFonts w:ascii="Times New Roman" w:eastAsia="Calibri" w:hAnsi="Times New Roman" w:cs="Times New Roman"/>
        </w:rPr>
        <w:t>.</w:t>
      </w:r>
      <w:r w:rsidR="00DF15CA" w:rsidRPr="0054285D">
        <w:rPr>
          <w:rFonts w:ascii="Times New Roman" w:eastAsia="Calibri" w:hAnsi="Times New Roman" w:cs="Times New Roman"/>
        </w:rPr>
        <w:t xml:space="preserve"> This consisted of five</w:t>
      </w:r>
      <w:r w:rsidRPr="0054285D">
        <w:rPr>
          <w:rFonts w:ascii="Times New Roman" w:eastAsia="Calibri" w:hAnsi="Times New Roman" w:cs="Times New Roman"/>
        </w:rPr>
        <w:t xml:space="preserve"> primary inputs and ferroboron as the most important output. Slag and dust outputs were included for a complete mass balance.</w:t>
      </w:r>
    </w:p>
    <w:p w:rsidR="00F1296A" w:rsidRPr="0054285D" w:rsidRDefault="003E7792" w:rsidP="003E7792">
      <w:pPr>
        <w:rPr>
          <w:rFonts w:ascii="Times New Roman" w:eastAsia="Calibri" w:hAnsi="Times New Roman" w:cs="Times New Roman"/>
        </w:rPr>
      </w:pPr>
      <w:bookmarkStart w:id="229" w:name="_Ref468432607"/>
      <w:bookmarkStart w:id="230" w:name="_Toc474486543"/>
      <w:bookmarkStart w:id="231" w:name="_Toc495852714"/>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36</w:t>
      </w:r>
      <w:r w:rsidR="009A0ED7" w:rsidRPr="0054285D">
        <w:rPr>
          <w:rFonts w:ascii="Times New Roman" w:hAnsi="Times New Roman" w:cs="Times New Roman"/>
        </w:rPr>
        <w:fldChar w:fldCharType="end"/>
      </w:r>
      <w:bookmarkEnd w:id="229"/>
      <w:r w:rsidRPr="0054285D">
        <w:rPr>
          <w:rFonts w:ascii="Times New Roman" w:hAnsi="Times New Roman" w:cs="Times New Roman"/>
        </w:rPr>
        <w:t xml:space="preserve">. </w:t>
      </w:r>
      <w:r w:rsidR="00F1296A" w:rsidRPr="0054285D">
        <w:rPr>
          <w:rFonts w:ascii="Times New Roman" w:eastAsia="Calibri" w:hAnsi="Times New Roman" w:cs="Times New Roman"/>
        </w:rPr>
        <w:t>Inventory data for ferroboron</w:t>
      </w:r>
      <w:r w:rsidR="00AE7A4C" w:rsidRPr="0054285D">
        <w:rPr>
          <w:rFonts w:ascii="Times New Roman" w:eastAsia="Calibri" w:hAnsi="Times New Roman" w:cs="Times New Roman"/>
        </w:rPr>
        <w:t xml:space="preserve"> production</w:t>
      </w:r>
      <w:r w:rsidR="00A81705" w:rsidRPr="0054285D">
        <w:rPr>
          <w:rFonts w:ascii="Times New Roman" w:eastAsia="Calibri" w:hAnsi="Times New Roman" w:cs="Times New Roman"/>
        </w:rPr>
        <w:t xml:space="preserve"> </w:t>
      </w:r>
      <w:r w:rsidR="00F1296A" w:rsidRPr="0054285D">
        <w:rPr>
          <w:rFonts w:ascii="Times New Roman" w:eastAsia="Calibri" w:hAnsi="Times New Roman" w:cs="Times New Roman"/>
          <w:noProof/>
        </w:rPr>
        <w:t>(Gasik.M 2013)</w:t>
      </w:r>
      <w:r w:rsidR="00A81705" w:rsidRPr="0054285D">
        <w:rPr>
          <w:rFonts w:ascii="Times New Roman" w:eastAsia="Calibri" w:hAnsi="Times New Roman" w:cs="Times New Roman"/>
        </w:rPr>
        <w:t>.</w:t>
      </w:r>
      <w:bookmarkEnd w:id="230"/>
      <w:bookmarkEnd w:id="2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192"/>
        <w:gridCol w:w="1118"/>
        <w:gridCol w:w="3610"/>
        <w:gridCol w:w="1096"/>
      </w:tblGrid>
      <w:tr w:rsidR="000F39EA" w:rsidRPr="0054285D" w:rsidTr="00807E3F">
        <w:tc>
          <w:tcPr>
            <w:tcW w:w="1770"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Input Stream</w:t>
            </w:r>
          </w:p>
        </w:tc>
        <w:tc>
          <w:tcPr>
            <w:tcW w:w="620"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w:t>
            </w:r>
          </w:p>
        </w:tc>
        <w:tc>
          <w:tcPr>
            <w:tcW w:w="2002"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Output Stream</w:t>
            </w:r>
          </w:p>
        </w:tc>
        <w:tc>
          <w:tcPr>
            <w:tcW w:w="608"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w:t>
            </w:r>
          </w:p>
        </w:tc>
      </w:tr>
      <w:tr w:rsidR="000F39EA" w:rsidRPr="0054285D" w:rsidTr="00807E3F">
        <w:tc>
          <w:tcPr>
            <w:tcW w:w="1770"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Boric Anhydride (93% B</w:t>
            </w:r>
            <w:r w:rsidRPr="0054285D">
              <w:rPr>
                <w:rFonts w:ascii="Times New Roman" w:eastAsia="Calibri" w:hAnsi="Times New Roman" w:cs="Times New Roman"/>
                <w:vertAlign w:val="subscript"/>
              </w:rPr>
              <w:t>2</w:t>
            </w:r>
            <w:r w:rsidRPr="0054285D">
              <w:rPr>
                <w:rFonts w:ascii="Times New Roman" w:eastAsia="Calibri" w:hAnsi="Times New Roman" w:cs="Times New Roman"/>
              </w:rPr>
              <w:t>O</w:t>
            </w:r>
            <w:r w:rsidRPr="0054285D">
              <w:rPr>
                <w:rFonts w:ascii="Times New Roman" w:eastAsia="Calibri" w:hAnsi="Times New Roman" w:cs="Times New Roman"/>
                <w:vertAlign w:val="subscript"/>
              </w:rPr>
              <w:t>3</w:t>
            </w:r>
            <w:r w:rsidRPr="0054285D">
              <w:rPr>
                <w:rFonts w:ascii="Times New Roman" w:eastAsia="Calibri" w:hAnsi="Times New Roman" w:cs="Times New Roman"/>
              </w:rPr>
              <w:t>)</w:t>
            </w:r>
          </w:p>
        </w:tc>
        <w:tc>
          <w:tcPr>
            <w:tcW w:w="620"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1200.00</w:t>
            </w:r>
          </w:p>
        </w:tc>
        <w:tc>
          <w:tcPr>
            <w:tcW w:w="2002"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Fe-B ( 21.8% B)</w:t>
            </w:r>
          </w:p>
        </w:tc>
        <w:tc>
          <w:tcPr>
            <w:tcW w:w="608"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1095.00</w:t>
            </w:r>
          </w:p>
        </w:tc>
      </w:tr>
      <w:tr w:rsidR="000F39EA" w:rsidRPr="0054285D" w:rsidTr="00807E3F">
        <w:tc>
          <w:tcPr>
            <w:tcW w:w="1770"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Iron Ore (90% Fe</w:t>
            </w:r>
            <w:r w:rsidRPr="0054285D">
              <w:rPr>
                <w:rFonts w:ascii="Times New Roman" w:eastAsia="Calibri" w:hAnsi="Times New Roman" w:cs="Times New Roman"/>
                <w:vertAlign w:val="subscript"/>
              </w:rPr>
              <w:t>2</w:t>
            </w:r>
            <w:r w:rsidRPr="0054285D">
              <w:rPr>
                <w:rFonts w:ascii="Times New Roman" w:eastAsia="Calibri" w:hAnsi="Times New Roman" w:cs="Times New Roman"/>
              </w:rPr>
              <w:t>O</w:t>
            </w:r>
            <w:r w:rsidRPr="0054285D">
              <w:rPr>
                <w:rFonts w:ascii="Times New Roman" w:eastAsia="Calibri" w:hAnsi="Times New Roman" w:cs="Times New Roman"/>
                <w:vertAlign w:val="subscript"/>
              </w:rPr>
              <w:t>3</w:t>
            </w:r>
            <w:r w:rsidRPr="0054285D">
              <w:rPr>
                <w:rFonts w:ascii="Times New Roman" w:eastAsia="Calibri" w:hAnsi="Times New Roman" w:cs="Times New Roman"/>
              </w:rPr>
              <w:t>)</w:t>
            </w:r>
          </w:p>
        </w:tc>
        <w:tc>
          <w:tcPr>
            <w:tcW w:w="620"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1400.00</w:t>
            </w:r>
          </w:p>
        </w:tc>
        <w:tc>
          <w:tcPr>
            <w:tcW w:w="2002"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Tapped Slag (9.4% B</w:t>
            </w:r>
            <w:r w:rsidRPr="0054285D">
              <w:rPr>
                <w:rFonts w:ascii="Times New Roman" w:eastAsia="Calibri" w:hAnsi="Times New Roman" w:cs="Times New Roman"/>
                <w:vertAlign w:val="subscript"/>
              </w:rPr>
              <w:t>2</w:t>
            </w:r>
            <w:r w:rsidRPr="0054285D">
              <w:rPr>
                <w:rFonts w:ascii="Times New Roman" w:eastAsia="Calibri" w:hAnsi="Times New Roman" w:cs="Times New Roman"/>
              </w:rPr>
              <w:t>O</w:t>
            </w:r>
            <w:r w:rsidRPr="0054285D">
              <w:rPr>
                <w:rFonts w:ascii="Times New Roman" w:eastAsia="Calibri" w:hAnsi="Times New Roman" w:cs="Times New Roman"/>
                <w:vertAlign w:val="subscript"/>
              </w:rPr>
              <w:t>3</w:t>
            </w:r>
            <w:r w:rsidRPr="0054285D">
              <w:rPr>
                <w:rFonts w:ascii="Times New Roman" w:eastAsia="Calibri" w:hAnsi="Times New Roman" w:cs="Times New Roman"/>
              </w:rPr>
              <w:t>)</w:t>
            </w:r>
          </w:p>
        </w:tc>
        <w:tc>
          <w:tcPr>
            <w:tcW w:w="608"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1200.00</w:t>
            </w:r>
          </w:p>
        </w:tc>
      </w:tr>
      <w:tr w:rsidR="000F39EA" w:rsidRPr="0054285D" w:rsidTr="00807E3F">
        <w:tc>
          <w:tcPr>
            <w:tcW w:w="1770"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Aluminium (99.2% Al)</w:t>
            </w:r>
          </w:p>
        </w:tc>
        <w:tc>
          <w:tcPr>
            <w:tcW w:w="620"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1167.00</w:t>
            </w:r>
          </w:p>
        </w:tc>
        <w:tc>
          <w:tcPr>
            <w:tcW w:w="2002"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Furnace Slag (10.6% B</w:t>
            </w:r>
            <w:r w:rsidRPr="0054285D">
              <w:rPr>
                <w:rFonts w:ascii="Times New Roman" w:eastAsia="Calibri" w:hAnsi="Times New Roman" w:cs="Times New Roman"/>
                <w:vertAlign w:val="subscript"/>
              </w:rPr>
              <w:t>2</w:t>
            </w:r>
            <w:r w:rsidRPr="0054285D">
              <w:rPr>
                <w:rFonts w:ascii="Times New Roman" w:eastAsia="Calibri" w:hAnsi="Times New Roman" w:cs="Times New Roman"/>
              </w:rPr>
              <w:t>O</w:t>
            </w:r>
            <w:r w:rsidRPr="0054285D">
              <w:rPr>
                <w:rFonts w:ascii="Times New Roman" w:eastAsia="Calibri" w:hAnsi="Times New Roman" w:cs="Times New Roman"/>
                <w:vertAlign w:val="subscript"/>
              </w:rPr>
              <w:t>3</w:t>
            </w:r>
            <w:r w:rsidRPr="0054285D">
              <w:rPr>
                <w:rFonts w:ascii="Times New Roman" w:eastAsia="Calibri" w:hAnsi="Times New Roman" w:cs="Times New Roman"/>
              </w:rPr>
              <w:t>)</w:t>
            </w:r>
          </w:p>
        </w:tc>
        <w:tc>
          <w:tcPr>
            <w:tcW w:w="608"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1858.00</w:t>
            </w:r>
          </w:p>
        </w:tc>
      </w:tr>
      <w:tr w:rsidR="000F39EA" w:rsidRPr="0054285D" w:rsidTr="00807E3F">
        <w:tc>
          <w:tcPr>
            <w:tcW w:w="1770"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Lime (88% CaO)</w:t>
            </w:r>
          </w:p>
        </w:tc>
        <w:tc>
          <w:tcPr>
            <w:tcW w:w="620"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340.00</w:t>
            </w:r>
          </w:p>
        </w:tc>
        <w:tc>
          <w:tcPr>
            <w:tcW w:w="2002"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Bottom Slag (12.7% B</w:t>
            </w:r>
            <w:r w:rsidRPr="0054285D">
              <w:rPr>
                <w:rFonts w:ascii="Times New Roman" w:eastAsia="Calibri" w:hAnsi="Times New Roman" w:cs="Times New Roman"/>
                <w:vertAlign w:val="subscript"/>
              </w:rPr>
              <w:t>2</w:t>
            </w:r>
            <w:r w:rsidRPr="0054285D">
              <w:rPr>
                <w:rFonts w:ascii="Times New Roman" w:eastAsia="Calibri" w:hAnsi="Times New Roman" w:cs="Times New Roman"/>
              </w:rPr>
              <w:t>O</w:t>
            </w:r>
            <w:r w:rsidRPr="0054285D">
              <w:rPr>
                <w:rFonts w:ascii="Times New Roman" w:eastAsia="Calibri" w:hAnsi="Times New Roman" w:cs="Times New Roman"/>
                <w:vertAlign w:val="subscript"/>
              </w:rPr>
              <w:t>3</w:t>
            </w:r>
            <w:r w:rsidRPr="0054285D">
              <w:rPr>
                <w:rFonts w:ascii="Times New Roman" w:eastAsia="Calibri" w:hAnsi="Times New Roman" w:cs="Times New Roman"/>
              </w:rPr>
              <w:t>)</w:t>
            </w:r>
          </w:p>
        </w:tc>
        <w:tc>
          <w:tcPr>
            <w:tcW w:w="608"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167.00</w:t>
            </w:r>
          </w:p>
        </w:tc>
      </w:tr>
      <w:tr w:rsidR="000F39EA" w:rsidRPr="0054285D" w:rsidTr="00807E3F">
        <w:tc>
          <w:tcPr>
            <w:tcW w:w="1770"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Magnesite Brick Use</w:t>
            </w:r>
          </w:p>
        </w:tc>
        <w:tc>
          <w:tcPr>
            <w:tcW w:w="620"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265.00</w:t>
            </w:r>
          </w:p>
        </w:tc>
        <w:tc>
          <w:tcPr>
            <w:tcW w:w="2002"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Dust in gas ducts (28.0% B</w:t>
            </w:r>
            <w:r w:rsidRPr="0054285D">
              <w:rPr>
                <w:rFonts w:ascii="Times New Roman" w:eastAsia="Calibri" w:hAnsi="Times New Roman" w:cs="Times New Roman"/>
                <w:vertAlign w:val="subscript"/>
              </w:rPr>
              <w:t>2</w:t>
            </w:r>
            <w:r w:rsidRPr="0054285D">
              <w:rPr>
                <w:rFonts w:ascii="Times New Roman" w:eastAsia="Calibri" w:hAnsi="Times New Roman" w:cs="Times New Roman"/>
              </w:rPr>
              <w:t>O</w:t>
            </w:r>
            <w:r w:rsidRPr="0054285D">
              <w:rPr>
                <w:rFonts w:ascii="Times New Roman" w:eastAsia="Calibri" w:hAnsi="Times New Roman" w:cs="Times New Roman"/>
                <w:vertAlign w:val="subscript"/>
              </w:rPr>
              <w:t>3</w:t>
            </w:r>
            <w:r w:rsidRPr="0054285D">
              <w:rPr>
                <w:rFonts w:ascii="Times New Roman" w:eastAsia="Calibri" w:hAnsi="Times New Roman" w:cs="Times New Roman"/>
              </w:rPr>
              <w:t>)</w:t>
            </w:r>
          </w:p>
        </w:tc>
        <w:tc>
          <w:tcPr>
            <w:tcW w:w="608"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30.00</w:t>
            </w:r>
          </w:p>
        </w:tc>
      </w:tr>
      <w:tr w:rsidR="000F39EA" w:rsidRPr="0054285D" w:rsidTr="00807E3F">
        <w:tc>
          <w:tcPr>
            <w:tcW w:w="1770"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Total</w:t>
            </w:r>
          </w:p>
        </w:tc>
        <w:tc>
          <w:tcPr>
            <w:tcW w:w="620"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4372.00</w:t>
            </w:r>
          </w:p>
        </w:tc>
        <w:tc>
          <w:tcPr>
            <w:tcW w:w="2002"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Total</w:t>
            </w:r>
          </w:p>
        </w:tc>
        <w:tc>
          <w:tcPr>
            <w:tcW w:w="608" w:type="pct"/>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4350.00</w:t>
            </w:r>
          </w:p>
        </w:tc>
      </w:tr>
    </w:tbl>
    <w:p w:rsidR="00DF15CA" w:rsidRPr="0054285D" w:rsidRDefault="00DF15CA" w:rsidP="00DF15CA">
      <w:pPr>
        <w:spacing w:after="0" w:line="360" w:lineRule="auto"/>
        <w:ind w:firstLine="720"/>
        <w:jc w:val="both"/>
        <w:rPr>
          <w:rFonts w:ascii="Times New Roman" w:eastAsia="Calibri" w:hAnsi="Times New Roman" w:cs="Times New Roman"/>
        </w:rPr>
      </w:pPr>
    </w:p>
    <w:p w:rsidR="00A81705" w:rsidRPr="0054285D" w:rsidRDefault="00A81705" w:rsidP="00DF15CA">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Construction of the ferroboron model involved entering the input data into </w:t>
      </w:r>
      <w:r w:rsidR="00AE7A4C" w:rsidRPr="0054285D">
        <w:rPr>
          <w:rFonts w:ascii="Times New Roman" w:eastAsia="Calibri" w:hAnsi="Times New Roman" w:cs="Times New Roman"/>
        </w:rPr>
        <w:t>a new p</w:t>
      </w:r>
      <w:r w:rsidRPr="0054285D">
        <w:rPr>
          <w:rFonts w:ascii="Times New Roman" w:eastAsia="Calibri" w:hAnsi="Times New Roman" w:cs="Times New Roman"/>
        </w:rPr>
        <w:t xml:space="preserve">rocess within </w:t>
      </w:r>
      <w:r w:rsidR="004D2D91" w:rsidRPr="0054285D">
        <w:rPr>
          <w:rFonts w:ascii="Times New Roman" w:eastAsia="Calibri" w:hAnsi="Times New Roman" w:cs="Times New Roman"/>
        </w:rPr>
        <w:t>GaBi</w:t>
      </w:r>
      <w:r w:rsidRPr="0054285D">
        <w:rPr>
          <w:rFonts w:ascii="Times New Roman" w:eastAsia="Calibri" w:hAnsi="Times New Roman" w:cs="Times New Roman"/>
        </w:rPr>
        <w:t xml:space="preserve"> called ferro</w:t>
      </w:r>
      <w:r w:rsidR="00AE7A4C" w:rsidRPr="0054285D">
        <w:rPr>
          <w:rFonts w:ascii="Times New Roman" w:eastAsia="Calibri" w:hAnsi="Times New Roman" w:cs="Times New Roman"/>
        </w:rPr>
        <w:t xml:space="preserve">boron as flows. For each flow, the auxiliary process was located in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and connecte</w:t>
      </w:r>
      <w:r w:rsidRPr="0054285D">
        <w:rPr>
          <w:rFonts w:ascii="Times New Roman" w:eastAsia="Calibri" w:hAnsi="Times New Roman" w:cs="Times New Roman"/>
        </w:rPr>
        <w:t>d to the central process, ferro</w:t>
      </w:r>
      <w:r w:rsidR="00AE7A4C" w:rsidRPr="0054285D">
        <w:rPr>
          <w:rFonts w:ascii="Times New Roman" w:eastAsia="Calibri" w:hAnsi="Times New Roman" w:cs="Times New Roman"/>
        </w:rPr>
        <w:t>boron, as depicted by</w:t>
      </w:r>
      <w:r w:rsidR="008941EB" w:rsidRPr="0054285D">
        <w:rPr>
          <w:rFonts w:ascii="Times New Roman" w:eastAsia="Calibri" w:hAnsi="Times New Roman" w:cs="Times New Roman"/>
        </w:rPr>
        <w:t xml:space="preserve"> </w:t>
      </w:r>
      <w:r w:rsidR="00A6415F" w:rsidRPr="0054285D">
        <w:fldChar w:fldCharType="begin"/>
      </w:r>
      <w:r w:rsidR="00A6415F" w:rsidRPr="0054285D">
        <w:instrText xml:space="preserve"> REF _Ref468432892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59</w:t>
      </w:r>
      <w:r w:rsidR="00A6415F" w:rsidRPr="0054285D">
        <w:fldChar w:fldCharType="end"/>
      </w:r>
      <w:r w:rsidR="00AE7A4C" w:rsidRPr="0054285D">
        <w:rPr>
          <w:rFonts w:ascii="Times New Roman" w:eastAsia="Calibri" w:hAnsi="Times New Roman" w:cs="Times New Roman"/>
        </w:rPr>
        <w:t xml:space="preserve">. However the process for the input ‘boric anhydride’ could not be located in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and thus boric oxide was used as an alternative.</w:t>
      </w:r>
      <w:r w:rsidRPr="0054285D">
        <w:rPr>
          <w:rFonts w:ascii="Times New Roman" w:eastAsia="Calibri" w:hAnsi="Times New Roman" w:cs="Times New Roman"/>
        </w:rPr>
        <w:t xml:space="preserve"> </w:t>
      </w:r>
      <w:r w:rsidR="00AE7A4C" w:rsidRPr="0054285D">
        <w:rPr>
          <w:rFonts w:ascii="Times New Roman" w:eastAsia="Calibri" w:hAnsi="Times New Roman" w:cs="Times New Roman"/>
        </w:rPr>
        <w:t>However</w:t>
      </w:r>
      <w:r w:rsidRPr="0054285D">
        <w:rPr>
          <w:rFonts w:ascii="Times New Roman" w:eastAsia="Calibri" w:hAnsi="Times New Roman" w:cs="Times New Roman"/>
        </w:rPr>
        <w:t>,</w:t>
      </w:r>
      <w:r w:rsidR="00AE7A4C" w:rsidRPr="0054285D">
        <w:rPr>
          <w:rFonts w:ascii="Times New Roman" w:eastAsia="Calibri" w:hAnsi="Times New Roman" w:cs="Times New Roman"/>
        </w:rPr>
        <w:t xml:space="preserve"> the documentation associated with </w:t>
      </w:r>
      <w:r w:rsidRPr="0054285D">
        <w:rPr>
          <w:rFonts w:ascii="Times New Roman" w:eastAsia="Calibri" w:hAnsi="Times New Roman" w:cs="Times New Roman"/>
        </w:rPr>
        <w:t xml:space="preserve">boric oxide </w:t>
      </w:r>
      <w:r w:rsidR="00AE7A4C" w:rsidRPr="0054285D">
        <w:rPr>
          <w:rFonts w:ascii="Times New Roman" w:eastAsia="Calibri" w:hAnsi="Times New Roman" w:cs="Times New Roman"/>
        </w:rPr>
        <w:t xml:space="preserve">had little or no description including percentage of boric oxide content. </w:t>
      </w:r>
      <w:r w:rsidRPr="0054285D">
        <w:rPr>
          <w:rFonts w:ascii="Times New Roman" w:eastAsia="Calibri" w:hAnsi="Times New Roman" w:cs="Times New Roman"/>
        </w:rPr>
        <w:t xml:space="preserve">To evaluate this, an alternative process called ‘borates’ was created using data from </w:t>
      </w:r>
      <w:r w:rsidRPr="0054285D">
        <w:rPr>
          <w:rFonts w:ascii="Times New Roman" w:eastAsia="Calibri" w:hAnsi="Times New Roman" w:cs="Times New Roman"/>
          <w:noProof/>
        </w:rPr>
        <w:t>(Probas 2004)</w:t>
      </w:r>
      <w:r w:rsidRPr="0054285D">
        <w:rPr>
          <w:rFonts w:ascii="Times New Roman" w:eastAsia="Calibri" w:hAnsi="Times New Roman" w:cs="Times New Roman"/>
        </w:rPr>
        <w:t>.</w:t>
      </w:r>
    </w:p>
    <w:p w:rsidR="00AE7A4C" w:rsidRPr="0054285D" w:rsidRDefault="00AE7A4C" w:rsidP="00DF15CA">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The borates process was constructed using qualitative data in the form of resources as its main input and air and wate</w:t>
      </w:r>
      <w:r w:rsidR="00A81705" w:rsidRPr="0054285D">
        <w:rPr>
          <w:rFonts w:ascii="Times New Roman" w:eastAsia="Calibri" w:hAnsi="Times New Roman" w:cs="Times New Roman"/>
        </w:rPr>
        <w:t>r emissions as its main outputs, with supplementary quantitative data. A summary of the</w:t>
      </w:r>
      <w:r w:rsidRPr="0054285D">
        <w:rPr>
          <w:rFonts w:ascii="Times New Roman" w:eastAsia="Calibri" w:hAnsi="Times New Roman" w:cs="Times New Roman"/>
        </w:rPr>
        <w:t xml:space="preserve"> input and output data</w:t>
      </w:r>
      <w:r w:rsidR="00A81705" w:rsidRPr="0054285D">
        <w:rPr>
          <w:rFonts w:ascii="Times New Roman" w:eastAsia="Calibri" w:hAnsi="Times New Roman" w:cs="Times New Roman"/>
        </w:rPr>
        <w:t xml:space="preserve"> used to create the</w:t>
      </w:r>
      <w:r w:rsidRPr="0054285D">
        <w:rPr>
          <w:rFonts w:ascii="Times New Roman" w:eastAsia="Calibri" w:hAnsi="Times New Roman" w:cs="Times New Roman"/>
        </w:rPr>
        <w:t xml:space="preserve"> borates</w:t>
      </w:r>
      <w:r w:rsidR="00A81705" w:rsidRPr="0054285D">
        <w:rPr>
          <w:rFonts w:ascii="Times New Roman" w:eastAsia="Calibri" w:hAnsi="Times New Roman" w:cs="Times New Roman"/>
        </w:rPr>
        <w:t xml:space="preserve"> process</w:t>
      </w:r>
      <w:r w:rsidRPr="0054285D">
        <w:rPr>
          <w:rFonts w:ascii="Times New Roman" w:eastAsia="Calibri" w:hAnsi="Times New Roman" w:cs="Times New Roman"/>
        </w:rPr>
        <w:t xml:space="preserve"> can be seen in </w:t>
      </w:r>
      <w:r w:rsidR="00A6415F" w:rsidRPr="0054285D">
        <w:fldChar w:fldCharType="begin"/>
      </w:r>
      <w:r w:rsidR="00A6415F" w:rsidRPr="0054285D">
        <w:instrText xml:space="preserve"> REF _Ref468432966 \h  \* MERGEFORMAT </w:instrText>
      </w:r>
      <w:r w:rsidR="00A6415F" w:rsidRPr="0054285D">
        <w:fldChar w:fldCharType="separate"/>
      </w:r>
      <w:r w:rsidR="009F5483" w:rsidRPr="009F5483">
        <w:rPr>
          <w:rFonts w:ascii="Times New Roman" w:hAnsi="Times New Roman" w:cs="Times New Roman"/>
        </w:rPr>
        <w:t>Table 37</w:t>
      </w:r>
      <w:r w:rsidR="00A6415F" w:rsidRPr="0054285D">
        <w:fldChar w:fldCharType="end"/>
      </w:r>
      <w:r w:rsidRPr="0054285D">
        <w:rPr>
          <w:rFonts w:ascii="Times New Roman" w:eastAsia="Calibri" w:hAnsi="Times New Roman" w:cs="Times New Roman"/>
        </w:rPr>
        <w:t xml:space="preserve"> and </w:t>
      </w:r>
      <w:r w:rsidR="00A6415F" w:rsidRPr="00D2436E">
        <w:fldChar w:fldCharType="begin"/>
      </w:r>
      <w:r w:rsidR="00A6415F" w:rsidRPr="00D2436E">
        <w:instrText xml:space="preserve"> REF _Ref468432997 \h  \* MERGEFORMAT </w:instrText>
      </w:r>
      <w:r w:rsidR="00A6415F" w:rsidRPr="00D2436E">
        <w:fldChar w:fldCharType="separate"/>
      </w:r>
      <w:r w:rsidR="009F5483" w:rsidRPr="00D2436E">
        <w:rPr>
          <w:rFonts w:ascii="Times New Roman" w:hAnsi="Times New Roman" w:cs="Times New Roman"/>
          <w:noProof/>
        </w:rPr>
        <w:t>Table</w:t>
      </w:r>
      <w:r w:rsidR="009F5483" w:rsidRPr="00D2436E">
        <w:rPr>
          <w:rFonts w:ascii="Times New Roman" w:hAnsi="Times New Roman" w:cs="Times New Roman"/>
        </w:rPr>
        <w:t xml:space="preserve"> </w:t>
      </w:r>
      <w:r w:rsidR="009F5483" w:rsidRPr="00D2436E">
        <w:rPr>
          <w:rFonts w:ascii="Times New Roman" w:hAnsi="Times New Roman" w:cs="Times New Roman"/>
          <w:noProof/>
        </w:rPr>
        <w:t>38</w:t>
      </w:r>
      <w:r w:rsidR="00A6415F" w:rsidRPr="00D2436E">
        <w:fldChar w:fldCharType="end"/>
      </w:r>
      <w:r w:rsidRPr="0054285D">
        <w:rPr>
          <w:rFonts w:ascii="Times New Roman" w:eastAsia="Calibri" w:hAnsi="Times New Roman" w:cs="Times New Roman"/>
          <w:i/>
        </w:rPr>
        <w:t xml:space="preserve"> </w:t>
      </w:r>
      <w:r w:rsidRPr="0054285D">
        <w:rPr>
          <w:rFonts w:ascii="Times New Roman" w:eastAsia="Calibri" w:hAnsi="Times New Roman" w:cs="Times New Roman"/>
        </w:rPr>
        <w:t>respectively.</w:t>
      </w:r>
    </w:p>
    <w:p w:rsidR="003E7792" w:rsidRPr="0054285D" w:rsidRDefault="003E7792" w:rsidP="003E7792">
      <w:pPr>
        <w:spacing w:after="0" w:line="360" w:lineRule="auto"/>
        <w:ind w:firstLine="720"/>
        <w:contextualSpacing/>
        <w:jc w:val="both"/>
        <w:rPr>
          <w:rFonts w:ascii="Times New Roman" w:eastAsia="Calibri" w:hAnsi="Times New Roman" w:cs="Times New Roman"/>
        </w:rPr>
      </w:pPr>
    </w:p>
    <w:p w:rsidR="003E7792" w:rsidRPr="0054285D" w:rsidRDefault="003E7792" w:rsidP="003E7792">
      <w:pPr>
        <w:spacing w:after="0" w:line="360" w:lineRule="auto"/>
        <w:ind w:firstLine="720"/>
        <w:contextualSpacing/>
        <w:jc w:val="both"/>
        <w:rPr>
          <w:rFonts w:ascii="Times New Roman" w:eastAsia="Calibri" w:hAnsi="Times New Roman" w:cs="Times New Roman"/>
        </w:rPr>
      </w:pPr>
    </w:p>
    <w:p w:rsidR="003E7792" w:rsidRPr="0054285D" w:rsidRDefault="003E7792" w:rsidP="003E7792">
      <w:pPr>
        <w:spacing w:after="0" w:line="360" w:lineRule="auto"/>
        <w:ind w:firstLine="720"/>
        <w:contextualSpacing/>
        <w:jc w:val="both"/>
        <w:rPr>
          <w:rFonts w:ascii="Times New Roman" w:eastAsia="Calibri" w:hAnsi="Times New Roman" w:cs="Times New Roman"/>
        </w:rPr>
      </w:pPr>
    </w:p>
    <w:p w:rsidR="003E7792" w:rsidRPr="0054285D" w:rsidRDefault="003E7792" w:rsidP="003E7792">
      <w:pPr>
        <w:spacing w:after="0" w:line="360" w:lineRule="auto"/>
        <w:ind w:firstLine="720"/>
        <w:contextualSpacing/>
        <w:jc w:val="both"/>
        <w:rPr>
          <w:rFonts w:ascii="Times New Roman" w:eastAsia="Calibri" w:hAnsi="Times New Roman" w:cs="Times New Roman"/>
        </w:rPr>
      </w:pPr>
    </w:p>
    <w:p w:rsidR="003E7792" w:rsidRPr="0054285D" w:rsidRDefault="003E7792" w:rsidP="003E7792">
      <w:pPr>
        <w:spacing w:after="0" w:line="360" w:lineRule="auto"/>
        <w:ind w:firstLine="720"/>
        <w:jc w:val="both"/>
        <w:rPr>
          <w:rFonts w:ascii="Times New Roman" w:eastAsia="Calibri" w:hAnsi="Times New Roman" w:cs="Times New Roman"/>
        </w:rPr>
      </w:pPr>
    </w:p>
    <w:p w:rsidR="003E7792" w:rsidRPr="0054285D" w:rsidRDefault="003E7792" w:rsidP="003E7792">
      <w:pPr>
        <w:spacing w:after="0" w:line="360" w:lineRule="auto"/>
        <w:ind w:firstLine="720"/>
        <w:jc w:val="both"/>
        <w:rPr>
          <w:rFonts w:ascii="Times New Roman" w:eastAsia="Calibri" w:hAnsi="Times New Roman" w:cs="Times New Roman"/>
        </w:rPr>
      </w:pPr>
    </w:p>
    <w:p w:rsidR="0082627B" w:rsidRPr="0054285D" w:rsidRDefault="0082627B" w:rsidP="003E7792">
      <w:pPr>
        <w:spacing w:after="0" w:line="360" w:lineRule="auto"/>
        <w:ind w:firstLine="720"/>
        <w:jc w:val="both"/>
        <w:rPr>
          <w:rFonts w:ascii="Times New Roman" w:eastAsia="Calibri" w:hAnsi="Times New Roman" w:cs="Times New Roman"/>
        </w:rPr>
      </w:pPr>
    </w:p>
    <w:p w:rsidR="0082627B" w:rsidRPr="0054285D" w:rsidRDefault="0082627B" w:rsidP="003E7792">
      <w:pPr>
        <w:spacing w:after="0" w:line="360" w:lineRule="auto"/>
        <w:ind w:firstLine="720"/>
        <w:jc w:val="both"/>
        <w:rPr>
          <w:rFonts w:ascii="Times New Roman" w:eastAsia="Calibri" w:hAnsi="Times New Roman" w:cs="Times New Roman"/>
        </w:rPr>
      </w:pPr>
    </w:p>
    <w:p w:rsidR="0082627B" w:rsidRPr="0054285D" w:rsidRDefault="0082627B" w:rsidP="003E7792">
      <w:pPr>
        <w:spacing w:after="0" w:line="360" w:lineRule="auto"/>
        <w:ind w:firstLine="720"/>
        <w:jc w:val="both"/>
        <w:rPr>
          <w:rFonts w:ascii="Times New Roman" w:eastAsia="Calibri" w:hAnsi="Times New Roman" w:cs="Times New Roman"/>
        </w:rPr>
      </w:pPr>
    </w:p>
    <w:p w:rsidR="0082627B" w:rsidRPr="0054285D" w:rsidRDefault="0082627B" w:rsidP="003E7792">
      <w:pPr>
        <w:spacing w:after="0" w:line="360" w:lineRule="auto"/>
        <w:ind w:firstLine="720"/>
        <w:jc w:val="both"/>
        <w:rPr>
          <w:rFonts w:ascii="Times New Roman" w:eastAsia="Calibri" w:hAnsi="Times New Roman" w:cs="Times New Roman"/>
        </w:rPr>
      </w:pPr>
    </w:p>
    <w:p w:rsidR="0082627B" w:rsidRPr="0054285D" w:rsidRDefault="003E7792" w:rsidP="0056468D">
      <w:pPr>
        <w:pStyle w:val="Caption"/>
        <w:rPr>
          <w:rFonts w:ascii="Times New Roman" w:hAnsi="Times New Roman" w:cs="Times New Roman"/>
          <w:i w:val="0"/>
          <w:color w:val="auto"/>
          <w:sz w:val="22"/>
        </w:rPr>
      </w:pPr>
      <w:bookmarkStart w:id="232" w:name="_Ref468432966"/>
      <w:bookmarkStart w:id="233" w:name="_Toc474486544"/>
      <w:bookmarkStart w:id="234" w:name="_Toc495852715"/>
      <w:r w:rsidRPr="0054285D">
        <w:rPr>
          <w:rFonts w:ascii="Times New Roman" w:hAnsi="Times New Roman" w:cs="Times New Roman"/>
          <w:i w:val="0"/>
          <w:color w:val="auto"/>
          <w:sz w:val="22"/>
        </w:rPr>
        <w:lastRenderedPageBreak/>
        <w:t xml:space="preserve">Table </w:t>
      </w:r>
      <w:r w:rsidR="009A0ED7" w:rsidRPr="0054285D">
        <w:rPr>
          <w:rFonts w:ascii="Times New Roman" w:hAnsi="Times New Roman" w:cs="Times New Roman"/>
          <w:i w:val="0"/>
          <w:color w:val="auto"/>
          <w:sz w:val="22"/>
        </w:rPr>
        <w:fldChar w:fldCharType="begin"/>
      </w:r>
      <w:r w:rsidRPr="0054285D">
        <w:rPr>
          <w:rFonts w:ascii="Times New Roman" w:hAnsi="Times New Roman" w:cs="Times New Roman"/>
          <w:i w:val="0"/>
          <w:color w:val="auto"/>
          <w:sz w:val="22"/>
        </w:rPr>
        <w:instrText xml:space="preserve"> SEQ Table \* ARABIC </w:instrText>
      </w:r>
      <w:r w:rsidR="009A0ED7" w:rsidRPr="0054285D">
        <w:rPr>
          <w:rFonts w:ascii="Times New Roman" w:hAnsi="Times New Roman" w:cs="Times New Roman"/>
          <w:i w:val="0"/>
          <w:color w:val="auto"/>
          <w:sz w:val="22"/>
        </w:rPr>
        <w:fldChar w:fldCharType="separate"/>
      </w:r>
      <w:r w:rsidR="009F5483">
        <w:rPr>
          <w:rFonts w:ascii="Times New Roman" w:hAnsi="Times New Roman" w:cs="Times New Roman"/>
          <w:i w:val="0"/>
          <w:noProof/>
          <w:color w:val="auto"/>
          <w:sz w:val="22"/>
        </w:rPr>
        <w:t>37</w:t>
      </w:r>
      <w:r w:rsidR="009A0ED7" w:rsidRPr="0054285D">
        <w:rPr>
          <w:rFonts w:ascii="Times New Roman" w:hAnsi="Times New Roman" w:cs="Times New Roman"/>
          <w:i w:val="0"/>
          <w:color w:val="auto"/>
          <w:sz w:val="22"/>
        </w:rPr>
        <w:fldChar w:fldCharType="end"/>
      </w:r>
      <w:bookmarkEnd w:id="232"/>
      <w:r w:rsidRPr="0054285D">
        <w:rPr>
          <w:rFonts w:ascii="Times New Roman" w:hAnsi="Times New Roman" w:cs="Times New Roman"/>
          <w:i w:val="0"/>
          <w:color w:val="auto"/>
          <w:sz w:val="22"/>
        </w:rPr>
        <w:t xml:space="preserve">. </w:t>
      </w:r>
      <w:r w:rsidR="00AE7A4C" w:rsidRPr="0054285D">
        <w:rPr>
          <w:rFonts w:ascii="Times New Roman" w:hAnsi="Times New Roman" w:cs="Times New Roman"/>
          <w:i w:val="0"/>
          <w:color w:val="auto"/>
          <w:sz w:val="22"/>
        </w:rPr>
        <w:t>Inventory dat</w:t>
      </w:r>
      <w:r w:rsidR="00A81705" w:rsidRPr="0054285D">
        <w:rPr>
          <w:rFonts w:ascii="Times New Roman" w:hAnsi="Times New Roman" w:cs="Times New Roman"/>
          <w:i w:val="0"/>
          <w:color w:val="auto"/>
          <w:sz w:val="22"/>
        </w:rPr>
        <w:t xml:space="preserve">a of inputs for borates process </w:t>
      </w:r>
      <w:r w:rsidR="00A81705" w:rsidRPr="0054285D">
        <w:rPr>
          <w:rFonts w:ascii="Times New Roman" w:hAnsi="Times New Roman" w:cs="Times New Roman"/>
          <w:i w:val="0"/>
          <w:noProof/>
          <w:color w:val="auto"/>
          <w:sz w:val="22"/>
        </w:rPr>
        <w:t>(Probas 2004)</w:t>
      </w:r>
      <w:r w:rsidR="00A81705" w:rsidRPr="0054285D">
        <w:rPr>
          <w:rFonts w:ascii="Times New Roman" w:hAnsi="Times New Roman" w:cs="Times New Roman"/>
          <w:i w:val="0"/>
          <w:color w:val="auto"/>
          <w:sz w:val="22"/>
        </w:rPr>
        <w:t>.</w:t>
      </w:r>
      <w:bookmarkEnd w:id="233"/>
      <w:bookmarkEnd w:id="234"/>
    </w:p>
    <w:tbl>
      <w:tblPr>
        <w:tblStyle w:val="TableGrid"/>
        <w:tblW w:w="0" w:type="auto"/>
        <w:tblLook w:val="04A0" w:firstRow="1" w:lastRow="0" w:firstColumn="1" w:lastColumn="0" w:noHBand="0" w:noVBand="1"/>
      </w:tblPr>
      <w:tblGrid>
        <w:gridCol w:w="5216"/>
        <w:gridCol w:w="1878"/>
        <w:gridCol w:w="1041"/>
        <w:gridCol w:w="881"/>
      </w:tblGrid>
      <w:tr w:rsidR="0005211E" w:rsidRPr="0054285D" w:rsidTr="0005211E">
        <w:trPr>
          <w:trHeight w:val="300"/>
        </w:trPr>
        <w:tc>
          <w:tcPr>
            <w:tcW w:w="83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Flow</w:t>
            </w:r>
          </w:p>
        </w:tc>
        <w:tc>
          <w:tcPr>
            <w:tcW w:w="262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Quantity</w:t>
            </w:r>
          </w:p>
        </w:tc>
        <w:tc>
          <w:tcPr>
            <w:tcW w:w="100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Amount</w:t>
            </w:r>
          </w:p>
        </w:tc>
        <w:tc>
          <w:tcPr>
            <w:tcW w:w="9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Unit</w:t>
            </w:r>
          </w:p>
        </w:tc>
      </w:tr>
      <w:tr w:rsidR="0005211E" w:rsidRPr="0054285D" w:rsidTr="0005211E">
        <w:trPr>
          <w:trHeight w:val="300"/>
        </w:trPr>
        <w:tc>
          <w:tcPr>
            <w:tcW w:w="83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Borates (Metal raw material) [Resources]</w:t>
            </w:r>
          </w:p>
        </w:tc>
        <w:tc>
          <w:tcPr>
            <w:tcW w:w="262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Mass</w:t>
            </w:r>
          </w:p>
        </w:tc>
        <w:tc>
          <w:tcPr>
            <w:tcW w:w="100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0.224</w:t>
            </w:r>
          </w:p>
        </w:tc>
        <w:tc>
          <w:tcPr>
            <w:tcW w:w="9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kg</w:t>
            </w:r>
          </w:p>
        </w:tc>
      </w:tr>
      <w:tr w:rsidR="0005211E" w:rsidRPr="0054285D" w:rsidTr="0005211E">
        <w:trPr>
          <w:trHeight w:val="300"/>
        </w:trPr>
        <w:tc>
          <w:tcPr>
            <w:tcW w:w="83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Energy unspecific [Energy Resources]</w:t>
            </w:r>
          </w:p>
        </w:tc>
        <w:tc>
          <w:tcPr>
            <w:tcW w:w="262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Energy (NCV)</w:t>
            </w:r>
          </w:p>
        </w:tc>
        <w:tc>
          <w:tcPr>
            <w:tcW w:w="100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0.439</w:t>
            </w:r>
          </w:p>
        </w:tc>
        <w:tc>
          <w:tcPr>
            <w:tcW w:w="9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MJ</w:t>
            </w:r>
          </w:p>
        </w:tc>
      </w:tr>
      <w:tr w:rsidR="0005211E" w:rsidRPr="0054285D" w:rsidTr="0005211E">
        <w:trPr>
          <w:trHeight w:val="300"/>
        </w:trPr>
        <w:tc>
          <w:tcPr>
            <w:tcW w:w="83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Energy, potential (incl. hydropower reservoir), converted [Renewable energy resources]</w:t>
            </w:r>
          </w:p>
        </w:tc>
        <w:tc>
          <w:tcPr>
            <w:tcW w:w="262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Energy (NCV)</w:t>
            </w:r>
          </w:p>
        </w:tc>
        <w:tc>
          <w:tcPr>
            <w:tcW w:w="100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34.400</w:t>
            </w:r>
          </w:p>
        </w:tc>
        <w:tc>
          <w:tcPr>
            <w:tcW w:w="9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MJ</w:t>
            </w:r>
          </w:p>
        </w:tc>
      </w:tr>
      <w:tr w:rsidR="0005211E" w:rsidRPr="0054285D" w:rsidTr="0005211E">
        <w:trPr>
          <w:trHeight w:val="300"/>
        </w:trPr>
        <w:tc>
          <w:tcPr>
            <w:tcW w:w="83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Hard coal (in MJ) [Hard coal (resource)]</w:t>
            </w:r>
          </w:p>
        </w:tc>
        <w:tc>
          <w:tcPr>
            <w:tcW w:w="262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Energy (NCV)</w:t>
            </w:r>
          </w:p>
        </w:tc>
        <w:tc>
          <w:tcPr>
            <w:tcW w:w="100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22.161</w:t>
            </w:r>
          </w:p>
        </w:tc>
        <w:tc>
          <w:tcPr>
            <w:tcW w:w="9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MJ</w:t>
            </w:r>
          </w:p>
        </w:tc>
      </w:tr>
      <w:tr w:rsidR="0005211E" w:rsidRPr="0054285D" w:rsidTr="0005211E">
        <w:trPr>
          <w:trHeight w:val="300"/>
        </w:trPr>
        <w:tc>
          <w:tcPr>
            <w:tcW w:w="8360" w:type="dxa"/>
            <w:vAlign w:val="center"/>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Metals n.e.c related unused extraction [Valuable substances]</w:t>
            </w:r>
          </w:p>
        </w:tc>
        <w:tc>
          <w:tcPr>
            <w:tcW w:w="2620" w:type="dxa"/>
            <w:vAlign w:val="center"/>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Mass</w:t>
            </w:r>
          </w:p>
        </w:tc>
        <w:tc>
          <w:tcPr>
            <w:tcW w:w="100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6.060</w:t>
            </w:r>
          </w:p>
        </w:tc>
        <w:tc>
          <w:tcPr>
            <w:tcW w:w="9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kg</w:t>
            </w:r>
          </w:p>
        </w:tc>
      </w:tr>
      <w:tr w:rsidR="0005211E" w:rsidRPr="0054285D" w:rsidTr="0005211E">
        <w:trPr>
          <w:trHeight w:val="300"/>
        </w:trPr>
        <w:tc>
          <w:tcPr>
            <w:tcW w:w="83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Metals n.e.c Extracted for use [Valuable substances]</w:t>
            </w:r>
          </w:p>
        </w:tc>
        <w:tc>
          <w:tcPr>
            <w:tcW w:w="262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Mass</w:t>
            </w:r>
          </w:p>
        </w:tc>
        <w:tc>
          <w:tcPr>
            <w:tcW w:w="100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2140.000</w:t>
            </w:r>
          </w:p>
        </w:tc>
        <w:tc>
          <w:tcPr>
            <w:tcW w:w="9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kg</w:t>
            </w:r>
          </w:p>
        </w:tc>
      </w:tr>
      <w:tr w:rsidR="0005211E" w:rsidRPr="0054285D" w:rsidTr="0005211E">
        <w:trPr>
          <w:trHeight w:val="300"/>
        </w:trPr>
        <w:tc>
          <w:tcPr>
            <w:tcW w:w="83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Nuclear energy [Uranium (resource)]</w:t>
            </w:r>
          </w:p>
        </w:tc>
        <w:tc>
          <w:tcPr>
            <w:tcW w:w="262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Energy (NCV)</w:t>
            </w:r>
          </w:p>
        </w:tc>
        <w:tc>
          <w:tcPr>
            <w:tcW w:w="100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3839.000</w:t>
            </w:r>
          </w:p>
        </w:tc>
        <w:tc>
          <w:tcPr>
            <w:tcW w:w="9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MJ</w:t>
            </w:r>
          </w:p>
        </w:tc>
      </w:tr>
      <w:tr w:rsidR="0005211E" w:rsidRPr="0054285D" w:rsidTr="0005211E">
        <w:trPr>
          <w:trHeight w:val="300"/>
        </w:trPr>
        <w:tc>
          <w:tcPr>
            <w:tcW w:w="83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Occupation, arable [</w:t>
            </w:r>
            <w:proofErr w:type="spellStart"/>
            <w:r w:rsidRPr="0054285D">
              <w:rPr>
                <w:rFonts w:ascii="Times New Roman" w:hAnsi="Times New Roman" w:cs="Times New Roman"/>
                <w:i w:val="0"/>
                <w:color w:val="auto"/>
                <w:sz w:val="22"/>
              </w:rPr>
              <w:t>Hemerobie</w:t>
            </w:r>
            <w:proofErr w:type="spellEnd"/>
            <w:r w:rsidRPr="0054285D">
              <w:rPr>
                <w:rFonts w:ascii="Times New Roman" w:hAnsi="Times New Roman" w:cs="Times New Roman"/>
                <w:i w:val="0"/>
                <w:color w:val="auto"/>
                <w:sz w:val="22"/>
              </w:rPr>
              <w:t xml:space="preserve"> </w:t>
            </w:r>
            <w:proofErr w:type="spellStart"/>
            <w:r w:rsidRPr="0054285D">
              <w:rPr>
                <w:rFonts w:ascii="Times New Roman" w:hAnsi="Times New Roman" w:cs="Times New Roman"/>
                <w:i w:val="0"/>
                <w:color w:val="auto"/>
                <w:sz w:val="22"/>
              </w:rPr>
              <w:t>ecoinvent</w:t>
            </w:r>
            <w:proofErr w:type="spellEnd"/>
            <w:r w:rsidRPr="0054285D">
              <w:rPr>
                <w:rFonts w:ascii="Times New Roman" w:hAnsi="Times New Roman" w:cs="Times New Roman"/>
                <w:i w:val="0"/>
                <w:color w:val="auto"/>
                <w:sz w:val="22"/>
              </w:rPr>
              <w:t>]</w:t>
            </w:r>
          </w:p>
        </w:tc>
        <w:tc>
          <w:tcPr>
            <w:tcW w:w="2620" w:type="dxa"/>
            <w:hideMark/>
          </w:tcPr>
          <w:p w:rsidR="0005211E" w:rsidRPr="0054285D" w:rsidRDefault="0005211E" w:rsidP="0005211E">
            <w:pPr>
              <w:pStyle w:val="Caption"/>
              <w:jc w:val="center"/>
              <w:rPr>
                <w:rFonts w:ascii="Times New Roman" w:hAnsi="Times New Roman" w:cs="Times New Roman"/>
                <w:i w:val="0"/>
                <w:color w:val="auto"/>
                <w:sz w:val="22"/>
              </w:rPr>
            </w:pPr>
            <w:proofErr w:type="spellStart"/>
            <w:r w:rsidRPr="0054285D">
              <w:rPr>
                <w:rFonts w:ascii="Times New Roman" w:hAnsi="Times New Roman" w:cs="Times New Roman"/>
                <w:i w:val="0"/>
                <w:color w:val="auto"/>
                <w:sz w:val="22"/>
              </w:rPr>
              <w:t>Areatime</w:t>
            </w:r>
            <w:proofErr w:type="spellEnd"/>
          </w:p>
        </w:tc>
        <w:tc>
          <w:tcPr>
            <w:tcW w:w="100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4.160</w:t>
            </w:r>
          </w:p>
        </w:tc>
        <w:tc>
          <w:tcPr>
            <w:tcW w:w="9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m2*</w:t>
            </w:r>
            <w:proofErr w:type="spellStart"/>
            <w:r w:rsidRPr="0054285D">
              <w:rPr>
                <w:rFonts w:ascii="Times New Roman" w:hAnsi="Times New Roman" w:cs="Times New Roman"/>
                <w:i w:val="0"/>
                <w:color w:val="auto"/>
                <w:sz w:val="22"/>
              </w:rPr>
              <w:t>yr</w:t>
            </w:r>
            <w:proofErr w:type="spellEnd"/>
          </w:p>
        </w:tc>
      </w:tr>
      <w:tr w:rsidR="0005211E" w:rsidRPr="0054285D" w:rsidTr="0005211E">
        <w:trPr>
          <w:trHeight w:val="300"/>
        </w:trPr>
        <w:tc>
          <w:tcPr>
            <w:tcW w:w="83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Occupation, industrial area [</w:t>
            </w:r>
            <w:proofErr w:type="spellStart"/>
            <w:r w:rsidRPr="0054285D">
              <w:rPr>
                <w:rFonts w:ascii="Times New Roman" w:hAnsi="Times New Roman" w:cs="Times New Roman"/>
                <w:i w:val="0"/>
                <w:color w:val="auto"/>
                <w:sz w:val="22"/>
              </w:rPr>
              <w:t>Hemerobie</w:t>
            </w:r>
            <w:proofErr w:type="spellEnd"/>
            <w:r w:rsidRPr="0054285D">
              <w:rPr>
                <w:rFonts w:ascii="Times New Roman" w:hAnsi="Times New Roman" w:cs="Times New Roman"/>
                <w:i w:val="0"/>
                <w:color w:val="auto"/>
                <w:sz w:val="22"/>
              </w:rPr>
              <w:t xml:space="preserve"> </w:t>
            </w:r>
            <w:proofErr w:type="spellStart"/>
            <w:r w:rsidRPr="0054285D">
              <w:rPr>
                <w:rFonts w:ascii="Times New Roman" w:hAnsi="Times New Roman" w:cs="Times New Roman"/>
                <w:i w:val="0"/>
                <w:color w:val="auto"/>
                <w:sz w:val="22"/>
              </w:rPr>
              <w:t>ecoinvent</w:t>
            </w:r>
            <w:proofErr w:type="spellEnd"/>
            <w:r w:rsidRPr="0054285D">
              <w:rPr>
                <w:rFonts w:ascii="Times New Roman" w:hAnsi="Times New Roman" w:cs="Times New Roman"/>
                <w:i w:val="0"/>
                <w:color w:val="auto"/>
                <w:sz w:val="22"/>
              </w:rPr>
              <w:t>]</w:t>
            </w:r>
          </w:p>
        </w:tc>
        <w:tc>
          <w:tcPr>
            <w:tcW w:w="2620" w:type="dxa"/>
            <w:hideMark/>
          </w:tcPr>
          <w:p w:rsidR="0005211E" w:rsidRPr="0054285D" w:rsidRDefault="0005211E" w:rsidP="0005211E">
            <w:pPr>
              <w:pStyle w:val="Caption"/>
              <w:jc w:val="center"/>
              <w:rPr>
                <w:rFonts w:ascii="Times New Roman" w:hAnsi="Times New Roman" w:cs="Times New Roman"/>
                <w:i w:val="0"/>
                <w:color w:val="auto"/>
                <w:sz w:val="22"/>
              </w:rPr>
            </w:pPr>
            <w:proofErr w:type="spellStart"/>
            <w:r w:rsidRPr="0054285D">
              <w:rPr>
                <w:rFonts w:ascii="Times New Roman" w:hAnsi="Times New Roman" w:cs="Times New Roman"/>
                <w:i w:val="0"/>
                <w:color w:val="auto"/>
                <w:sz w:val="22"/>
              </w:rPr>
              <w:t>Areatime</w:t>
            </w:r>
            <w:proofErr w:type="spellEnd"/>
          </w:p>
        </w:tc>
        <w:tc>
          <w:tcPr>
            <w:tcW w:w="100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12.800</w:t>
            </w:r>
          </w:p>
        </w:tc>
        <w:tc>
          <w:tcPr>
            <w:tcW w:w="9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m2*</w:t>
            </w:r>
            <w:proofErr w:type="spellStart"/>
            <w:r w:rsidRPr="0054285D">
              <w:rPr>
                <w:rFonts w:ascii="Times New Roman" w:hAnsi="Times New Roman" w:cs="Times New Roman"/>
                <w:i w:val="0"/>
                <w:color w:val="auto"/>
                <w:sz w:val="22"/>
              </w:rPr>
              <w:t>yr</w:t>
            </w:r>
            <w:proofErr w:type="spellEnd"/>
          </w:p>
        </w:tc>
      </w:tr>
      <w:tr w:rsidR="0005211E" w:rsidRPr="0054285D" w:rsidTr="0005211E">
        <w:trPr>
          <w:trHeight w:val="300"/>
        </w:trPr>
        <w:tc>
          <w:tcPr>
            <w:tcW w:w="83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Process and cooling water [Operating materials]</w:t>
            </w:r>
          </w:p>
        </w:tc>
        <w:tc>
          <w:tcPr>
            <w:tcW w:w="262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Mass</w:t>
            </w:r>
          </w:p>
        </w:tc>
        <w:tc>
          <w:tcPr>
            <w:tcW w:w="100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234.000</w:t>
            </w:r>
          </w:p>
        </w:tc>
        <w:tc>
          <w:tcPr>
            <w:tcW w:w="9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kg</w:t>
            </w:r>
          </w:p>
        </w:tc>
      </w:tr>
      <w:tr w:rsidR="0005211E" w:rsidRPr="0054285D" w:rsidTr="0005211E">
        <w:trPr>
          <w:trHeight w:val="300"/>
        </w:trPr>
        <w:tc>
          <w:tcPr>
            <w:tcW w:w="836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Transformation, from unknown [</w:t>
            </w:r>
            <w:proofErr w:type="spellStart"/>
            <w:r w:rsidRPr="0054285D">
              <w:rPr>
                <w:rFonts w:ascii="Times New Roman" w:hAnsi="Times New Roman" w:cs="Times New Roman"/>
                <w:i w:val="0"/>
                <w:color w:val="auto"/>
                <w:sz w:val="22"/>
              </w:rPr>
              <w:t>Hemerobie</w:t>
            </w:r>
            <w:proofErr w:type="spellEnd"/>
            <w:r w:rsidRPr="0054285D">
              <w:rPr>
                <w:rFonts w:ascii="Times New Roman" w:hAnsi="Times New Roman" w:cs="Times New Roman"/>
                <w:i w:val="0"/>
                <w:color w:val="auto"/>
                <w:sz w:val="22"/>
              </w:rPr>
              <w:t xml:space="preserve"> </w:t>
            </w:r>
            <w:proofErr w:type="spellStart"/>
            <w:r w:rsidRPr="0054285D">
              <w:rPr>
                <w:rFonts w:ascii="Times New Roman" w:hAnsi="Times New Roman" w:cs="Times New Roman"/>
                <w:i w:val="0"/>
                <w:color w:val="auto"/>
                <w:sz w:val="22"/>
              </w:rPr>
              <w:t>ecoinvent</w:t>
            </w:r>
            <w:proofErr w:type="spellEnd"/>
            <w:r w:rsidRPr="0054285D">
              <w:rPr>
                <w:rFonts w:ascii="Times New Roman" w:hAnsi="Times New Roman" w:cs="Times New Roman"/>
                <w:i w:val="0"/>
                <w:color w:val="auto"/>
                <w:sz w:val="22"/>
              </w:rPr>
              <w:t>]</w:t>
            </w:r>
          </w:p>
        </w:tc>
        <w:tc>
          <w:tcPr>
            <w:tcW w:w="262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Area</w:t>
            </w:r>
          </w:p>
        </w:tc>
        <w:tc>
          <w:tcPr>
            <w:tcW w:w="1000" w:type="dxa"/>
            <w:hideMark/>
          </w:tcPr>
          <w:p w:rsidR="0005211E" w:rsidRPr="0054285D" w:rsidRDefault="0005211E" w:rsidP="0005211E">
            <w:pPr>
              <w:pStyle w:val="Caption"/>
              <w:jc w:val="center"/>
              <w:rPr>
                <w:rFonts w:ascii="Times New Roman" w:hAnsi="Times New Roman" w:cs="Times New Roman"/>
                <w:i w:val="0"/>
                <w:color w:val="auto"/>
                <w:sz w:val="22"/>
              </w:rPr>
            </w:pPr>
            <w:r w:rsidRPr="0054285D">
              <w:rPr>
                <w:rFonts w:ascii="Times New Roman" w:hAnsi="Times New Roman" w:cs="Times New Roman"/>
                <w:i w:val="0"/>
                <w:color w:val="auto"/>
                <w:sz w:val="22"/>
              </w:rPr>
              <w:t>0.161</w:t>
            </w:r>
          </w:p>
        </w:tc>
        <w:tc>
          <w:tcPr>
            <w:tcW w:w="960" w:type="dxa"/>
            <w:hideMark/>
          </w:tcPr>
          <w:p w:rsidR="0005211E" w:rsidRPr="0054285D" w:rsidRDefault="0005211E" w:rsidP="0005211E">
            <w:pPr>
              <w:pStyle w:val="Caption"/>
              <w:jc w:val="center"/>
              <w:rPr>
                <w:rFonts w:ascii="Times New Roman" w:hAnsi="Times New Roman" w:cs="Times New Roman"/>
                <w:i w:val="0"/>
                <w:color w:val="auto"/>
                <w:sz w:val="22"/>
              </w:rPr>
            </w:pPr>
            <w:proofErr w:type="spellStart"/>
            <w:r w:rsidRPr="0054285D">
              <w:rPr>
                <w:rFonts w:ascii="Times New Roman" w:hAnsi="Times New Roman" w:cs="Times New Roman"/>
                <w:i w:val="0"/>
                <w:color w:val="auto"/>
                <w:sz w:val="22"/>
              </w:rPr>
              <w:t>sqm</w:t>
            </w:r>
            <w:proofErr w:type="spellEnd"/>
          </w:p>
        </w:tc>
      </w:tr>
    </w:tbl>
    <w:p w:rsidR="003E7792" w:rsidRPr="0054285D" w:rsidRDefault="0005211E" w:rsidP="003E7792">
      <w:pPr>
        <w:pStyle w:val="Caption"/>
        <w:rPr>
          <w:rFonts w:ascii="Times New Roman" w:hAnsi="Times New Roman" w:cs="Times New Roman"/>
          <w:i w:val="0"/>
          <w:color w:val="auto"/>
          <w:sz w:val="22"/>
          <w:szCs w:val="22"/>
        </w:rPr>
      </w:pPr>
      <w:r w:rsidRPr="0054285D">
        <w:rPr>
          <w:rFonts w:ascii="Times New Roman" w:hAnsi="Times New Roman" w:cs="Times New Roman"/>
          <w:i w:val="0"/>
          <w:color w:val="auto"/>
          <w:sz w:val="22"/>
          <w:szCs w:val="22"/>
        </w:rPr>
        <w:t xml:space="preserve"> Note NCV = Net Calorific Value.</w:t>
      </w:r>
    </w:p>
    <w:p w:rsidR="003E7792" w:rsidRPr="0054285D" w:rsidRDefault="003E7792" w:rsidP="003E7792">
      <w:pPr>
        <w:pStyle w:val="Caption"/>
        <w:rPr>
          <w:rFonts w:ascii="Times New Roman" w:hAnsi="Times New Roman" w:cs="Times New Roman"/>
          <w:i w:val="0"/>
          <w:color w:val="auto"/>
          <w:sz w:val="22"/>
          <w:szCs w:val="22"/>
        </w:rPr>
      </w:pPr>
    </w:p>
    <w:p w:rsidR="003E7792" w:rsidRPr="0054285D" w:rsidRDefault="003E7792" w:rsidP="003E7792">
      <w:pPr>
        <w:pStyle w:val="Caption"/>
        <w:rPr>
          <w:rFonts w:ascii="Times New Roman" w:hAnsi="Times New Roman" w:cs="Times New Roman"/>
          <w:i w:val="0"/>
          <w:color w:val="auto"/>
          <w:sz w:val="22"/>
          <w:szCs w:val="22"/>
        </w:rPr>
      </w:pPr>
    </w:p>
    <w:p w:rsidR="003E7792" w:rsidRPr="0054285D" w:rsidRDefault="003E7792" w:rsidP="003E7792">
      <w:pPr>
        <w:pStyle w:val="Caption"/>
        <w:rPr>
          <w:rFonts w:ascii="Times New Roman" w:hAnsi="Times New Roman" w:cs="Times New Roman"/>
          <w:i w:val="0"/>
          <w:color w:val="auto"/>
          <w:sz w:val="22"/>
          <w:szCs w:val="22"/>
        </w:rPr>
      </w:pPr>
    </w:p>
    <w:p w:rsidR="003E7792" w:rsidRPr="0054285D" w:rsidRDefault="003E7792" w:rsidP="003E7792">
      <w:pPr>
        <w:pStyle w:val="Caption"/>
        <w:rPr>
          <w:rFonts w:ascii="Times New Roman" w:hAnsi="Times New Roman" w:cs="Times New Roman"/>
          <w:i w:val="0"/>
          <w:color w:val="auto"/>
          <w:sz w:val="22"/>
          <w:szCs w:val="22"/>
        </w:rPr>
      </w:pPr>
    </w:p>
    <w:p w:rsidR="003E7792" w:rsidRPr="0054285D" w:rsidRDefault="003E7792" w:rsidP="003E7792">
      <w:pPr>
        <w:pStyle w:val="Caption"/>
        <w:rPr>
          <w:rFonts w:ascii="Times New Roman" w:hAnsi="Times New Roman" w:cs="Times New Roman"/>
          <w:i w:val="0"/>
          <w:color w:val="auto"/>
          <w:sz w:val="22"/>
          <w:szCs w:val="22"/>
        </w:rPr>
      </w:pPr>
    </w:p>
    <w:p w:rsidR="003E7792" w:rsidRPr="0054285D" w:rsidRDefault="003E7792" w:rsidP="003E7792">
      <w:pPr>
        <w:pStyle w:val="Caption"/>
        <w:rPr>
          <w:rFonts w:ascii="Times New Roman" w:hAnsi="Times New Roman" w:cs="Times New Roman"/>
          <w:i w:val="0"/>
          <w:color w:val="auto"/>
          <w:sz w:val="22"/>
          <w:szCs w:val="22"/>
        </w:rPr>
      </w:pPr>
    </w:p>
    <w:p w:rsidR="003E7792" w:rsidRPr="0054285D" w:rsidRDefault="003E7792" w:rsidP="003E7792">
      <w:pPr>
        <w:pStyle w:val="Caption"/>
        <w:rPr>
          <w:rFonts w:ascii="Times New Roman" w:hAnsi="Times New Roman" w:cs="Times New Roman"/>
          <w:i w:val="0"/>
          <w:color w:val="auto"/>
          <w:sz w:val="22"/>
          <w:szCs w:val="22"/>
        </w:rPr>
      </w:pPr>
    </w:p>
    <w:p w:rsidR="003E7792" w:rsidRPr="0054285D" w:rsidRDefault="003E7792" w:rsidP="003E7792">
      <w:pPr>
        <w:pStyle w:val="Caption"/>
        <w:rPr>
          <w:rFonts w:ascii="Times New Roman" w:hAnsi="Times New Roman" w:cs="Times New Roman"/>
          <w:i w:val="0"/>
          <w:color w:val="auto"/>
          <w:sz w:val="22"/>
          <w:szCs w:val="22"/>
        </w:rPr>
      </w:pPr>
    </w:p>
    <w:p w:rsidR="003E7792" w:rsidRPr="0054285D" w:rsidRDefault="003E7792" w:rsidP="003E7792">
      <w:pPr>
        <w:pStyle w:val="Caption"/>
        <w:rPr>
          <w:rFonts w:ascii="Times New Roman" w:hAnsi="Times New Roman" w:cs="Times New Roman"/>
          <w:i w:val="0"/>
          <w:color w:val="auto"/>
          <w:sz w:val="22"/>
          <w:szCs w:val="22"/>
        </w:rPr>
      </w:pPr>
    </w:p>
    <w:p w:rsidR="003E7792" w:rsidRPr="0054285D" w:rsidRDefault="003E7792" w:rsidP="003E7792">
      <w:pPr>
        <w:pStyle w:val="Caption"/>
        <w:rPr>
          <w:rFonts w:ascii="Times New Roman" w:hAnsi="Times New Roman" w:cs="Times New Roman"/>
          <w:i w:val="0"/>
          <w:color w:val="auto"/>
          <w:sz w:val="22"/>
          <w:szCs w:val="22"/>
        </w:rPr>
      </w:pPr>
    </w:p>
    <w:p w:rsidR="003E7792" w:rsidRPr="0054285D" w:rsidRDefault="003E7792" w:rsidP="003E7792">
      <w:pPr>
        <w:pStyle w:val="Caption"/>
        <w:rPr>
          <w:rFonts w:ascii="Times New Roman" w:hAnsi="Times New Roman" w:cs="Times New Roman"/>
          <w:i w:val="0"/>
          <w:color w:val="auto"/>
          <w:sz w:val="22"/>
          <w:szCs w:val="22"/>
        </w:rPr>
      </w:pPr>
    </w:p>
    <w:p w:rsidR="003E7792" w:rsidRPr="0054285D" w:rsidRDefault="003E7792" w:rsidP="003E7792">
      <w:pPr>
        <w:pStyle w:val="Caption"/>
        <w:rPr>
          <w:rFonts w:ascii="Times New Roman" w:hAnsi="Times New Roman" w:cs="Times New Roman"/>
          <w:i w:val="0"/>
          <w:color w:val="auto"/>
          <w:sz w:val="22"/>
          <w:szCs w:val="22"/>
        </w:rPr>
      </w:pPr>
    </w:p>
    <w:p w:rsidR="003E7792" w:rsidRPr="0054285D" w:rsidRDefault="003E7792" w:rsidP="003E7792">
      <w:pPr>
        <w:pStyle w:val="Caption"/>
        <w:rPr>
          <w:rFonts w:ascii="Times New Roman" w:hAnsi="Times New Roman" w:cs="Times New Roman"/>
          <w:i w:val="0"/>
          <w:color w:val="auto"/>
          <w:sz w:val="22"/>
          <w:szCs w:val="22"/>
        </w:rPr>
      </w:pPr>
    </w:p>
    <w:p w:rsidR="00275EDD" w:rsidRPr="0054285D" w:rsidRDefault="00275EDD" w:rsidP="00275EDD"/>
    <w:p w:rsidR="00275EDD" w:rsidRPr="0054285D" w:rsidRDefault="00275EDD" w:rsidP="00275EDD"/>
    <w:p w:rsidR="00275EDD" w:rsidRPr="0054285D" w:rsidRDefault="003E7792" w:rsidP="00275EDD">
      <w:pPr>
        <w:pStyle w:val="Caption"/>
        <w:rPr>
          <w:rFonts w:ascii="Times New Roman" w:hAnsi="Times New Roman" w:cs="Times New Roman"/>
          <w:i w:val="0"/>
          <w:noProof/>
          <w:color w:val="auto"/>
          <w:sz w:val="22"/>
        </w:rPr>
      </w:pPr>
      <w:bookmarkStart w:id="235" w:name="_Ref468432997"/>
      <w:bookmarkStart w:id="236" w:name="_Toc474486545"/>
      <w:bookmarkStart w:id="237" w:name="_Toc495852716"/>
      <w:r w:rsidRPr="0054285D">
        <w:rPr>
          <w:rFonts w:ascii="Times New Roman" w:hAnsi="Times New Roman" w:cs="Times New Roman"/>
          <w:i w:val="0"/>
          <w:color w:val="auto"/>
          <w:sz w:val="22"/>
          <w:szCs w:val="22"/>
        </w:rPr>
        <w:lastRenderedPageBreak/>
        <w:t xml:space="preserve">Table </w:t>
      </w:r>
      <w:r w:rsidR="009A0ED7" w:rsidRPr="0054285D">
        <w:rPr>
          <w:rFonts w:ascii="Times New Roman" w:hAnsi="Times New Roman" w:cs="Times New Roman"/>
          <w:i w:val="0"/>
          <w:color w:val="auto"/>
          <w:sz w:val="22"/>
          <w:szCs w:val="22"/>
        </w:rPr>
        <w:fldChar w:fldCharType="begin"/>
      </w:r>
      <w:r w:rsidRPr="0054285D">
        <w:rPr>
          <w:rFonts w:ascii="Times New Roman" w:hAnsi="Times New Roman" w:cs="Times New Roman"/>
          <w:i w:val="0"/>
          <w:color w:val="auto"/>
          <w:sz w:val="22"/>
          <w:szCs w:val="22"/>
        </w:rPr>
        <w:instrText xml:space="preserve"> SEQ Table \* ARABIC </w:instrText>
      </w:r>
      <w:r w:rsidR="009A0ED7" w:rsidRPr="0054285D">
        <w:rPr>
          <w:rFonts w:ascii="Times New Roman" w:hAnsi="Times New Roman" w:cs="Times New Roman"/>
          <w:i w:val="0"/>
          <w:color w:val="auto"/>
          <w:sz w:val="22"/>
          <w:szCs w:val="22"/>
        </w:rPr>
        <w:fldChar w:fldCharType="separate"/>
      </w:r>
      <w:r w:rsidR="009F5483">
        <w:rPr>
          <w:rFonts w:ascii="Times New Roman" w:hAnsi="Times New Roman" w:cs="Times New Roman"/>
          <w:i w:val="0"/>
          <w:noProof/>
          <w:color w:val="auto"/>
          <w:sz w:val="22"/>
          <w:szCs w:val="22"/>
        </w:rPr>
        <w:t>38</w:t>
      </w:r>
      <w:r w:rsidR="009A0ED7" w:rsidRPr="0054285D">
        <w:rPr>
          <w:rFonts w:ascii="Times New Roman" w:hAnsi="Times New Roman" w:cs="Times New Roman"/>
          <w:i w:val="0"/>
          <w:color w:val="auto"/>
          <w:sz w:val="22"/>
          <w:szCs w:val="22"/>
        </w:rPr>
        <w:fldChar w:fldCharType="end"/>
      </w:r>
      <w:bookmarkEnd w:id="235"/>
      <w:r w:rsidRPr="0054285D">
        <w:rPr>
          <w:rFonts w:ascii="Times New Roman" w:hAnsi="Times New Roman" w:cs="Times New Roman"/>
          <w:i w:val="0"/>
          <w:color w:val="auto"/>
          <w:sz w:val="22"/>
          <w:szCs w:val="22"/>
        </w:rPr>
        <w:t xml:space="preserve">. </w:t>
      </w:r>
      <w:r w:rsidR="00AE7A4C" w:rsidRPr="0054285D">
        <w:rPr>
          <w:rFonts w:ascii="Times New Roman" w:eastAsia="Calibri" w:hAnsi="Times New Roman" w:cs="Times New Roman"/>
          <w:i w:val="0"/>
          <w:color w:val="auto"/>
          <w:sz w:val="22"/>
          <w:szCs w:val="22"/>
        </w:rPr>
        <w:t>Inventory data of outputs for</w:t>
      </w:r>
      <w:r w:rsidR="0056468D" w:rsidRPr="0054285D">
        <w:rPr>
          <w:rFonts w:ascii="Times New Roman" w:eastAsia="Calibri" w:hAnsi="Times New Roman" w:cs="Times New Roman"/>
          <w:i w:val="0"/>
          <w:color w:val="auto"/>
          <w:sz w:val="22"/>
          <w:szCs w:val="22"/>
        </w:rPr>
        <w:t xml:space="preserve"> borates process </w:t>
      </w:r>
      <w:r w:rsidR="0056468D" w:rsidRPr="0054285D">
        <w:rPr>
          <w:rFonts w:ascii="Times New Roman" w:eastAsia="Calibri" w:hAnsi="Times New Roman" w:cs="Times New Roman"/>
          <w:i w:val="0"/>
          <w:noProof/>
          <w:color w:val="auto"/>
          <w:sz w:val="22"/>
          <w:szCs w:val="22"/>
        </w:rPr>
        <w:t>(Probas 2004)</w:t>
      </w:r>
      <w:r w:rsidR="00BD43F5" w:rsidRPr="0054285D">
        <w:rPr>
          <w:rFonts w:ascii="Times New Roman" w:hAnsi="Times New Roman" w:cs="Times New Roman"/>
          <w:i w:val="0"/>
          <w:noProof/>
          <w:color w:val="auto"/>
          <w:sz w:val="22"/>
        </w:rPr>
        <w:t>.</w:t>
      </w:r>
      <w:bookmarkEnd w:id="236"/>
      <w:bookmarkEnd w:id="237"/>
    </w:p>
    <w:tbl>
      <w:tblPr>
        <w:tblStyle w:val="TableGrid"/>
        <w:tblW w:w="0" w:type="auto"/>
        <w:tblLayout w:type="fixed"/>
        <w:tblLook w:val="04A0" w:firstRow="1" w:lastRow="0" w:firstColumn="1" w:lastColumn="0" w:noHBand="0" w:noVBand="1"/>
      </w:tblPr>
      <w:tblGrid>
        <w:gridCol w:w="6317"/>
        <w:gridCol w:w="999"/>
        <w:gridCol w:w="1184"/>
        <w:gridCol w:w="516"/>
      </w:tblGrid>
      <w:tr w:rsidR="00275EDD" w:rsidRPr="0054285D" w:rsidTr="000C013D">
        <w:trPr>
          <w:trHeight w:val="300"/>
        </w:trPr>
        <w:tc>
          <w:tcPr>
            <w:tcW w:w="6317" w:type="dxa"/>
            <w:hideMark/>
          </w:tcPr>
          <w:p w:rsidR="00275EDD" w:rsidRPr="0054285D" w:rsidRDefault="00275EDD" w:rsidP="00275EDD">
            <w:pPr>
              <w:jc w:val="center"/>
            </w:pPr>
            <w:r w:rsidRPr="0054285D">
              <w:t>Flow</w:t>
            </w:r>
          </w:p>
        </w:tc>
        <w:tc>
          <w:tcPr>
            <w:tcW w:w="999" w:type="dxa"/>
            <w:hideMark/>
          </w:tcPr>
          <w:p w:rsidR="00275EDD" w:rsidRPr="0054285D" w:rsidRDefault="00275EDD" w:rsidP="00275EDD">
            <w:r w:rsidRPr="0054285D">
              <w:t>Quantity</w:t>
            </w:r>
          </w:p>
        </w:tc>
        <w:tc>
          <w:tcPr>
            <w:tcW w:w="1184" w:type="dxa"/>
            <w:hideMark/>
          </w:tcPr>
          <w:p w:rsidR="00275EDD" w:rsidRPr="0054285D" w:rsidRDefault="00275EDD" w:rsidP="00275EDD">
            <w:r w:rsidRPr="0054285D">
              <w:t>Amount</w:t>
            </w:r>
          </w:p>
        </w:tc>
        <w:tc>
          <w:tcPr>
            <w:tcW w:w="516" w:type="dxa"/>
            <w:hideMark/>
          </w:tcPr>
          <w:p w:rsidR="00275EDD" w:rsidRPr="0054285D" w:rsidRDefault="00275EDD" w:rsidP="00275EDD">
            <w:r w:rsidRPr="0054285D">
              <w:t>Unit</w:t>
            </w:r>
          </w:p>
        </w:tc>
      </w:tr>
      <w:tr w:rsidR="00275EDD" w:rsidRPr="0054285D" w:rsidTr="000C013D">
        <w:trPr>
          <w:trHeight w:val="300"/>
        </w:trPr>
        <w:tc>
          <w:tcPr>
            <w:tcW w:w="6317" w:type="dxa"/>
            <w:hideMark/>
          </w:tcPr>
          <w:p w:rsidR="00275EDD" w:rsidRPr="0054285D" w:rsidRDefault="00275EDD" w:rsidP="00275EDD">
            <w:pPr>
              <w:jc w:val="center"/>
            </w:pPr>
            <w:r w:rsidRPr="0054285D">
              <w:t>Borate (Output) [Valuable Substance]</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275EDD">
            <w:pPr>
              <w:jc w:val="center"/>
            </w:pPr>
            <w:r w:rsidRPr="0054285D">
              <w:t>1.00</w:t>
            </w:r>
            <w:r w:rsidR="000C013D">
              <w:t>×10</w:t>
            </w:r>
            <w:r w:rsidR="000C013D" w:rsidRPr="000C013D">
              <w:rPr>
                <w:vertAlign w:val="superscript"/>
              </w:rPr>
              <w:t>3</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1,11-Trichloroethane [Halogenated organic emissions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2.88</w:t>
            </w:r>
            <w:r w:rsidR="000C013D">
              <w:t>×10</w:t>
            </w:r>
            <w:r w:rsidR="000C013D">
              <w:rPr>
                <w:vertAlign w:val="superscript"/>
              </w:rPr>
              <w:t>-11</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Adsorbable organic halo</w:t>
            </w:r>
            <w:r w:rsidR="002E0DA2" w:rsidRPr="0054285D">
              <w:t>g</w:t>
            </w:r>
            <w:r w:rsidRPr="0054285D">
              <w:t>en compounds (AOX) [Analytical measures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2.46</w:t>
            </w:r>
            <w:r w:rsidR="000C013D">
              <w:t>×10</w:t>
            </w:r>
            <w:r w:rsidR="000C013D">
              <w:rPr>
                <w:vertAlign w:val="superscript"/>
              </w:rPr>
              <w:t>-6</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Ammonia [Inorganic emissions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1.90</w:t>
            </w:r>
            <w:r w:rsidR="000C013D">
              <w:t>×10</w:t>
            </w:r>
            <w:r w:rsidR="000C013D">
              <w:rPr>
                <w:vertAlign w:val="superscript"/>
              </w:rPr>
              <w:t>-3</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Ammonia [Inorganic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3.11</w:t>
            </w:r>
            <w:r w:rsidR="000C013D">
              <w:t>×10</w:t>
            </w:r>
            <w:r w:rsidR="000C013D">
              <w:rPr>
                <w:vertAlign w:val="superscript"/>
              </w:rPr>
              <w:t>-2</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Arsenic [Heavy metals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1.54</w:t>
            </w:r>
            <w:r w:rsidR="000C013D">
              <w:t>×10</w:t>
            </w:r>
            <w:r w:rsidR="000C013D">
              <w:rPr>
                <w:vertAlign w:val="superscript"/>
              </w:rPr>
              <w:t>-5</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Arsenic [Heavy metals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7.93</w:t>
            </w:r>
            <w:r w:rsidR="000C013D">
              <w:t>×10</w:t>
            </w:r>
            <w:r w:rsidR="000C013D">
              <w:rPr>
                <w:vertAlign w:val="superscript"/>
              </w:rPr>
              <w:t>-6</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Benzene [Hydrocarbons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6.70</w:t>
            </w:r>
            <w:r w:rsidR="000C013D">
              <w:t>×10</w:t>
            </w:r>
            <w:r w:rsidR="000C013D">
              <w:rPr>
                <w:vertAlign w:val="superscript"/>
              </w:rPr>
              <w:t>-4</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Benzene [Group NMVOC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6.73</w:t>
            </w:r>
            <w:r w:rsidR="000C013D">
              <w:t>×10</w:t>
            </w:r>
            <w:r w:rsidR="000C013D">
              <w:rPr>
                <w:vertAlign w:val="superscript"/>
              </w:rPr>
              <w:t>-3</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Benzo{a}pyrene [Group PAH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6.73</w:t>
            </w:r>
            <w:r w:rsidR="000C013D">
              <w:t>×10</w:t>
            </w:r>
            <w:r w:rsidR="000C013D">
              <w:rPr>
                <w:vertAlign w:val="superscript"/>
              </w:rPr>
              <w:t>-3</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Biological oxygen demand (BOD) [Analytical measures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4.84</w:t>
            </w:r>
            <w:r w:rsidR="000C013D">
              <w:t>×10</w:t>
            </w:r>
            <w:r w:rsidR="000C013D">
              <w:rPr>
                <w:vertAlign w:val="superscript"/>
              </w:rPr>
              <w:t>-1</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Cadmium [Heavy metals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2.23</w:t>
            </w:r>
            <w:r w:rsidR="000C013D">
              <w:t>×10</w:t>
            </w:r>
            <w:r w:rsidR="000C013D">
              <w:rPr>
                <w:vertAlign w:val="superscript"/>
              </w:rPr>
              <w:t>-6</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Cadmium [Heavy metals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6.91</w:t>
            </w:r>
            <w:r w:rsidR="000C013D">
              <w:t>×10</w:t>
            </w:r>
            <w:r w:rsidR="000C013D">
              <w:rPr>
                <w:vertAlign w:val="superscript"/>
              </w:rPr>
              <w:t>-6</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Carbon Dioxide [Inorganic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1.52</w:t>
            </w:r>
            <w:r w:rsidR="000C013D">
              <w:t>×10</w:t>
            </w:r>
            <w:r w:rsidR="000C013D" w:rsidRPr="000C013D">
              <w:rPr>
                <w:vertAlign w:val="superscript"/>
              </w:rPr>
              <w:t>3</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Carbon Dioxide (biotic) [Inorganic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2.59</w:t>
            </w:r>
            <w:r w:rsidR="000C013D">
              <w:t>×10</w:t>
            </w:r>
            <w:r w:rsidR="000C013D">
              <w:rPr>
                <w:vertAlign w:val="superscript"/>
              </w:rPr>
              <w:t>1</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Carbon Monoxide [Inorganic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6.63</w:t>
            </w:r>
            <w:r w:rsidR="000C013D">
              <w:t>×10</w:t>
            </w:r>
            <w:r w:rsidR="000C013D">
              <w:rPr>
                <w:vertAlign w:val="superscript"/>
              </w:rPr>
              <w:t>-1</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Carbon tetrachloride (</w:t>
            </w:r>
            <w:proofErr w:type="spellStart"/>
            <w:r w:rsidRPr="0054285D">
              <w:t>tetrachloromethane</w:t>
            </w:r>
            <w:proofErr w:type="spellEnd"/>
            <w:r w:rsidRPr="0054285D">
              <w:t>) [Halogenated 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1.25</w:t>
            </w:r>
            <w:r w:rsidR="000C013D">
              <w:t>×10</w:t>
            </w:r>
            <w:r w:rsidR="000C013D">
              <w:rPr>
                <w:vertAlign w:val="superscript"/>
              </w:rPr>
              <w:t>-8</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Chemical oxygen demand (COD) [Analytical measures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4.89</w:t>
            </w:r>
            <w:r w:rsidR="000C013D">
              <w:t>×10</w:t>
            </w:r>
            <w:r w:rsidR="000C013D">
              <w:rPr>
                <w:vertAlign w:val="superscript"/>
              </w:rPr>
              <w:t>-1</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Chloride [Inorganic emissions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275EDD" w:rsidP="000C013D">
            <w:pPr>
              <w:jc w:val="center"/>
            </w:pPr>
            <w:r w:rsidRPr="0054285D">
              <w:t>1.89</w:t>
            </w:r>
            <w:r w:rsidR="000C013D">
              <w:t>×10</w:t>
            </w:r>
            <w:r w:rsidR="000C013D">
              <w:rPr>
                <w:vertAlign w:val="superscript"/>
              </w:rPr>
              <w:t>0</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Chlorinated hydrocarbons (unspecified) [Halogenated 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1.80×10</w:t>
            </w:r>
            <w:r>
              <w:rPr>
                <w:vertAlign w:val="superscript"/>
              </w:rPr>
              <w:t>-4</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Chromium (unspecified) [Heavy metals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3.48×10</w:t>
            </w:r>
            <w:r>
              <w:rPr>
                <w:vertAlign w:val="superscript"/>
              </w:rPr>
              <w:t>-5</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Chromium (unspecified) [Heavy metals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9.28×10</w:t>
            </w:r>
            <w:r>
              <w:rPr>
                <w:vertAlign w:val="superscript"/>
              </w:rPr>
              <w:t>-6</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Copper [Heavy metals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5.19×10</w:t>
            </w:r>
            <w:r>
              <w:rPr>
                <w:vertAlign w:val="superscript"/>
              </w:rPr>
              <w:t>-5</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Copper [Heavy metals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1.70×10</w:t>
            </w:r>
            <w:r>
              <w:rPr>
                <w:vertAlign w:val="superscript"/>
              </w:rPr>
              <w:t>-4</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Cyanide [Inorganic emissions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3.92×10</w:t>
            </w:r>
            <w:r>
              <w:rPr>
                <w:vertAlign w:val="superscript"/>
              </w:rPr>
              <w:t>-6</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proofErr w:type="spellStart"/>
            <w:r w:rsidRPr="0054285D">
              <w:t>Dichloroethane</w:t>
            </w:r>
            <w:proofErr w:type="spellEnd"/>
            <w:r w:rsidRPr="0054285D">
              <w:t xml:space="preserve"> (ethylene dichloride)  [Halogenated organic emissions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2.32×10</w:t>
            </w:r>
            <w:r>
              <w:rPr>
                <w:vertAlign w:val="superscript"/>
              </w:rPr>
              <w:t>-7</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Dichloromethane (methylene dichloride)  [Halogenated 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5.66×10</w:t>
            </w:r>
            <w:r>
              <w:rPr>
                <w:vertAlign w:val="superscript"/>
              </w:rPr>
              <w:t>-10</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Dioxins (unspecified) [Halogenated organic emissions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2.19×10</w:t>
            </w:r>
            <w:r>
              <w:rPr>
                <w:vertAlign w:val="superscript"/>
              </w:rPr>
              <w:t>-11</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proofErr w:type="spellStart"/>
            <w:r w:rsidRPr="0054285D">
              <w:t>Ethene</w:t>
            </w:r>
            <w:proofErr w:type="spellEnd"/>
            <w:r w:rsidRPr="0054285D">
              <w:t xml:space="preserve"> (ethylene) [Group NMVOC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8.86×10</w:t>
            </w:r>
            <w:r>
              <w:rPr>
                <w:vertAlign w:val="superscript"/>
              </w:rPr>
              <w:t>-5</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Fluoride [Inorganic emissions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6.00×10</w:t>
            </w:r>
            <w:r>
              <w:rPr>
                <w:vertAlign w:val="superscript"/>
              </w:rPr>
              <w:t>-4</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Formaldehyde (</w:t>
            </w:r>
            <w:proofErr w:type="spellStart"/>
            <w:r w:rsidRPr="0054285D">
              <w:t>methanal</w:t>
            </w:r>
            <w:proofErr w:type="spellEnd"/>
            <w:r w:rsidRPr="0054285D">
              <w:t>) [Group NMVOC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5.05×10</w:t>
            </w:r>
            <w:r>
              <w:rPr>
                <w:vertAlign w:val="superscript"/>
              </w:rPr>
              <w:t>-3</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proofErr w:type="spellStart"/>
            <w:r w:rsidRPr="0054285D">
              <w:t>Hexachlorobenzene</w:t>
            </w:r>
            <w:proofErr w:type="spellEnd"/>
            <w:r w:rsidRPr="0054285D">
              <w:t xml:space="preserve"> (</w:t>
            </w:r>
            <w:proofErr w:type="spellStart"/>
            <w:r w:rsidRPr="0054285D">
              <w:t>Perchlorobenzene</w:t>
            </w:r>
            <w:proofErr w:type="spellEnd"/>
            <w:r w:rsidRPr="0054285D">
              <w:t>) [Halogenated 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1.51×10</w:t>
            </w:r>
            <w:r>
              <w:rPr>
                <w:vertAlign w:val="superscript"/>
              </w:rPr>
              <w:t>-11</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 xml:space="preserve">Hydrocarbons, </w:t>
            </w:r>
            <w:proofErr w:type="spellStart"/>
            <w:r w:rsidRPr="0054285D">
              <w:t>chloro</w:t>
            </w:r>
            <w:proofErr w:type="spellEnd"/>
            <w:r w:rsidRPr="0054285D">
              <w:t>-/</w:t>
            </w:r>
            <w:proofErr w:type="spellStart"/>
            <w:r w:rsidRPr="0054285D">
              <w:t>fluoro</w:t>
            </w:r>
            <w:proofErr w:type="spellEnd"/>
            <w:r w:rsidRPr="0054285D">
              <w:t>- [Halogenated 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7.61×10</w:t>
            </w:r>
            <w:r>
              <w:rPr>
                <w:vertAlign w:val="superscript"/>
              </w:rPr>
              <w:t>-9</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lastRenderedPageBreak/>
              <w:t>Hydrogen chloride [Inorganic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3.08×10</w:t>
            </w:r>
            <w:r>
              <w:rPr>
                <w:vertAlign w:val="superscript"/>
              </w:rPr>
              <w:t>-2</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Hydrogen fluoride [Inorganic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2.66×10</w:t>
            </w:r>
            <w:r>
              <w:rPr>
                <w:vertAlign w:val="superscript"/>
              </w:rPr>
              <w:t>-3</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Hydrogen sulphide [Inorganic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1.07×10</w:t>
            </w:r>
            <w:r>
              <w:rPr>
                <w:vertAlign w:val="superscript"/>
              </w:rPr>
              <w:t>-2</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Lead [Heavy metals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3.10×10</w:t>
            </w:r>
            <w:r>
              <w:rPr>
                <w:vertAlign w:val="superscript"/>
              </w:rPr>
              <w:t>-4</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Lead [Heavy metals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2.63×10</w:t>
            </w:r>
            <w:r>
              <w:rPr>
                <w:vertAlign w:val="superscript"/>
              </w:rPr>
              <w:t>-5</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Mercury [Heavy metals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1.57×10</w:t>
            </w:r>
            <w:r>
              <w:rPr>
                <w:vertAlign w:val="superscript"/>
              </w:rPr>
              <w:t>-7</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Mercury [Heavy metals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1.38×10</w:t>
            </w:r>
            <w:r>
              <w:rPr>
                <w:vertAlign w:val="superscript"/>
              </w:rPr>
              <w:t>-5</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Methane [Organic emissions to air (group VOC)]</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3.16×10</w:t>
            </w:r>
            <w:r>
              <w:rPr>
                <w:vertAlign w:val="superscript"/>
              </w:rPr>
              <w:t>0</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Methane (biotic) [Organic emissions to air (group VOC)]</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7.60×10</w:t>
            </w:r>
            <w:r>
              <w:rPr>
                <w:vertAlign w:val="superscript"/>
              </w:rPr>
              <w:t>-4</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Nickel [Heavy metals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5.25×10</w:t>
            </w:r>
            <w:r>
              <w:rPr>
                <w:vertAlign w:val="superscript"/>
              </w:rPr>
              <w:t>-5</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Nickel [Heavy metals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2.70×10</w:t>
            </w:r>
            <w:r>
              <w:rPr>
                <w:vertAlign w:val="superscript"/>
              </w:rPr>
              <w:t>-4</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Nitrate [Inorganic emissions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1.16×10</w:t>
            </w:r>
            <w:r>
              <w:rPr>
                <w:vertAlign w:val="superscript"/>
              </w:rPr>
              <w:t>-3</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Nitrogen [Inorganic emissions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2.25×10</w:t>
            </w:r>
            <w:r>
              <w:rPr>
                <w:vertAlign w:val="superscript"/>
              </w:rPr>
              <w:t>-3</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Nitrogen monoxide [Inorganic emissions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2.55×10</w:t>
            </w:r>
            <w:r>
              <w:rPr>
                <w:vertAlign w:val="superscript"/>
              </w:rPr>
              <w:t>-2</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Nitrogen oxides [Inorganic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2.83×10</w:t>
            </w:r>
            <w:r>
              <w:rPr>
                <w:vertAlign w:val="superscript"/>
              </w:rPr>
              <w:t>0</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NMVOC (unspecified) [Group NMVOC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3.98×10</w:t>
            </w:r>
            <w:r>
              <w:rPr>
                <w:vertAlign w:val="superscript"/>
              </w:rPr>
              <w:t>0</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Organic compounds (unspecified) [Organic emissions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8.22×10</w:t>
            </w:r>
            <w:r>
              <w:rPr>
                <w:vertAlign w:val="superscript"/>
              </w:rPr>
              <w:t>-7</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Particulates&lt;10um [Particles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2.72×10</w:t>
            </w:r>
            <w:r>
              <w:rPr>
                <w:vertAlign w:val="superscript"/>
              </w:rPr>
              <w:t>0</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Pentachlorophenol (PCP) [Halogenated 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8.73×10</w:t>
            </w:r>
            <w:r>
              <w:rPr>
                <w:vertAlign w:val="superscript"/>
              </w:rPr>
              <w:t>8</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Phenol (</w:t>
            </w:r>
            <w:proofErr w:type="spellStart"/>
            <w:r w:rsidRPr="0054285D">
              <w:t>hydroxy</w:t>
            </w:r>
            <w:proofErr w:type="spellEnd"/>
            <w:r w:rsidRPr="0054285D">
              <w:t xml:space="preserve"> benzene) [Hydrocarbons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1.50×10</w:t>
            </w:r>
            <w:r>
              <w:rPr>
                <w:vertAlign w:val="superscript"/>
              </w:rPr>
              <w:t>-4</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Phosphorus [Inorganic emissions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1.90×10</w:t>
            </w:r>
            <w:r>
              <w:rPr>
                <w:vertAlign w:val="superscript"/>
              </w:rPr>
              <w:t>-4</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Polychlorinated biphenyls (PCB unspecified) [Halogenated 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1.81×10</w:t>
            </w:r>
            <w:r>
              <w:rPr>
                <w:vertAlign w:val="superscript"/>
              </w:rPr>
              <w:t>-11</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proofErr w:type="spellStart"/>
            <w:r w:rsidRPr="0054285D">
              <w:t>Polycycliaromatic</w:t>
            </w:r>
            <w:proofErr w:type="spellEnd"/>
            <w:r w:rsidRPr="0054285D">
              <w:t xml:space="preserve"> hydrocarbons (PAH, unspecified) [Hydrocarbons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1.21×10</w:t>
            </w:r>
            <w:r>
              <w:rPr>
                <w:vertAlign w:val="superscript"/>
              </w:rPr>
              <w:t>-5</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proofErr w:type="spellStart"/>
            <w:r w:rsidRPr="0054285D">
              <w:t>Polycycliaromatic</w:t>
            </w:r>
            <w:proofErr w:type="spellEnd"/>
            <w:r w:rsidRPr="0054285D">
              <w:t xml:space="preserve"> hydrocarbons (PAH, unspecified) [Group PAH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2.40×10</w:t>
            </w:r>
            <w:r>
              <w:rPr>
                <w:vertAlign w:val="superscript"/>
              </w:rPr>
              <w:t>-4</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Solids (suspended) [Particles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2.37×10</w:t>
            </w:r>
            <w:r>
              <w:rPr>
                <w:vertAlign w:val="superscript"/>
              </w:rPr>
              <w:t>-2</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Sulphate [Inorganic emissions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1.14×10</w:t>
            </w:r>
            <w:r>
              <w:rPr>
                <w:vertAlign w:val="superscript"/>
              </w:rPr>
              <w:t>0</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Sulphur dioxide [Inorganic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1.32×10</w:t>
            </w:r>
            <w:r>
              <w:rPr>
                <w:vertAlign w:val="superscript"/>
              </w:rPr>
              <w:t>0</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Sulphur hexafluoride [Inorganic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1.86×10</w:t>
            </w:r>
            <w:r>
              <w:rPr>
                <w:vertAlign w:val="superscript"/>
              </w:rPr>
              <w:t>-6</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proofErr w:type="spellStart"/>
            <w:r w:rsidRPr="0054285D">
              <w:t>Tetrachloroethene</w:t>
            </w:r>
            <w:proofErr w:type="spellEnd"/>
            <w:r w:rsidRPr="0054285D">
              <w:t xml:space="preserve"> (</w:t>
            </w:r>
            <w:proofErr w:type="spellStart"/>
            <w:r w:rsidRPr="0054285D">
              <w:t>perchloroethylene</w:t>
            </w:r>
            <w:proofErr w:type="spellEnd"/>
            <w:r w:rsidRPr="0054285D">
              <w:t>) [Halogenated 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6.20×10</w:t>
            </w:r>
            <w:r>
              <w:rPr>
                <w:vertAlign w:val="superscript"/>
              </w:rPr>
              <w:t>-11</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Total dust [Resources]</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5.29×10</w:t>
            </w:r>
            <w:r>
              <w:rPr>
                <w:vertAlign w:val="superscript"/>
              </w:rPr>
              <w:t>0</w:t>
            </w:r>
          </w:p>
        </w:tc>
        <w:tc>
          <w:tcPr>
            <w:tcW w:w="516" w:type="dxa"/>
            <w:hideMark/>
          </w:tcPr>
          <w:p w:rsidR="00275EDD" w:rsidRPr="0054285D" w:rsidRDefault="00275EDD" w:rsidP="00275EDD">
            <w:pPr>
              <w:jc w:val="center"/>
            </w:pPr>
            <w:r w:rsidRPr="0054285D">
              <w:t>kg</w:t>
            </w:r>
          </w:p>
        </w:tc>
      </w:tr>
      <w:tr w:rsidR="00275EDD" w:rsidRPr="0054285D" w:rsidTr="000C013D">
        <w:trPr>
          <w:trHeight w:val="300"/>
        </w:trPr>
        <w:tc>
          <w:tcPr>
            <w:tcW w:w="6317" w:type="dxa"/>
            <w:hideMark/>
          </w:tcPr>
          <w:p w:rsidR="00275EDD" w:rsidRPr="0054285D" w:rsidRDefault="00275EDD" w:rsidP="00275EDD">
            <w:pPr>
              <w:jc w:val="center"/>
            </w:pPr>
            <w:r w:rsidRPr="0054285D">
              <w:t>Total organic bounded carbon  [Analytical measures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1.49×10</w:t>
            </w:r>
            <w:r>
              <w:rPr>
                <w:vertAlign w:val="superscript"/>
              </w:rPr>
              <w:t>-1</w:t>
            </w:r>
          </w:p>
        </w:tc>
        <w:tc>
          <w:tcPr>
            <w:tcW w:w="516" w:type="dxa"/>
            <w:hideMark/>
          </w:tcPr>
          <w:p w:rsidR="00275EDD" w:rsidRPr="0054285D" w:rsidRDefault="00927748" w:rsidP="00275EDD">
            <w:pPr>
              <w:jc w:val="center"/>
            </w:pPr>
            <w:r w:rsidRPr="0054285D">
              <w:t>K</w:t>
            </w:r>
            <w:r w:rsidR="00275EDD" w:rsidRPr="0054285D">
              <w:t>g</w:t>
            </w:r>
          </w:p>
        </w:tc>
      </w:tr>
      <w:tr w:rsidR="00275EDD" w:rsidRPr="0054285D" w:rsidTr="000C013D">
        <w:trPr>
          <w:trHeight w:val="300"/>
        </w:trPr>
        <w:tc>
          <w:tcPr>
            <w:tcW w:w="6317" w:type="dxa"/>
            <w:hideMark/>
          </w:tcPr>
          <w:p w:rsidR="00275EDD" w:rsidRPr="0054285D" w:rsidRDefault="00275EDD" w:rsidP="00275EDD">
            <w:pPr>
              <w:jc w:val="center"/>
            </w:pPr>
            <w:proofErr w:type="spellStart"/>
            <w:r w:rsidRPr="0054285D">
              <w:t>Trichloromethane</w:t>
            </w:r>
            <w:proofErr w:type="spellEnd"/>
            <w:r w:rsidRPr="0054285D">
              <w:t xml:space="preserve"> (chloroform)  [Halogenated organic emissions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3.36×10</w:t>
            </w:r>
            <w:r>
              <w:rPr>
                <w:vertAlign w:val="superscript"/>
              </w:rPr>
              <w:t>-9</w:t>
            </w:r>
          </w:p>
        </w:tc>
        <w:tc>
          <w:tcPr>
            <w:tcW w:w="516" w:type="dxa"/>
            <w:hideMark/>
          </w:tcPr>
          <w:p w:rsidR="00275EDD" w:rsidRPr="0054285D" w:rsidRDefault="00927748" w:rsidP="00275EDD">
            <w:pPr>
              <w:jc w:val="center"/>
            </w:pPr>
            <w:r w:rsidRPr="0054285D">
              <w:t>K</w:t>
            </w:r>
            <w:r w:rsidR="00275EDD" w:rsidRPr="0054285D">
              <w:t>g</w:t>
            </w:r>
          </w:p>
        </w:tc>
      </w:tr>
      <w:tr w:rsidR="00275EDD" w:rsidRPr="0054285D" w:rsidTr="000C013D">
        <w:trPr>
          <w:trHeight w:val="300"/>
        </w:trPr>
        <w:tc>
          <w:tcPr>
            <w:tcW w:w="6317" w:type="dxa"/>
            <w:hideMark/>
          </w:tcPr>
          <w:p w:rsidR="00275EDD" w:rsidRPr="0054285D" w:rsidRDefault="00275EDD" w:rsidP="00275EDD">
            <w:pPr>
              <w:jc w:val="center"/>
            </w:pPr>
            <w:r w:rsidRPr="0054285D">
              <w:t>Zinc [Heavy metals to fresh water]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2.40×10</w:t>
            </w:r>
            <w:r>
              <w:rPr>
                <w:vertAlign w:val="superscript"/>
              </w:rPr>
              <w:t>-4</w:t>
            </w:r>
          </w:p>
        </w:tc>
        <w:tc>
          <w:tcPr>
            <w:tcW w:w="516" w:type="dxa"/>
            <w:hideMark/>
          </w:tcPr>
          <w:p w:rsidR="00275EDD" w:rsidRPr="0054285D" w:rsidRDefault="00927748" w:rsidP="00275EDD">
            <w:pPr>
              <w:jc w:val="center"/>
            </w:pPr>
            <w:r w:rsidRPr="0054285D">
              <w:t>K</w:t>
            </w:r>
            <w:r w:rsidR="00275EDD" w:rsidRPr="0054285D">
              <w:t>g</w:t>
            </w:r>
          </w:p>
        </w:tc>
      </w:tr>
      <w:tr w:rsidR="00275EDD" w:rsidRPr="0054285D" w:rsidTr="000C013D">
        <w:trPr>
          <w:trHeight w:val="300"/>
        </w:trPr>
        <w:tc>
          <w:tcPr>
            <w:tcW w:w="6317" w:type="dxa"/>
            <w:hideMark/>
          </w:tcPr>
          <w:p w:rsidR="00275EDD" w:rsidRPr="0054285D" w:rsidRDefault="00275EDD" w:rsidP="00275EDD">
            <w:pPr>
              <w:jc w:val="center"/>
            </w:pPr>
            <w:r w:rsidRPr="0054285D">
              <w:t>Zinc [Heavy metals to air]</w:t>
            </w:r>
          </w:p>
        </w:tc>
        <w:tc>
          <w:tcPr>
            <w:tcW w:w="999" w:type="dxa"/>
            <w:hideMark/>
          </w:tcPr>
          <w:p w:rsidR="00275EDD" w:rsidRPr="0054285D" w:rsidRDefault="00275EDD" w:rsidP="00275EDD">
            <w:pPr>
              <w:jc w:val="center"/>
            </w:pPr>
            <w:r w:rsidRPr="0054285D">
              <w:t>Mass</w:t>
            </w:r>
          </w:p>
        </w:tc>
        <w:tc>
          <w:tcPr>
            <w:tcW w:w="1184" w:type="dxa"/>
            <w:hideMark/>
          </w:tcPr>
          <w:p w:rsidR="00275EDD" w:rsidRPr="0054285D" w:rsidRDefault="000C013D" w:rsidP="00275EDD">
            <w:pPr>
              <w:jc w:val="center"/>
            </w:pPr>
            <w:r>
              <w:t>1.70×10</w:t>
            </w:r>
            <w:r>
              <w:rPr>
                <w:vertAlign w:val="superscript"/>
              </w:rPr>
              <w:t>-4</w:t>
            </w:r>
          </w:p>
        </w:tc>
        <w:tc>
          <w:tcPr>
            <w:tcW w:w="516" w:type="dxa"/>
            <w:hideMark/>
          </w:tcPr>
          <w:p w:rsidR="00275EDD" w:rsidRPr="0054285D" w:rsidRDefault="00927748" w:rsidP="00275EDD">
            <w:pPr>
              <w:jc w:val="center"/>
            </w:pPr>
            <w:r w:rsidRPr="0054285D">
              <w:t>K</w:t>
            </w:r>
            <w:r w:rsidR="00275EDD" w:rsidRPr="0054285D">
              <w:t>g</w:t>
            </w:r>
          </w:p>
        </w:tc>
      </w:tr>
    </w:tbl>
    <w:p w:rsidR="00EC4F5E" w:rsidRPr="0054285D" w:rsidRDefault="00EC4F5E" w:rsidP="00EC4F5E">
      <w:pPr>
        <w:spacing w:after="0"/>
        <w:jc w:val="both"/>
      </w:pPr>
    </w:p>
    <w:p w:rsidR="00B9181D" w:rsidRPr="0054285D" w:rsidRDefault="00927748" w:rsidP="00B9181D">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Data provided by the Probas database was European averaged data for the year 2002-2003. The boundaries of the system included extraction and delivery to borax factory, with transportation being excluded from the system.</w:t>
      </w:r>
      <w:r w:rsidR="00EC4F5E" w:rsidRPr="0054285D">
        <w:rPr>
          <w:rFonts w:ascii="Times New Roman" w:eastAsia="Calibri" w:hAnsi="Times New Roman" w:cs="Times New Roman"/>
        </w:rPr>
        <w:t xml:space="preserve"> Not too dissimilar in the way input data from</w:t>
      </w:r>
      <w:r w:rsidRPr="0054285D">
        <w:rPr>
          <w:rFonts w:ascii="Times New Roman" w:eastAsia="Calibri" w:hAnsi="Times New Roman" w:cs="Times New Roman"/>
        </w:rPr>
        <w:t xml:space="preserve"> </w:t>
      </w:r>
      <w:r w:rsidRPr="0054285D">
        <w:rPr>
          <w:rFonts w:ascii="Times New Roman" w:eastAsia="Calibri" w:hAnsi="Times New Roman" w:cs="Times New Roman"/>
          <w:noProof/>
        </w:rPr>
        <w:t>(Gasik.M 2013)</w:t>
      </w:r>
      <w:r w:rsidRPr="0054285D">
        <w:rPr>
          <w:rFonts w:ascii="Times New Roman" w:eastAsia="Calibri" w:hAnsi="Times New Roman" w:cs="Times New Roman"/>
        </w:rPr>
        <w:t xml:space="preserve"> </w:t>
      </w:r>
      <w:r w:rsidR="00EC4F5E" w:rsidRPr="0054285D">
        <w:rPr>
          <w:rFonts w:ascii="Times New Roman" w:eastAsia="Calibri" w:hAnsi="Times New Roman" w:cs="Times New Roman"/>
        </w:rPr>
        <w:t>was used to create ferroboron, the data from Probas was used to create the ‘Borates’ process.</w:t>
      </w:r>
      <w:r w:rsidR="00EC4F5E" w:rsidRPr="0054285D">
        <w:t xml:space="preserve"> </w:t>
      </w:r>
      <w:r w:rsidR="00AE7A4C" w:rsidRPr="0054285D">
        <w:rPr>
          <w:rFonts w:ascii="Times New Roman" w:eastAsia="Calibri" w:hAnsi="Times New Roman" w:cs="Times New Roman"/>
        </w:rPr>
        <w:t xml:space="preserve">The inputs and outputs </w:t>
      </w:r>
      <w:r w:rsidR="00AE7A4C" w:rsidRPr="0054285D">
        <w:rPr>
          <w:rFonts w:ascii="Times New Roman" w:eastAsia="Calibri" w:hAnsi="Times New Roman" w:cs="Times New Roman"/>
        </w:rPr>
        <w:lastRenderedPageBreak/>
        <w:t xml:space="preserve">represented flows in the process. However a number of flows (i.e. resources, air and water emissions) were missing from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databases. Instead, alternatives had to be utilised, in some cases new flows had to be created, and in other cases some flows were missing from both databases and were not included.</w:t>
      </w:r>
      <w:r w:rsidR="00B9181D" w:rsidRPr="0054285D">
        <w:t xml:space="preserve"> </w:t>
      </w:r>
      <w:r w:rsidR="00B9181D" w:rsidRPr="0054285D">
        <w:rPr>
          <w:rFonts w:ascii="Times New Roman" w:eastAsia="Calibri" w:hAnsi="Times New Roman" w:cs="Times New Roman"/>
        </w:rPr>
        <w:t>In detail:</w:t>
      </w:r>
    </w:p>
    <w:p w:rsidR="00B9181D" w:rsidRPr="0054285D" w:rsidRDefault="004F3654" w:rsidP="00EE7761">
      <w:pPr>
        <w:pStyle w:val="ListParagraph"/>
        <w:numPr>
          <w:ilvl w:val="0"/>
          <w:numId w:val="21"/>
        </w:numPr>
        <w:spacing w:after="0" w:line="360" w:lineRule="auto"/>
        <w:jc w:val="both"/>
        <w:rPr>
          <w:rFonts w:eastAsiaTheme="minorEastAsia"/>
        </w:rPr>
      </w:pPr>
      <w:r>
        <w:rPr>
          <w:rFonts w:ascii="Times New Roman" w:eastAsia="Calibri" w:hAnsi="Times New Roman" w:cs="Times New Roman"/>
        </w:rPr>
        <w:t>For r</w:t>
      </w:r>
      <w:r w:rsidR="00B9181D" w:rsidRPr="0054285D">
        <w:rPr>
          <w:rFonts w:ascii="Times New Roman" w:eastAsia="Calibri" w:hAnsi="Times New Roman" w:cs="Times New Roman"/>
        </w:rPr>
        <w:t>esources - L</w:t>
      </w:r>
      <w:r w:rsidR="00AE7A4C" w:rsidRPr="0054285D">
        <w:rPr>
          <w:rFonts w:ascii="Times New Roman" w:eastAsia="Calibri" w:hAnsi="Times New Roman" w:cs="Times New Roman"/>
        </w:rPr>
        <w:t>and use, renewable fuel and fossil fuel flows were replaced with transformation with unknown, hydroelec</w:t>
      </w:r>
      <w:r w:rsidR="00B9181D" w:rsidRPr="0054285D">
        <w:rPr>
          <w:rFonts w:ascii="Times New Roman" w:eastAsia="Calibri" w:hAnsi="Times New Roman" w:cs="Times New Roman"/>
        </w:rPr>
        <w:t>tric power and hard coal flows.</w:t>
      </w:r>
    </w:p>
    <w:p w:rsidR="00B9181D" w:rsidRPr="0054285D" w:rsidRDefault="004F3654" w:rsidP="00EE7761">
      <w:pPr>
        <w:pStyle w:val="ListParagraph"/>
        <w:numPr>
          <w:ilvl w:val="0"/>
          <w:numId w:val="21"/>
        </w:numPr>
        <w:spacing w:after="0" w:line="360" w:lineRule="auto"/>
        <w:jc w:val="both"/>
        <w:rPr>
          <w:rFonts w:eastAsiaTheme="minorEastAsia"/>
        </w:rPr>
      </w:pPr>
      <w:r>
        <w:rPr>
          <w:rFonts w:ascii="Times New Roman" w:eastAsia="Calibri" w:hAnsi="Times New Roman" w:cs="Times New Roman"/>
        </w:rPr>
        <w:t>For a</w:t>
      </w:r>
      <w:r w:rsidR="00B9181D" w:rsidRPr="0054285D">
        <w:rPr>
          <w:rFonts w:ascii="Times New Roman" w:eastAsia="Calibri" w:hAnsi="Times New Roman" w:cs="Times New Roman"/>
        </w:rPr>
        <w:t xml:space="preserve">ir emissions (New flows) – A </w:t>
      </w:r>
      <w:r w:rsidR="00AE7A4C" w:rsidRPr="0054285D">
        <w:rPr>
          <w:rFonts w:ascii="Times New Roman" w:eastAsia="Calibri" w:hAnsi="Times New Roman" w:cs="Times New Roman"/>
        </w:rPr>
        <w:t>new flow was cr</w:t>
      </w:r>
      <w:r w:rsidR="00B9181D" w:rsidRPr="0054285D">
        <w:rPr>
          <w:rFonts w:ascii="Times New Roman" w:eastAsia="Calibri" w:hAnsi="Times New Roman" w:cs="Times New Roman"/>
        </w:rPr>
        <w:t>eated for the input total dust.</w:t>
      </w:r>
    </w:p>
    <w:p w:rsidR="00EE1665" w:rsidRPr="0054285D" w:rsidRDefault="004F3654" w:rsidP="00EE7761">
      <w:pPr>
        <w:pStyle w:val="ListParagraph"/>
        <w:numPr>
          <w:ilvl w:val="0"/>
          <w:numId w:val="21"/>
        </w:numPr>
        <w:spacing w:after="0" w:line="360" w:lineRule="auto"/>
        <w:jc w:val="both"/>
        <w:rPr>
          <w:rFonts w:eastAsiaTheme="minorEastAsia"/>
        </w:rPr>
      </w:pPr>
      <w:r>
        <w:rPr>
          <w:rFonts w:ascii="Times New Roman" w:eastAsia="Calibri" w:hAnsi="Times New Roman" w:cs="Times New Roman"/>
        </w:rPr>
        <w:t>For a</w:t>
      </w:r>
      <w:r w:rsidR="00B9181D" w:rsidRPr="0054285D">
        <w:rPr>
          <w:rFonts w:ascii="Times New Roman" w:eastAsia="Calibri" w:hAnsi="Times New Roman" w:cs="Times New Roman"/>
        </w:rPr>
        <w:t xml:space="preserve">ir emission (Alternative flows) - </w:t>
      </w:r>
      <w:r w:rsidR="00AE7A4C" w:rsidRPr="0054285D">
        <w:rPr>
          <w:rFonts w:ascii="Times New Roman" w:eastAsia="Calibri" w:hAnsi="Times New Roman" w:cs="Times New Roman"/>
        </w:rPr>
        <w:t>CO</w:t>
      </w:r>
      <w:r w:rsidR="00AE7A4C" w:rsidRPr="0054285D">
        <w:rPr>
          <w:rFonts w:ascii="Times New Roman" w:eastAsia="Calibri" w:hAnsi="Times New Roman" w:cs="Times New Roman"/>
          <w:vertAlign w:val="subscript"/>
        </w:rPr>
        <w:t xml:space="preserve">2 </w:t>
      </w:r>
      <w:r w:rsidR="00AE7A4C" w:rsidRPr="0054285D">
        <w:rPr>
          <w:rFonts w:ascii="Times New Roman" w:eastAsia="Calibri" w:hAnsi="Times New Roman" w:cs="Times New Roman"/>
        </w:rPr>
        <w:t>fossil, CO</w:t>
      </w:r>
      <w:r w:rsidR="00AE7A4C" w:rsidRPr="0054285D">
        <w:rPr>
          <w:rFonts w:ascii="Times New Roman" w:eastAsia="Calibri" w:hAnsi="Times New Roman" w:cs="Times New Roman"/>
          <w:vertAlign w:val="subscript"/>
        </w:rPr>
        <w:t>2</w:t>
      </w:r>
      <w:r w:rsidR="00AE7A4C" w:rsidRPr="0054285D">
        <w:rPr>
          <w:rFonts w:ascii="Times New Roman" w:eastAsia="Calibri" w:hAnsi="Times New Roman" w:cs="Times New Roman"/>
        </w:rPr>
        <w:t xml:space="preserve"> regenerative, CH</w:t>
      </w:r>
      <w:r w:rsidR="00AE7A4C" w:rsidRPr="0054285D">
        <w:rPr>
          <w:rFonts w:ascii="Times New Roman" w:eastAsia="Calibri" w:hAnsi="Times New Roman" w:cs="Times New Roman"/>
          <w:vertAlign w:val="subscript"/>
        </w:rPr>
        <w:t>4</w:t>
      </w:r>
      <w:r w:rsidR="00AE7A4C" w:rsidRPr="0054285D">
        <w:rPr>
          <w:rFonts w:ascii="Times New Roman" w:eastAsia="Calibri" w:hAnsi="Times New Roman" w:cs="Times New Roman"/>
        </w:rPr>
        <w:t xml:space="preserve"> fossil, CH</w:t>
      </w:r>
      <w:r w:rsidR="00AE7A4C" w:rsidRPr="0054285D">
        <w:rPr>
          <w:rFonts w:ascii="Times New Roman" w:eastAsia="Calibri" w:hAnsi="Times New Roman" w:cs="Times New Roman"/>
          <w:vertAlign w:val="subscript"/>
        </w:rPr>
        <w:t>4</w:t>
      </w:r>
      <w:r w:rsidR="00AE7A4C" w:rsidRPr="0054285D">
        <w:rPr>
          <w:rFonts w:ascii="Times New Roman" w:eastAsia="Calibri" w:hAnsi="Times New Roman" w:cs="Times New Roman"/>
        </w:rPr>
        <w:t xml:space="preserve"> biogen were all substituted with CO</w:t>
      </w:r>
      <w:r w:rsidR="00AE7A4C" w:rsidRPr="0054285D">
        <w:rPr>
          <w:rFonts w:ascii="Times New Roman" w:eastAsia="Calibri" w:hAnsi="Times New Roman" w:cs="Times New Roman"/>
          <w:vertAlign w:val="subscript"/>
        </w:rPr>
        <w:t>2</w:t>
      </w:r>
      <w:r w:rsidR="00AE7A4C" w:rsidRPr="0054285D">
        <w:rPr>
          <w:rFonts w:ascii="Times New Roman" w:eastAsia="Calibri" w:hAnsi="Times New Roman" w:cs="Times New Roman"/>
        </w:rPr>
        <w:t>, CO</w:t>
      </w:r>
      <w:r w:rsidR="00AE7A4C" w:rsidRPr="0054285D">
        <w:rPr>
          <w:rFonts w:ascii="Times New Roman" w:eastAsia="Calibri" w:hAnsi="Times New Roman" w:cs="Times New Roman"/>
          <w:vertAlign w:val="subscript"/>
        </w:rPr>
        <w:t xml:space="preserve">2 </w:t>
      </w:r>
      <w:r w:rsidR="00AE7A4C" w:rsidRPr="0054285D">
        <w:rPr>
          <w:rFonts w:ascii="Times New Roman" w:eastAsia="Calibri" w:hAnsi="Times New Roman" w:cs="Times New Roman"/>
        </w:rPr>
        <w:t>biotic, CH</w:t>
      </w:r>
      <w:r w:rsidR="00AE7A4C" w:rsidRPr="0054285D">
        <w:rPr>
          <w:rFonts w:ascii="Times New Roman" w:eastAsia="Calibri" w:hAnsi="Times New Roman" w:cs="Times New Roman"/>
          <w:vertAlign w:val="subscript"/>
        </w:rPr>
        <w:t xml:space="preserve">4 </w:t>
      </w:r>
      <w:r w:rsidR="00AE7A4C" w:rsidRPr="0054285D">
        <w:rPr>
          <w:rFonts w:ascii="Times New Roman" w:eastAsia="Calibri" w:hAnsi="Times New Roman" w:cs="Times New Roman"/>
        </w:rPr>
        <w:t>and</w:t>
      </w:r>
      <w:r w:rsidR="00B9181D" w:rsidRPr="0054285D">
        <w:rPr>
          <w:rFonts w:ascii="Times New Roman" w:eastAsia="Calibri" w:hAnsi="Times New Roman" w:cs="Times New Roman"/>
        </w:rPr>
        <w:t xml:space="preserve"> </w:t>
      </w:r>
      <w:r w:rsidR="00AE7A4C" w:rsidRPr="0054285D">
        <w:rPr>
          <w:rFonts w:ascii="Times New Roman" w:eastAsia="Calibri" w:hAnsi="Times New Roman" w:cs="Times New Roman"/>
        </w:rPr>
        <w:t>CH</w:t>
      </w:r>
      <w:r w:rsidR="00AE7A4C" w:rsidRPr="0054285D">
        <w:rPr>
          <w:rFonts w:ascii="Times New Roman" w:eastAsia="Calibri" w:hAnsi="Times New Roman" w:cs="Times New Roman"/>
          <w:vertAlign w:val="subscript"/>
        </w:rPr>
        <w:t>4</w:t>
      </w:r>
      <w:r w:rsidR="00AE7A4C" w:rsidRPr="0054285D">
        <w:rPr>
          <w:rFonts w:ascii="Times New Roman" w:eastAsia="Calibri" w:hAnsi="Times New Roman" w:cs="Times New Roman"/>
        </w:rPr>
        <w:t xml:space="preserve"> biotic flows. For the hydro carbons, CFC (Chlorofluorocarbon) and CHC (</w:t>
      </w:r>
      <w:proofErr w:type="spellStart"/>
      <w:r w:rsidR="00AE7A4C" w:rsidRPr="0054285D">
        <w:rPr>
          <w:rFonts w:ascii="Times New Roman" w:eastAsia="Calibri" w:hAnsi="Times New Roman" w:cs="Times New Roman"/>
        </w:rPr>
        <w:t>Chlorohydrocarbon</w:t>
      </w:r>
      <w:proofErr w:type="spellEnd"/>
      <w:r w:rsidR="00AE7A4C" w:rsidRPr="0054285D">
        <w:rPr>
          <w:rFonts w:ascii="Times New Roman" w:eastAsia="Calibri" w:hAnsi="Times New Roman" w:cs="Times New Roman"/>
        </w:rPr>
        <w:t xml:space="preserve">) were combined into one </w:t>
      </w:r>
      <w:r w:rsidR="00EE1665" w:rsidRPr="0054285D">
        <w:rPr>
          <w:rFonts w:ascii="Times New Roman" w:eastAsia="Calibri" w:hAnsi="Times New Roman" w:cs="Times New Roman"/>
        </w:rPr>
        <w:t>flow (Chlorinated hydrocarbons).</w:t>
      </w:r>
    </w:p>
    <w:p w:rsidR="00B9181D" w:rsidRPr="0054285D" w:rsidRDefault="00EE1665" w:rsidP="00EE7761">
      <w:pPr>
        <w:pStyle w:val="ListParagraph"/>
        <w:numPr>
          <w:ilvl w:val="0"/>
          <w:numId w:val="21"/>
        </w:numPr>
        <w:spacing w:after="0" w:line="360" w:lineRule="auto"/>
        <w:jc w:val="both"/>
        <w:rPr>
          <w:rFonts w:eastAsiaTheme="minorEastAsia"/>
        </w:rPr>
      </w:pPr>
      <w:r w:rsidRPr="0054285D">
        <w:rPr>
          <w:rFonts w:ascii="Times New Roman" w:eastAsia="Calibri" w:hAnsi="Times New Roman" w:cs="Times New Roman"/>
        </w:rPr>
        <w:t>For air emissions (Missing flows) -</w:t>
      </w:r>
      <w:r w:rsidR="00AE7A4C" w:rsidRPr="0054285D">
        <w:rPr>
          <w:rFonts w:ascii="Times New Roman" w:eastAsia="Calibri" w:hAnsi="Times New Roman" w:cs="Times New Roman"/>
        </w:rPr>
        <w:t xml:space="preserve"> PFC (Perfluorocarbons) was not included due to unavailability in both databases.</w:t>
      </w:r>
    </w:p>
    <w:p w:rsidR="00B9181D" w:rsidRPr="0054285D" w:rsidRDefault="004F3654" w:rsidP="00EE7761">
      <w:pPr>
        <w:pStyle w:val="ListParagraph"/>
        <w:numPr>
          <w:ilvl w:val="0"/>
          <w:numId w:val="21"/>
        </w:numPr>
        <w:spacing w:after="0" w:line="360" w:lineRule="auto"/>
        <w:jc w:val="both"/>
        <w:rPr>
          <w:rFonts w:eastAsiaTheme="minorEastAsia"/>
        </w:rPr>
      </w:pPr>
      <w:r>
        <w:rPr>
          <w:rFonts w:ascii="Times New Roman" w:eastAsia="Calibri" w:hAnsi="Times New Roman" w:cs="Times New Roman"/>
        </w:rPr>
        <w:t>For w</w:t>
      </w:r>
      <w:r w:rsidR="00B9181D" w:rsidRPr="0054285D">
        <w:rPr>
          <w:rFonts w:ascii="Times New Roman" w:eastAsia="Calibri" w:hAnsi="Times New Roman" w:cs="Times New Roman"/>
        </w:rPr>
        <w:t>ater emissions (Alternative flows) -</w:t>
      </w:r>
      <w:r w:rsidR="00EE1665" w:rsidRPr="0054285D">
        <w:rPr>
          <w:rFonts w:ascii="Times New Roman" w:eastAsia="Calibri" w:hAnsi="Times New Roman" w:cs="Times New Roman"/>
        </w:rPr>
        <w:t xml:space="preserve"> H</w:t>
      </w:r>
      <w:r w:rsidR="00AE7A4C" w:rsidRPr="0054285D">
        <w:rPr>
          <w:rFonts w:ascii="Times New Roman" w:eastAsia="Calibri" w:hAnsi="Times New Roman" w:cs="Times New Roman"/>
        </w:rPr>
        <w:t xml:space="preserve">alogen compounds, organic tin compounds and suspended matter were exchanged with AOX adsorbable organic halogen compounds, organic compounds unspecified and solids suspended. </w:t>
      </w:r>
    </w:p>
    <w:p w:rsidR="00AE7A4C" w:rsidRPr="0054285D" w:rsidRDefault="00B9181D" w:rsidP="00EE7761">
      <w:pPr>
        <w:pStyle w:val="ListParagraph"/>
        <w:numPr>
          <w:ilvl w:val="0"/>
          <w:numId w:val="21"/>
        </w:numPr>
        <w:spacing w:after="0" w:line="360" w:lineRule="auto"/>
        <w:jc w:val="both"/>
        <w:rPr>
          <w:rFonts w:eastAsiaTheme="minorEastAsia"/>
        </w:rPr>
      </w:pPr>
      <w:r w:rsidRPr="0054285D">
        <w:rPr>
          <w:rFonts w:ascii="Times New Roman" w:eastAsia="Calibri" w:hAnsi="Times New Roman" w:cs="Times New Roman"/>
        </w:rPr>
        <w:t xml:space="preserve">For </w:t>
      </w:r>
      <w:r w:rsidR="00EE1665" w:rsidRPr="0054285D">
        <w:rPr>
          <w:rFonts w:ascii="Times New Roman" w:eastAsia="Calibri" w:hAnsi="Times New Roman" w:cs="Times New Roman"/>
        </w:rPr>
        <w:t>water emissions (Missing flows) -</w:t>
      </w:r>
      <w:r w:rsidRPr="0054285D">
        <w:rPr>
          <w:rFonts w:ascii="Times New Roman" w:eastAsia="Calibri" w:hAnsi="Times New Roman" w:cs="Times New Roman"/>
        </w:rPr>
        <w:t xml:space="preserve"> </w:t>
      </w:r>
      <w:r w:rsidR="00EE1665" w:rsidRPr="0054285D">
        <w:rPr>
          <w:rFonts w:ascii="Times New Roman" w:eastAsia="Calibri" w:hAnsi="Times New Roman" w:cs="Times New Roman"/>
        </w:rPr>
        <w:t>T</w:t>
      </w:r>
      <w:r w:rsidR="00AE7A4C" w:rsidRPr="0054285D">
        <w:rPr>
          <w:rFonts w:ascii="Times New Roman" w:eastAsia="Calibri" w:hAnsi="Times New Roman" w:cs="Times New Roman"/>
        </w:rPr>
        <w:t>he following inputs were not included due to unavailability: Benzo (a) pyrene, Dioxins, HCBD (</w:t>
      </w:r>
      <w:proofErr w:type="spellStart"/>
      <w:r w:rsidR="00AE7A4C" w:rsidRPr="0054285D">
        <w:rPr>
          <w:rFonts w:ascii="Times New Roman" w:eastAsia="Calibri" w:hAnsi="Times New Roman" w:cs="Times New Roman"/>
        </w:rPr>
        <w:t>Hexachlorobutadiene</w:t>
      </w:r>
      <w:proofErr w:type="spellEnd"/>
      <w:r w:rsidR="00AE7A4C" w:rsidRPr="0054285D">
        <w:rPr>
          <w:rFonts w:ascii="Times New Roman" w:eastAsia="Calibri" w:hAnsi="Times New Roman" w:cs="Times New Roman"/>
        </w:rPr>
        <w:t>) and POP (Persistent Organic Pollutant).</w:t>
      </w:r>
    </w:p>
    <w:p w:rsidR="00AE7A4C" w:rsidRPr="0054285D" w:rsidRDefault="00B9181D" w:rsidP="009070D8">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The complete process for ferroboron</w:t>
      </w:r>
      <w:r w:rsidR="00AE7A4C" w:rsidRPr="0054285D">
        <w:rPr>
          <w:rFonts w:ascii="Times New Roman" w:eastAsia="Calibri" w:hAnsi="Times New Roman" w:cs="Times New Roman"/>
        </w:rPr>
        <w:t xml:space="preserve"> with borates can be seen in </w:t>
      </w:r>
      <w:r w:rsidR="00A6415F" w:rsidRPr="0054285D">
        <w:fldChar w:fldCharType="begin"/>
      </w:r>
      <w:r w:rsidR="00A6415F" w:rsidRPr="0054285D">
        <w:instrText xml:space="preserve"> REF _Ref468432927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58</w:t>
      </w:r>
      <w:r w:rsidR="00A6415F" w:rsidRPr="0054285D">
        <w:fldChar w:fldCharType="end"/>
      </w:r>
      <w:r w:rsidR="009070D8" w:rsidRPr="0054285D">
        <w:rPr>
          <w:rFonts w:ascii="Times New Roman" w:eastAsia="Calibri" w:hAnsi="Times New Roman" w:cs="Times New Roman"/>
        </w:rPr>
        <w:t>.</w:t>
      </w:r>
    </w:p>
    <w:p w:rsidR="00AE7A4C" w:rsidRPr="0054285D" w:rsidRDefault="008941EB" w:rsidP="00AE7A4C">
      <w:pPr>
        <w:spacing w:after="0" w:line="360" w:lineRule="auto"/>
        <w:jc w:val="center"/>
        <w:rPr>
          <w:rFonts w:ascii="Times New Roman" w:eastAsia="Calibri" w:hAnsi="Times New Roman" w:cs="Times New Roman"/>
        </w:rPr>
      </w:pPr>
      <w:r w:rsidRPr="0054285D">
        <w:rPr>
          <w:noProof/>
        </w:rPr>
        <w:drawing>
          <wp:inline distT="0" distB="0" distL="0" distR="0">
            <wp:extent cx="5731510" cy="2200275"/>
            <wp:effectExtent l="0" t="0" r="254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srcRect l="28418" t="53180" r="30036" b="18457"/>
                    <a:stretch/>
                  </pic:blipFill>
                  <pic:spPr bwMode="auto">
                    <a:xfrm>
                      <a:off x="0" y="0"/>
                      <a:ext cx="5731510" cy="2200275"/>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3E7792" w:rsidP="003E7792">
      <w:pPr>
        <w:rPr>
          <w:rFonts w:ascii="Times New Roman" w:eastAsia="Calibri" w:hAnsi="Times New Roman" w:cs="Times New Roman"/>
        </w:rPr>
      </w:pPr>
      <w:bookmarkStart w:id="238" w:name="_Ref468432927"/>
      <w:bookmarkStart w:id="239" w:name="_Toc495848391"/>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58</w:t>
      </w:r>
      <w:r w:rsidR="009A0ED7" w:rsidRPr="0054285D">
        <w:rPr>
          <w:rFonts w:ascii="Times New Roman" w:hAnsi="Times New Roman" w:cs="Times New Roman"/>
        </w:rPr>
        <w:fldChar w:fldCharType="end"/>
      </w:r>
      <w:bookmarkEnd w:id="238"/>
      <w:r w:rsidRPr="0054285D">
        <w:rPr>
          <w:rFonts w:ascii="Times New Roman" w:hAnsi="Times New Roman" w:cs="Times New Roman"/>
        </w:rPr>
        <w:t xml:space="preserve">. </w:t>
      </w:r>
      <w:r w:rsidR="00B9181D" w:rsidRPr="0054285D">
        <w:rPr>
          <w:rFonts w:ascii="Times New Roman" w:eastAsia="Calibri" w:hAnsi="Times New Roman" w:cs="Times New Roman"/>
        </w:rPr>
        <w:t>Ferroboron</w:t>
      </w:r>
      <w:r w:rsidR="00AE7A4C" w:rsidRPr="0054285D">
        <w:rPr>
          <w:rFonts w:ascii="Times New Roman" w:eastAsia="Calibri" w:hAnsi="Times New Roman" w:cs="Times New Roman"/>
        </w:rPr>
        <w:t xml:space="preserve"> model with borates.</w:t>
      </w:r>
      <w:bookmarkEnd w:id="239"/>
    </w:p>
    <w:p w:rsidR="00AE7A4C" w:rsidRPr="0054285D" w:rsidRDefault="004368DB" w:rsidP="003E7792">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The criteria </w:t>
      </w:r>
      <w:r w:rsidR="00AE7A4C" w:rsidRPr="0054285D">
        <w:rPr>
          <w:rFonts w:ascii="Times New Roman" w:eastAsia="Calibri" w:hAnsi="Times New Roman" w:cs="Times New Roman"/>
        </w:rPr>
        <w:t>o</w:t>
      </w:r>
      <w:r w:rsidRPr="0054285D">
        <w:rPr>
          <w:rFonts w:ascii="Times New Roman" w:eastAsia="Calibri" w:hAnsi="Times New Roman" w:cs="Times New Roman"/>
        </w:rPr>
        <w:t>f replacing</w:t>
      </w:r>
      <w:r w:rsidR="00AE7A4C" w:rsidRPr="0054285D">
        <w:rPr>
          <w:rFonts w:ascii="Times New Roman" w:eastAsia="Calibri" w:hAnsi="Times New Roman" w:cs="Times New Roman"/>
        </w:rPr>
        <w:t xml:space="preserve"> one flow with another, was based on analysing</w:t>
      </w:r>
      <w:r w:rsidR="00EE1665" w:rsidRPr="0054285D">
        <w:rPr>
          <w:rFonts w:ascii="Times New Roman" w:eastAsia="Calibri" w:hAnsi="Times New Roman" w:cs="Times New Roman"/>
        </w:rPr>
        <w:t xml:space="preserve"> existing</w:t>
      </w:r>
      <w:r w:rsidR="00AE7A4C" w:rsidRPr="0054285D">
        <w:rPr>
          <w:rFonts w:ascii="Times New Roman" w:eastAsia="Calibri" w:hAnsi="Times New Roman" w:cs="Times New Roman"/>
        </w:rPr>
        <w:t xml:space="preserve"> inputs and outputs in a number of processes</w:t>
      </w:r>
      <w:r w:rsidR="00EE1665" w:rsidRPr="0054285D">
        <w:rPr>
          <w:rFonts w:ascii="Times New Roman" w:eastAsia="Calibri" w:hAnsi="Times New Roman" w:cs="Times New Roman"/>
        </w:rPr>
        <w:t xml:space="preserve"> currently</w:t>
      </w:r>
      <w:r w:rsidR="00AE7A4C" w:rsidRPr="0054285D">
        <w:rPr>
          <w:rFonts w:ascii="Times New Roman" w:eastAsia="Calibri" w:hAnsi="Times New Roman" w:cs="Times New Roman"/>
        </w:rPr>
        <w:t xml:space="preserve"> in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Analysis of the processes revealed a trend, in which the same resources, air and water emissions were used. Based on this knowledge, the same principle was applied to the borates process in order to be accurate but keep consistency with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related processes.</w:t>
      </w:r>
    </w:p>
    <w:p w:rsidR="00AE7A4C" w:rsidRPr="0054285D" w:rsidRDefault="004930F8" w:rsidP="003E7792">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lastRenderedPageBreak/>
        <w:t>A</w:t>
      </w:r>
      <w:r w:rsidR="00AE7A4C" w:rsidRPr="0054285D">
        <w:rPr>
          <w:rFonts w:ascii="Times New Roman" w:eastAsia="Calibri" w:hAnsi="Times New Roman" w:cs="Times New Roman"/>
        </w:rPr>
        <w:t>part from adjusting</w:t>
      </w:r>
      <w:r w:rsidR="004368DB" w:rsidRPr="0054285D">
        <w:rPr>
          <w:rFonts w:ascii="Times New Roman" w:eastAsia="Calibri" w:hAnsi="Times New Roman" w:cs="Times New Roman"/>
        </w:rPr>
        <w:t xml:space="preserve"> input and output data within</w:t>
      </w:r>
      <w:r w:rsidR="00AE7A4C" w:rsidRPr="0054285D">
        <w:rPr>
          <w:rFonts w:ascii="Times New Roman" w:eastAsia="Calibri" w:hAnsi="Times New Roman" w:cs="Times New Roman"/>
        </w:rPr>
        <w:t xml:space="preserve"> the borates process, a number of adjustments were</w:t>
      </w:r>
      <w:r w:rsidR="004368DB" w:rsidRPr="0054285D">
        <w:rPr>
          <w:rFonts w:ascii="Times New Roman" w:eastAsia="Calibri" w:hAnsi="Times New Roman" w:cs="Times New Roman"/>
        </w:rPr>
        <w:t xml:space="preserve"> also made to the primary inputs</w:t>
      </w:r>
      <w:r w:rsidR="00AE7A4C" w:rsidRPr="0054285D">
        <w:rPr>
          <w:rFonts w:ascii="Times New Roman" w:eastAsia="Calibri" w:hAnsi="Times New Roman" w:cs="Times New Roman"/>
        </w:rPr>
        <w:t xml:space="preserve"> t</w:t>
      </w:r>
      <w:r w:rsidR="004368DB" w:rsidRPr="0054285D">
        <w:rPr>
          <w:rFonts w:ascii="Times New Roman" w:eastAsia="Calibri" w:hAnsi="Times New Roman" w:cs="Times New Roman"/>
        </w:rPr>
        <w:t>o complete the modelling of ferroboron</w:t>
      </w:r>
      <w:r w:rsidR="00AE7A4C" w:rsidRPr="0054285D">
        <w:rPr>
          <w:rFonts w:ascii="Times New Roman" w:eastAsia="Calibri" w:hAnsi="Times New Roman" w:cs="Times New Roman"/>
        </w:rPr>
        <w:t xml:space="preserve">. </w:t>
      </w:r>
    </w:p>
    <w:p w:rsidR="00AE7A4C" w:rsidRPr="0054285D" w:rsidRDefault="00AE7A4C" w:rsidP="003E7792">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For processes, the magnesium process was selected and used instead of magnesite bricks as this was unavailable. In terms of electrical energy, due to the selected production route (aluminium reduction) it was assumed the majority of the energy was via chemical exothermic reaction (60%). The remaining 30% was made up of electrical energy already included in the processes as well as metal and slag formation reactions. This would explain the lack of an electricity process as this would result in double addition. Finally the percentages given for each input as well as output were assumed to be the same as the original data sourc</w:t>
      </w:r>
      <w:r w:rsidR="004368DB" w:rsidRPr="0054285D">
        <w:rPr>
          <w:rFonts w:ascii="Times New Roman" w:eastAsia="Calibri" w:hAnsi="Times New Roman" w:cs="Times New Roman"/>
        </w:rPr>
        <w:t>e.  The ferroboron</w:t>
      </w:r>
      <w:r w:rsidRPr="0054285D">
        <w:rPr>
          <w:rFonts w:ascii="Times New Roman" w:eastAsia="Calibri" w:hAnsi="Times New Roman" w:cs="Times New Roman"/>
        </w:rPr>
        <w:t xml:space="preserve"> process with the process boric oxide instead of borates can be seen in </w:t>
      </w:r>
      <w:r w:rsidR="00A6415F" w:rsidRPr="0054285D">
        <w:fldChar w:fldCharType="begin"/>
      </w:r>
      <w:r w:rsidR="00A6415F" w:rsidRPr="0054285D">
        <w:instrText xml:space="preserve"> REF _Ref468432892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59</w:t>
      </w:r>
      <w:r w:rsidR="00A6415F" w:rsidRPr="0054285D">
        <w:fldChar w:fldCharType="end"/>
      </w:r>
      <w:r w:rsidRPr="0054285D">
        <w:rPr>
          <w:rFonts w:ascii="Times New Roman" w:eastAsia="Calibri" w:hAnsi="Times New Roman" w:cs="Times New Roman"/>
        </w:rPr>
        <w:t xml:space="preserve">. The two processes are identical apart from the source of boron. </w:t>
      </w:r>
    </w:p>
    <w:p w:rsidR="008941EB" w:rsidRPr="0054285D" w:rsidRDefault="008941EB" w:rsidP="003E7792">
      <w:pPr>
        <w:spacing w:after="0" w:line="360" w:lineRule="auto"/>
        <w:ind w:firstLine="720"/>
        <w:jc w:val="both"/>
        <w:rPr>
          <w:rFonts w:ascii="Times New Roman" w:eastAsia="Calibri" w:hAnsi="Times New Roman" w:cs="Times New Roman"/>
        </w:rPr>
      </w:pPr>
    </w:p>
    <w:p w:rsidR="00AE7A4C" w:rsidRPr="0054285D" w:rsidRDefault="008941EB" w:rsidP="00D2436E">
      <w:pPr>
        <w:spacing w:line="360" w:lineRule="auto"/>
        <w:ind w:firstLine="720"/>
        <w:rPr>
          <w:rFonts w:ascii="Times New Roman" w:eastAsia="Calibri" w:hAnsi="Times New Roman" w:cs="Times New Roman"/>
        </w:rPr>
      </w:pPr>
      <w:r w:rsidRPr="0054285D">
        <w:rPr>
          <w:noProof/>
        </w:rPr>
        <w:drawing>
          <wp:inline distT="0" distB="0" distL="0" distR="0">
            <wp:extent cx="5572125" cy="2164379"/>
            <wp:effectExtent l="0" t="0" r="0" b="762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srcRect l="29914" t="53771" r="29869" b="18456"/>
                    <a:stretch/>
                  </pic:blipFill>
                  <pic:spPr bwMode="auto">
                    <a:xfrm>
                      <a:off x="0" y="0"/>
                      <a:ext cx="5594400" cy="2173031"/>
                    </a:xfrm>
                    <a:prstGeom prst="rect">
                      <a:avLst/>
                    </a:prstGeom>
                    <a:ln>
                      <a:noFill/>
                    </a:ln>
                    <a:extLst>
                      <a:ext uri="{53640926-AAD7-44D8-BBD7-CCE9431645EC}">
                        <a14:shadowObscured xmlns:a14="http://schemas.microsoft.com/office/drawing/2010/main"/>
                      </a:ext>
                    </a:extLst>
                  </pic:spPr>
                </pic:pic>
              </a:graphicData>
            </a:graphic>
          </wp:inline>
        </w:drawing>
      </w:r>
    </w:p>
    <w:p w:rsidR="00AE7A4C" w:rsidRDefault="003E7792" w:rsidP="003E7792">
      <w:pPr>
        <w:rPr>
          <w:rFonts w:ascii="Times New Roman" w:eastAsia="Calibri" w:hAnsi="Times New Roman" w:cs="Times New Roman"/>
        </w:rPr>
      </w:pPr>
      <w:bookmarkStart w:id="240" w:name="_Ref468432892"/>
      <w:bookmarkStart w:id="241" w:name="_Toc495848392"/>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59</w:t>
      </w:r>
      <w:r w:rsidR="009A0ED7" w:rsidRPr="0054285D">
        <w:rPr>
          <w:rFonts w:ascii="Times New Roman" w:hAnsi="Times New Roman" w:cs="Times New Roman"/>
        </w:rPr>
        <w:fldChar w:fldCharType="end"/>
      </w:r>
      <w:bookmarkEnd w:id="240"/>
      <w:r w:rsidRPr="0054285D">
        <w:rPr>
          <w:rFonts w:ascii="Times New Roman" w:hAnsi="Times New Roman" w:cs="Times New Roman"/>
        </w:rPr>
        <w:t xml:space="preserve">. </w:t>
      </w:r>
      <w:r w:rsidR="004368DB" w:rsidRPr="0054285D">
        <w:rPr>
          <w:rFonts w:ascii="Times New Roman" w:eastAsia="Calibri" w:hAnsi="Times New Roman" w:cs="Times New Roman"/>
        </w:rPr>
        <w:t>Ferroboron</w:t>
      </w:r>
      <w:r w:rsidR="00AE7A4C" w:rsidRPr="0054285D">
        <w:rPr>
          <w:rFonts w:ascii="Times New Roman" w:eastAsia="Calibri" w:hAnsi="Times New Roman" w:cs="Times New Roman"/>
        </w:rPr>
        <w:t xml:space="preserve"> with boric oxide.</w:t>
      </w:r>
      <w:bookmarkEnd w:id="241"/>
    </w:p>
    <w:p w:rsidR="0054285D" w:rsidRDefault="0054285D" w:rsidP="003E7792">
      <w:pPr>
        <w:rPr>
          <w:rFonts w:ascii="Times New Roman" w:eastAsia="Calibri" w:hAnsi="Times New Roman" w:cs="Times New Roman"/>
        </w:rPr>
      </w:pPr>
    </w:p>
    <w:p w:rsidR="0054285D" w:rsidRDefault="0054285D" w:rsidP="003E7792">
      <w:pPr>
        <w:rPr>
          <w:rFonts w:ascii="Times New Roman" w:eastAsia="Calibri" w:hAnsi="Times New Roman" w:cs="Times New Roman"/>
        </w:rPr>
        <w:sectPr w:rsidR="0054285D" w:rsidSect="00C24042">
          <w:pgSz w:w="11906" w:h="16838"/>
          <w:pgMar w:top="1440" w:right="1440" w:bottom="1440" w:left="1440" w:header="708" w:footer="708" w:gutter="0"/>
          <w:cols w:space="708"/>
          <w:docGrid w:linePitch="360"/>
        </w:sectPr>
      </w:pPr>
    </w:p>
    <w:p w:rsidR="00AE7A4C" w:rsidRPr="0054285D" w:rsidRDefault="0054285D" w:rsidP="0054285D">
      <w:pPr>
        <w:pStyle w:val="Heading3"/>
      </w:pPr>
      <w:r w:rsidRPr="0054285D">
        <w:lastRenderedPageBreak/>
        <w:t>D2.Ferro-Chromium</w:t>
      </w:r>
    </w:p>
    <w:p w:rsidR="00444AFA" w:rsidRPr="0054285D" w:rsidRDefault="00AE7A4C" w:rsidP="00C64A04">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The abundance in literature sources</w:t>
      </w:r>
      <w:r w:rsidR="00444AFA" w:rsidRPr="0054285D">
        <w:rPr>
          <w:rFonts w:ascii="Times New Roman" w:eastAsia="Calibri" w:hAnsi="Times New Roman" w:cs="Times New Roman"/>
        </w:rPr>
        <w:t xml:space="preserve"> </w:t>
      </w:r>
      <w:r w:rsidR="00444AFA" w:rsidRPr="0054285D">
        <w:rPr>
          <w:rFonts w:ascii="Times New Roman" w:eastAsia="Calibri" w:hAnsi="Times New Roman" w:cs="Times New Roman"/>
          <w:noProof/>
        </w:rPr>
        <w:t>(Eurometaux 2014; Haque &amp; Norgate 2013; Gasik.M 2013)</w:t>
      </w:r>
      <w:r w:rsidRPr="0054285D">
        <w:rPr>
          <w:rFonts w:ascii="Times New Roman" w:eastAsia="Calibri" w:hAnsi="Times New Roman" w:cs="Times New Roman"/>
        </w:rPr>
        <w:t xml:space="preserve"> </w:t>
      </w:r>
      <w:r w:rsidR="00444AFA" w:rsidRPr="0054285D">
        <w:rPr>
          <w:rFonts w:ascii="Times New Roman" w:eastAsia="Calibri" w:hAnsi="Times New Roman" w:cs="Times New Roman"/>
        </w:rPr>
        <w:t>meant a number of chromium</w:t>
      </w:r>
      <w:r w:rsidRPr="0054285D">
        <w:rPr>
          <w:rFonts w:ascii="Times New Roman" w:eastAsia="Calibri" w:hAnsi="Times New Roman" w:cs="Times New Roman"/>
        </w:rPr>
        <w:t xml:space="preserve"> models </w:t>
      </w:r>
      <w:r w:rsidR="00444AFA" w:rsidRPr="0054285D">
        <w:rPr>
          <w:rFonts w:ascii="Times New Roman" w:eastAsia="Calibri" w:hAnsi="Times New Roman" w:cs="Times New Roman"/>
        </w:rPr>
        <w:t>including</w:t>
      </w:r>
      <w:r w:rsidR="00BF5203" w:rsidRPr="0054285D">
        <w:rPr>
          <w:rFonts w:ascii="Times New Roman" w:eastAsia="Calibri" w:hAnsi="Times New Roman" w:cs="Times New Roman"/>
        </w:rPr>
        <w:t>,</w:t>
      </w:r>
      <w:r w:rsidR="00444AFA" w:rsidRPr="0054285D">
        <w:rPr>
          <w:rFonts w:ascii="Times New Roman" w:eastAsia="Calibri" w:hAnsi="Times New Roman" w:cs="Times New Roman"/>
        </w:rPr>
        <w:t xml:space="preserve"> variations in carbon and silicon</w:t>
      </w:r>
      <w:r w:rsidR="00BF5203" w:rsidRPr="0054285D">
        <w:rPr>
          <w:rFonts w:ascii="Times New Roman" w:eastAsia="Calibri" w:hAnsi="Times New Roman" w:cs="Times New Roman"/>
        </w:rPr>
        <w:t>,</w:t>
      </w:r>
      <w:r w:rsidR="00444AFA" w:rsidRPr="0054285D">
        <w:rPr>
          <w:rFonts w:ascii="Times New Roman" w:eastAsia="Calibri" w:hAnsi="Times New Roman" w:cs="Times New Roman"/>
        </w:rPr>
        <w:t xml:space="preserve"> could be</w:t>
      </w:r>
      <w:r w:rsidR="00BF5203" w:rsidRPr="0054285D">
        <w:rPr>
          <w:rFonts w:ascii="Times New Roman" w:eastAsia="Calibri" w:hAnsi="Times New Roman" w:cs="Times New Roman"/>
        </w:rPr>
        <w:t xml:space="preserve"> created and then</w:t>
      </w:r>
      <w:r w:rsidR="00444AFA" w:rsidRPr="0054285D">
        <w:rPr>
          <w:rFonts w:ascii="Times New Roman" w:eastAsia="Calibri" w:hAnsi="Times New Roman" w:cs="Times New Roman"/>
        </w:rPr>
        <w:t xml:space="preserve"> compared and contrasted.</w:t>
      </w:r>
      <w:r w:rsidR="00BF5203" w:rsidRPr="0054285D">
        <w:rPr>
          <w:rFonts w:ascii="Times New Roman" w:eastAsia="Calibri" w:hAnsi="Times New Roman" w:cs="Times New Roman"/>
        </w:rPr>
        <w:t xml:space="preserve"> Details</w:t>
      </w:r>
      <w:r w:rsidR="00E014DB" w:rsidRPr="0054285D">
        <w:rPr>
          <w:rFonts w:ascii="Times New Roman" w:eastAsia="Calibri" w:hAnsi="Times New Roman" w:cs="Times New Roman"/>
        </w:rPr>
        <w:t xml:space="preserve"> of each individual model</w:t>
      </w:r>
      <w:r w:rsidR="00BF5203" w:rsidRPr="0054285D">
        <w:rPr>
          <w:rFonts w:ascii="Times New Roman" w:eastAsia="Calibri" w:hAnsi="Times New Roman" w:cs="Times New Roman"/>
        </w:rPr>
        <w:t xml:space="preserve"> created from the respective </w:t>
      </w:r>
      <w:r w:rsidR="004C50C6" w:rsidRPr="0054285D">
        <w:rPr>
          <w:rFonts w:ascii="Times New Roman" w:eastAsia="Calibri" w:hAnsi="Times New Roman" w:cs="Times New Roman"/>
        </w:rPr>
        <w:t>data sources are</w:t>
      </w:r>
      <w:r w:rsidR="00BF5203" w:rsidRPr="0054285D">
        <w:rPr>
          <w:rFonts w:ascii="Times New Roman" w:eastAsia="Calibri" w:hAnsi="Times New Roman" w:cs="Times New Roman"/>
        </w:rPr>
        <w:t xml:space="preserve"> explained below.</w:t>
      </w:r>
    </w:p>
    <w:p w:rsidR="00AE7A4C" w:rsidRPr="0054285D" w:rsidRDefault="004C50C6" w:rsidP="00B053ED">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Initial ferrochrome models were created using data source </w:t>
      </w:r>
      <w:r w:rsidRPr="0054285D">
        <w:rPr>
          <w:rFonts w:ascii="Times New Roman" w:eastAsia="Calibri" w:hAnsi="Times New Roman" w:cs="Times New Roman"/>
          <w:noProof/>
        </w:rPr>
        <w:t>(Haque &amp; Norgate 2013)</w:t>
      </w:r>
      <w:r w:rsidRPr="0054285D">
        <w:rPr>
          <w:rFonts w:ascii="Times New Roman" w:eastAsia="Calibri" w:hAnsi="Times New Roman" w:cs="Times New Roman"/>
        </w:rPr>
        <w:t xml:space="preserve"> seeing that it had the most detail relating to inventory data, production routes and CO</w:t>
      </w:r>
      <w:r w:rsidRPr="0054285D">
        <w:rPr>
          <w:rFonts w:ascii="Times New Roman" w:eastAsia="Calibri" w:hAnsi="Times New Roman" w:cs="Times New Roman"/>
          <w:vertAlign w:val="subscript"/>
        </w:rPr>
        <w:t>2</w:t>
      </w:r>
      <w:r w:rsidRPr="0054285D">
        <w:rPr>
          <w:rFonts w:ascii="Times New Roman" w:eastAsia="Calibri" w:hAnsi="Times New Roman" w:cs="Times New Roman"/>
        </w:rPr>
        <w:t xml:space="preserve"> emissions for</w:t>
      </w:r>
      <w:r w:rsidR="00B053ED" w:rsidRPr="0054285D">
        <w:rPr>
          <w:rFonts w:ascii="Times New Roman" w:eastAsia="Calibri" w:hAnsi="Times New Roman" w:cs="Times New Roman"/>
        </w:rPr>
        <w:t xml:space="preserve"> postliminary</w:t>
      </w:r>
      <w:r w:rsidRPr="0054285D">
        <w:rPr>
          <w:rFonts w:ascii="Times New Roman" w:eastAsia="Calibri" w:hAnsi="Times New Roman" w:cs="Times New Roman"/>
        </w:rPr>
        <w:t xml:space="preserve"> analysis of results.</w:t>
      </w:r>
      <w:r w:rsidR="00B053ED" w:rsidRPr="0054285D">
        <w:rPr>
          <w:rFonts w:ascii="Times New Roman" w:eastAsia="Calibri" w:hAnsi="Times New Roman" w:cs="Times New Roman"/>
        </w:rPr>
        <w:t xml:space="preserve"> </w:t>
      </w:r>
      <w:r w:rsidR="00AE7A4C" w:rsidRPr="0054285D">
        <w:rPr>
          <w:rFonts w:ascii="Times New Roman" w:eastAsia="Calibri" w:hAnsi="Times New Roman" w:cs="Times New Roman"/>
        </w:rPr>
        <w:t>The inventory data</w:t>
      </w:r>
      <w:r w:rsidR="00B053ED" w:rsidRPr="0054285D">
        <w:rPr>
          <w:rFonts w:ascii="Times New Roman" w:eastAsia="Calibri" w:hAnsi="Times New Roman" w:cs="Times New Roman"/>
        </w:rPr>
        <w:t xml:space="preserve"> employed for creating the</w:t>
      </w:r>
      <w:r w:rsidR="00AE7A4C" w:rsidRPr="0054285D">
        <w:rPr>
          <w:rFonts w:ascii="Times New Roman" w:eastAsia="Calibri" w:hAnsi="Times New Roman" w:cs="Times New Roman"/>
        </w:rPr>
        <w:t xml:space="preserve"> </w:t>
      </w:r>
      <w:r w:rsidR="00B053ED" w:rsidRPr="0054285D">
        <w:rPr>
          <w:rFonts w:ascii="Times New Roman" w:eastAsia="Calibri" w:hAnsi="Times New Roman" w:cs="Times New Roman"/>
        </w:rPr>
        <w:t xml:space="preserve">ferrochrome </w:t>
      </w:r>
      <w:r w:rsidR="00AE7A4C" w:rsidRPr="0054285D">
        <w:rPr>
          <w:rFonts w:ascii="Times New Roman" w:eastAsia="Calibri" w:hAnsi="Times New Roman" w:cs="Times New Roman"/>
        </w:rPr>
        <w:t>model is illustrated below.</w:t>
      </w:r>
    </w:p>
    <w:p w:rsidR="00AE7A4C" w:rsidRPr="0054285D" w:rsidRDefault="001F3B50" w:rsidP="001F3B50">
      <w:pPr>
        <w:rPr>
          <w:rFonts w:ascii="Times New Roman" w:eastAsia="Calibri" w:hAnsi="Times New Roman" w:cs="Times New Roman"/>
        </w:rPr>
      </w:pPr>
      <w:bookmarkStart w:id="242" w:name="_Ref468619442"/>
      <w:bookmarkStart w:id="243" w:name="_Toc474486546"/>
      <w:bookmarkStart w:id="244" w:name="_Toc495852717"/>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39</w:t>
      </w:r>
      <w:r w:rsidR="009A0ED7" w:rsidRPr="0054285D">
        <w:rPr>
          <w:rFonts w:ascii="Times New Roman" w:hAnsi="Times New Roman" w:cs="Times New Roman"/>
        </w:rPr>
        <w:fldChar w:fldCharType="end"/>
      </w:r>
      <w:bookmarkEnd w:id="242"/>
      <w:r w:rsidRPr="0054285D">
        <w:rPr>
          <w:rFonts w:ascii="Times New Roman" w:hAnsi="Times New Roman" w:cs="Times New Roman"/>
        </w:rPr>
        <w:t xml:space="preserve">. </w:t>
      </w:r>
      <w:r w:rsidR="00DA769F" w:rsidRPr="0054285D">
        <w:rPr>
          <w:rFonts w:ascii="Times New Roman" w:eastAsia="Calibri" w:hAnsi="Times New Roman" w:cs="Times New Roman"/>
        </w:rPr>
        <w:t xml:space="preserve">Inventory data for ferrochrome production </w:t>
      </w:r>
      <w:r w:rsidR="00DA769F" w:rsidRPr="0054285D">
        <w:rPr>
          <w:rFonts w:ascii="Times New Roman" w:eastAsia="Calibri" w:hAnsi="Times New Roman" w:cs="Times New Roman"/>
          <w:noProof/>
        </w:rPr>
        <w:t>(Haque &amp; Norgate 2013)</w:t>
      </w:r>
      <w:r w:rsidR="00DA769F" w:rsidRPr="0054285D">
        <w:rPr>
          <w:rFonts w:ascii="Times New Roman" w:eastAsia="Calibri" w:hAnsi="Times New Roman" w:cs="Times New Roman"/>
        </w:rPr>
        <w:t>.</w:t>
      </w:r>
      <w:bookmarkEnd w:id="243"/>
      <w:bookmarkEnd w:id="24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38"/>
        <w:gridCol w:w="2410"/>
        <w:gridCol w:w="1078"/>
        <w:gridCol w:w="1417"/>
      </w:tblGrid>
      <w:tr w:rsidR="000F39EA" w:rsidRPr="0054285D" w:rsidTr="00D2436E">
        <w:trPr>
          <w:jc w:val="center"/>
        </w:trPr>
        <w:tc>
          <w:tcPr>
            <w:tcW w:w="183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Stage</w:t>
            </w:r>
          </w:p>
        </w:tc>
        <w:tc>
          <w:tcPr>
            <w:tcW w:w="241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Input </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Inventory</w:t>
            </w:r>
          </w:p>
        </w:tc>
        <w:tc>
          <w:tcPr>
            <w:tcW w:w="1417"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Units</w:t>
            </w:r>
          </w:p>
        </w:tc>
      </w:tr>
      <w:tr w:rsidR="000F39EA" w:rsidRPr="0054285D" w:rsidTr="00D2436E">
        <w:trPr>
          <w:jc w:val="center"/>
        </w:trPr>
        <w:tc>
          <w:tcPr>
            <w:tcW w:w="183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Mining</w:t>
            </w:r>
          </w:p>
        </w:tc>
        <w:tc>
          <w:tcPr>
            <w:tcW w:w="241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Chromium Concentrate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2427.00</w:t>
            </w:r>
          </w:p>
        </w:tc>
        <w:tc>
          <w:tcPr>
            <w:tcW w:w="1417"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 t Fe-Cr</w:t>
            </w:r>
          </w:p>
        </w:tc>
      </w:tr>
      <w:tr w:rsidR="000F39EA" w:rsidRPr="0054285D" w:rsidTr="00D2436E">
        <w:trPr>
          <w:jc w:val="center"/>
        </w:trPr>
        <w:tc>
          <w:tcPr>
            <w:tcW w:w="183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p>
        </w:tc>
        <w:tc>
          <w:tcPr>
            <w:tcW w:w="241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Diesel</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4.10</w:t>
            </w:r>
          </w:p>
        </w:tc>
        <w:tc>
          <w:tcPr>
            <w:tcW w:w="1417"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 t Fe-Cr</w:t>
            </w:r>
          </w:p>
        </w:tc>
      </w:tr>
      <w:tr w:rsidR="000F39EA" w:rsidRPr="0054285D" w:rsidTr="00D2436E">
        <w:trPr>
          <w:jc w:val="center"/>
        </w:trPr>
        <w:tc>
          <w:tcPr>
            <w:tcW w:w="183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p>
        </w:tc>
        <w:tc>
          <w:tcPr>
            <w:tcW w:w="241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Electricity</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91.01</w:t>
            </w:r>
          </w:p>
        </w:tc>
        <w:tc>
          <w:tcPr>
            <w:tcW w:w="1417"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kWh/ t Fe-Cr</w:t>
            </w:r>
          </w:p>
        </w:tc>
      </w:tr>
      <w:tr w:rsidR="000F39EA" w:rsidRPr="0054285D" w:rsidTr="00D2436E">
        <w:trPr>
          <w:jc w:val="center"/>
        </w:trPr>
        <w:tc>
          <w:tcPr>
            <w:tcW w:w="183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Metal Production</w:t>
            </w:r>
          </w:p>
        </w:tc>
        <w:tc>
          <w:tcPr>
            <w:tcW w:w="241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Coke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0.63</w:t>
            </w:r>
          </w:p>
        </w:tc>
        <w:tc>
          <w:tcPr>
            <w:tcW w:w="1417"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 t Fe-Cr</w:t>
            </w:r>
          </w:p>
        </w:tc>
      </w:tr>
      <w:tr w:rsidR="000F39EA" w:rsidRPr="0054285D" w:rsidTr="00D2436E">
        <w:trPr>
          <w:jc w:val="center"/>
        </w:trPr>
        <w:tc>
          <w:tcPr>
            <w:tcW w:w="183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p>
        </w:tc>
        <w:tc>
          <w:tcPr>
            <w:tcW w:w="241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Carbon Electrodes</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16.00</w:t>
            </w:r>
          </w:p>
        </w:tc>
        <w:tc>
          <w:tcPr>
            <w:tcW w:w="1417"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 t Fe-Cr</w:t>
            </w:r>
          </w:p>
        </w:tc>
      </w:tr>
      <w:tr w:rsidR="000F39EA" w:rsidRPr="0054285D" w:rsidTr="00D2436E">
        <w:trPr>
          <w:jc w:val="center"/>
        </w:trPr>
        <w:tc>
          <w:tcPr>
            <w:tcW w:w="183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p>
        </w:tc>
        <w:tc>
          <w:tcPr>
            <w:tcW w:w="241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Electricity</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4528.00</w:t>
            </w:r>
          </w:p>
        </w:tc>
        <w:tc>
          <w:tcPr>
            <w:tcW w:w="1417"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kWh/ t Fe-Cr</w:t>
            </w:r>
          </w:p>
        </w:tc>
      </w:tr>
      <w:tr w:rsidR="000F39EA" w:rsidRPr="0054285D" w:rsidTr="00D2436E">
        <w:trPr>
          <w:jc w:val="center"/>
        </w:trPr>
        <w:tc>
          <w:tcPr>
            <w:tcW w:w="183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p>
        </w:tc>
        <w:tc>
          <w:tcPr>
            <w:tcW w:w="241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Bauxite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203.70</w:t>
            </w:r>
          </w:p>
        </w:tc>
        <w:tc>
          <w:tcPr>
            <w:tcW w:w="1417"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 t Fe-Cr</w:t>
            </w:r>
          </w:p>
        </w:tc>
      </w:tr>
      <w:tr w:rsidR="000F39EA" w:rsidRPr="0054285D" w:rsidTr="00D2436E">
        <w:trPr>
          <w:jc w:val="center"/>
        </w:trPr>
        <w:tc>
          <w:tcPr>
            <w:tcW w:w="183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p>
        </w:tc>
        <w:tc>
          <w:tcPr>
            <w:tcW w:w="241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Silica Sand</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46.20</w:t>
            </w:r>
          </w:p>
        </w:tc>
        <w:tc>
          <w:tcPr>
            <w:tcW w:w="1417"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 t Fe-Cr</w:t>
            </w:r>
          </w:p>
        </w:tc>
      </w:tr>
      <w:tr w:rsidR="000F39EA" w:rsidRPr="0054285D" w:rsidTr="00D2436E">
        <w:trPr>
          <w:jc w:val="center"/>
        </w:trPr>
        <w:tc>
          <w:tcPr>
            <w:tcW w:w="183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p>
        </w:tc>
        <w:tc>
          <w:tcPr>
            <w:tcW w:w="241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Lime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250.00</w:t>
            </w:r>
          </w:p>
        </w:tc>
        <w:tc>
          <w:tcPr>
            <w:tcW w:w="1417"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 t Fe-Cr</w:t>
            </w:r>
          </w:p>
        </w:tc>
      </w:tr>
    </w:tbl>
    <w:p w:rsidR="0004273D" w:rsidRPr="0054285D" w:rsidRDefault="0004273D" w:rsidP="000D477E">
      <w:pPr>
        <w:spacing w:after="0" w:line="360" w:lineRule="auto"/>
        <w:ind w:firstLine="720"/>
        <w:jc w:val="both"/>
        <w:rPr>
          <w:rFonts w:ascii="Times New Roman" w:eastAsia="Calibri" w:hAnsi="Times New Roman" w:cs="Times New Roman"/>
        </w:rPr>
      </w:pPr>
    </w:p>
    <w:p w:rsidR="0004273D" w:rsidRPr="0054285D" w:rsidRDefault="000D477E" w:rsidP="0004273D">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Comparable to ferroboron</w:t>
      </w:r>
      <w:r w:rsidR="00AE7A4C" w:rsidRPr="0054285D">
        <w:rPr>
          <w:rFonts w:ascii="Times New Roman" w:eastAsia="Calibri" w:hAnsi="Times New Roman" w:cs="Times New Roman"/>
        </w:rPr>
        <w:t xml:space="preserve">, a centralised process was created where all inputs from </w:t>
      </w:r>
      <w:r w:rsidR="00A6415F" w:rsidRPr="0054285D">
        <w:fldChar w:fldCharType="begin"/>
      </w:r>
      <w:r w:rsidR="00A6415F" w:rsidRPr="0054285D">
        <w:instrText xml:space="preserve"> REF _Ref468619442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39</w:t>
      </w:r>
      <w:r w:rsidR="00A6415F" w:rsidRPr="0054285D">
        <w:fldChar w:fldCharType="end"/>
      </w:r>
      <w:r w:rsidR="00AE7A4C" w:rsidRPr="0054285D">
        <w:rPr>
          <w:rFonts w:ascii="Times New Roman" w:eastAsia="Calibri" w:hAnsi="Times New Roman" w:cs="Times New Roman"/>
        </w:rPr>
        <w:t xml:space="preserve"> were inserted</w:t>
      </w:r>
      <w:r w:rsidRPr="0054285D">
        <w:rPr>
          <w:rFonts w:ascii="Times New Roman" w:eastAsia="Calibri" w:hAnsi="Times New Roman" w:cs="Times New Roman"/>
        </w:rPr>
        <w:t xml:space="preserve"> as flows</w:t>
      </w:r>
      <w:r w:rsidR="00AE7A4C" w:rsidRPr="0054285D">
        <w:rPr>
          <w:rFonts w:ascii="Times New Roman" w:eastAsia="Calibri" w:hAnsi="Times New Roman" w:cs="Times New Roman"/>
        </w:rPr>
        <w:t xml:space="preserve"> and all units converted to kg/t Fe-Cr for mass and kWh/t Fe-Cr for energy. The output of the process was set to the fu</w:t>
      </w:r>
      <w:r w:rsidRPr="0054285D">
        <w:rPr>
          <w:rFonts w:ascii="Times New Roman" w:eastAsia="Calibri" w:hAnsi="Times New Roman" w:cs="Times New Roman"/>
        </w:rPr>
        <w:t>nctional unit of 1000kg of ferrochrome</w:t>
      </w:r>
      <w:r w:rsidR="00AE7A4C" w:rsidRPr="0054285D">
        <w:rPr>
          <w:rFonts w:ascii="Times New Roman" w:eastAsia="Calibri" w:hAnsi="Times New Roman" w:cs="Times New Roman"/>
        </w:rPr>
        <w:t>. Related processes to the flows were</w:t>
      </w:r>
      <w:r w:rsidR="0095126D" w:rsidRPr="0054285D">
        <w:rPr>
          <w:rFonts w:ascii="Times New Roman" w:eastAsia="Calibri" w:hAnsi="Times New Roman" w:cs="Times New Roman"/>
        </w:rPr>
        <w:t xml:space="preserve"> all</w:t>
      </w:r>
      <w:r w:rsidR="00AE7A4C" w:rsidRPr="0054285D">
        <w:rPr>
          <w:rFonts w:ascii="Times New Roman" w:eastAsia="Calibri" w:hAnsi="Times New Roman" w:cs="Times New Roman"/>
        </w:rPr>
        <w:t xml:space="preserve"> located in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and connected to the central process as shown by</w:t>
      </w:r>
      <w:r w:rsidR="001A3770" w:rsidRPr="0054285D">
        <w:rPr>
          <w:rFonts w:ascii="Times New Roman" w:eastAsia="Calibri" w:hAnsi="Times New Roman" w:cs="Times New Roman"/>
        </w:rPr>
        <w:t xml:space="preserve"> </w:t>
      </w:r>
      <w:r w:rsidR="00A6415F" w:rsidRPr="0054285D">
        <w:fldChar w:fldCharType="begin"/>
      </w:r>
      <w:r w:rsidR="00A6415F" w:rsidRPr="0054285D">
        <w:instrText xml:space="preserve"> REF _Ref468619498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60</w:t>
      </w:r>
      <w:r w:rsidR="00A6415F" w:rsidRPr="0054285D">
        <w:fldChar w:fldCharType="end"/>
      </w:r>
      <w:r w:rsidR="00AE7A4C" w:rsidRPr="0054285D">
        <w:rPr>
          <w:rFonts w:ascii="Times New Roman" w:eastAsia="Calibri" w:hAnsi="Times New Roman" w:cs="Times New Roman"/>
        </w:rPr>
        <w:t xml:space="preserve"> .</w:t>
      </w:r>
    </w:p>
    <w:p w:rsidR="00AE7A4C" w:rsidRPr="0054285D" w:rsidRDefault="00AE7A4C" w:rsidP="0004273D">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In terms of selection of related processes; electricity and fuel sources were initially based on Australia in order to verify Haques original model. The results of which (see </w:t>
      </w:r>
      <w:r w:rsidR="00A6415F" w:rsidRPr="0054285D">
        <w:fldChar w:fldCharType="begin"/>
      </w:r>
      <w:r w:rsidR="00A6415F" w:rsidRPr="0054285D">
        <w:instrText xml:space="preserve"> REF _Ref468306201 \h  \* MERGEFORMAT </w:instrText>
      </w:r>
      <w:r w:rsidR="00A6415F" w:rsidRPr="0054285D">
        <w:fldChar w:fldCharType="separate"/>
      </w:r>
      <w:r w:rsidR="009F5483" w:rsidRPr="004E0589">
        <w:rPr>
          <w:rFonts w:ascii="Times New Roman" w:hAnsi="Times New Roman" w:cs="Times New Roman"/>
        </w:rPr>
        <w:t xml:space="preserve">Figure </w:t>
      </w:r>
      <w:r w:rsidR="009F5483">
        <w:rPr>
          <w:rFonts w:ascii="Times New Roman" w:hAnsi="Times New Roman" w:cs="Times New Roman"/>
          <w:noProof/>
        </w:rPr>
        <w:t>29</w:t>
      </w:r>
      <w:r w:rsidR="00A6415F" w:rsidRPr="0054285D">
        <w:fldChar w:fldCharType="end"/>
      </w:r>
      <w:r w:rsidRPr="0054285D">
        <w:rPr>
          <w:rFonts w:ascii="Times New Roman" w:eastAsia="Calibri" w:hAnsi="Times New Roman" w:cs="Times New Roman"/>
        </w:rPr>
        <w:t>) highlight accuracy to the origin</w:t>
      </w:r>
      <w:r w:rsidR="000D477E" w:rsidRPr="0054285D">
        <w:rPr>
          <w:rFonts w:ascii="Times New Roman" w:eastAsia="Calibri" w:hAnsi="Times New Roman" w:cs="Times New Roman"/>
        </w:rPr>
        <w:t>al model. This allowed the ferrochrome</w:t>
      </w:r>
      <w:r w:rsidRPr="0054285D">
        <w:rPr>
          <w:rFonts w:ascii="Times New Roman" w:eastAsia="Calibri" w:hAnsi="Times New Roman" w:cs="Times New Roman"/>
        </w:rPr>
        <w:t xml:space="preserve"> model to be altered to be more globally representative. This </w:t>
      </w:r>
      <w:r w:rsidR="000D477E" w:rsidRPr="0054285D">
        <w:rPr>
          <w:rFonts w:ascii="Times New Roman" w:eastAsia="Calibri" w:hAnsi="Times New Roman" w:cs="Times New Roman"/>
        </w:rPr>
        <w:t>was conducted by inclusion of average electricity process based on global ferrochrome</w:t>
      </w:r>
      <w:r w:rsidRPr="0054285D">
        <w:rPr>
          <w:rFonts w:ascii="Times New Roman" w:eastAsia="Calibri" w:hAnsi="Times New Roman" w:cs="Times New Roman"/>
        </w:rPr>
        <w:t xml:space="preserve"> production process. Apart from energy</w:t>
      </w:r>
      <w:r w:rsidR="0004273D" w:rsidRPr="0054285D">
        <w:rPr>
          <w:rFonts w:ascii="Times New Roman" w:eastAsia="Calibri" w:hAnsi="Times New Roman" w:cs="Times New Roman"/>
        </w:rPr>
        <w:t xml:space="preserve"> corrections</w:t>
      </w:r>
      <w:r w:rsidRPr="0054285D">
        <w:rPr>
          <w:rFonts w:ascii="Times New Roman" w:eastAsia="Calibri" w:hAnsi="Times New Roman" w:cs="Times New Roman"/>
        </w:rPr>
        <w:t>, carbon corrections were made for coke and carbon electrodes</w:t>
      </w:r>
      <w:r w:rsidR="0004273D" w:rsidRPr="0054285D">
        <w:rPr>
          <w:rFonts w:ascii="Times New Roman" w:eastAsia="Calibri" w:hAnsi="Times New Roman" w:cs="Times New Roman"/>
        </w:rPr>
        <w:t xml:space="preserve"> based on </w:t>
      </w:r>
      <w:r w:rsidRPr="0054285D">
        <w:rPr>
          <w:rFonts w:ascii="Times New Roman" w:eastAsia="Calibri" w:hAnsi="Times New Roman" w:cs="Times New Roman"/>
        </w:rPr>
        <w:t xml:space="preserve">previously mentioned equations </w:t>
      </w:r>
      <w:r w:rsidR="0004273D" w:rsidRPr="0054285D">
        <w:rPr>
          <w:rFonts w:ascii="Times New Roman" w:eastAsia="Calibri" w:hAnsi="Times New Roman" w:cs="Times New Roman"/>
        </w:rPr>
        <w:t>6</w:t>
      </w:r>
      <w:r w:rsidRPr="0054285D">
        <w:rPr>
          <w:rFonts w:ascii="Times New Roman" w:eastAsia="Calibri" w:hAnsi="Times New Roman" w:cs="Times New Roman"/>
        </w:rPr>
        <w:t xml:space="preserve"> and </w:t>
      </w:r>
      <w:r w:rsidR="0004273D" w:rsidRPr="0054285D">
        <w:rPr>
          <w:rFonts w:ascii="Times New Roman" w:eastAsia="Calibri" w:hAnsi="Times New Roman" w:cs="Times New Roman"/>
        </w:rPr>
        <w:t>7</w:t>
      </w:r>
      <w:r w:rsidRPr="0054285D">
        <w:rPr>
          <w:rFonts w:ascii="Times New Roman" w:eastAsia="Calibri" w:hAnsi="Times New Roman" w:cs="Times New Roman"/>
        </w:rPr>
        <w:t>.</w:t>
      </w:r>
      <w:r w:rsidR="0004273D" w:rsidRPr="0054285D">
        <w:rPr>
          <w:rFonts w:ascii="Times New Roman" w:eastAsia="Calibri" w:hAnsi="Times New Roman" w:cs="Times New Roman"/>
        </w:rPr>
        <w:t xml:space="preserve"> Thus, satisfying the carbon balance in the model.</w:t>
      </w:r>
    </w:p>
    <w:p w:rsidR="00AE7A4C" w:rsidRPr="0054285D" w:rsidRDefault="00AE7A4C" w:rsidP="00C64A04">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As a final point the end product was ass</w:t>
      </w:r>
      <w:r w:rsidR="0004273D" w:rsidRPr="0054285D">
        <w:rPr>
          <w:rFonts w:ascii="Times New Roman" w:eastAsia="Calibri" w:hAnsi="Times New Roman" w:cs="Times New Roman"/>
        </w:rPr>
        <w:t>umed to be HC ferrochrome</w:t>
      </w:r>
      <w:r w:rsidRPr="0054285D">
        <w:rPr>
          <w:rFonts w:ascii="Times New Roman" w:eastAsia="Calibri" w:hAnsi="Times New Roman" w:cs="Times New Roman"/>
        </w:rPr>
        <w:t xml:space="preserve">, based on the material percentages (25.5% Cr in chromite ore, 11.6% in crude ore, 53 % Cr in Fe-Cr and 6.4%C) provided by the original data source. </w:t>
      </w:r>
    </w:p>
    <w:p w:rsidR="00AE7A4C" w:rsidRPr="0054285D" w:rsidRDefault="00C64A04" w:rsidP="00D2436E">
      <w:pPr>
        <w:spacing w:after="0" w:line="360" w:lineRule="auto"/>
        <w:ind w:firstLine="720"/>
        <w:jc w:val="center"/>
        <w:rPr>
          <w:rFonts w:ascii="Times New Roman" w:eastAsia="Calibri" w:hAnsi="Times New Roman" w:cs="Times New Roman"/>
        </w:rPr>
      </w:pPr>
      <w:r w:rsidRPr="0054285D">
        <w:rPr>
          <w:noProof/>
        </w:rPr>
        <w:lastRenderedPageBreak/>
        <w:drawing>
          <wp:inline distT="0" distB="0" distL="0" distR="0">
            <wp:extent cx="3845490" cy="2219258"/>
            <wp:effectExtent l="0" t="0" r="3175"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srcRect l="31634" t="40944" r="21479" b="10951"/>
                    <a:stretch/>
                  </pic:blipFill>
                  <pic:spPr bwMode="auto">
                    <a:xfrm>
                      <a:off x="0" y="0"/>
                      <a:ext cx="3889524" cy="2244671"/>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1F3B50" w:rsidP="001F3B50">
      <w:pPr>
        <w:rPr>
          <w:rFonts w:ascii="Times New Roman" w:eastAsia="Calibri" w:hAnsi="Times New Roman" w:cs="Times New Roman"/>
        </w:rPr>
      </w:pPr>
      <w:bookmarkStart w:id="245" w:name="_Ref468619498"/>
      <w:bookmarkStart w:id="246" w:name="_Toc495848393"/>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60</w:t>
      </w:r>
      <w:r w:rsidR="009A0ED7" w:rsidRPr="0054285D">
        <w:rPr>
          <w:rFonts w:ascii="Times New Roman" w:hAnsi="Times New Roman" w:cs="Times New Roman"/>
        </w:rPr>
        <w:fldChar w:fldCharType="end"/>
      </w:r>
      <w:bookmarkEnd w:id="245"/>
      <w:r w:rsidRPr="0054285D">
        <w:rPr>
          <w:rFonts w:ascii="Times New Roman" w:hAnsi="Times New Roman" w:cs="Times New Roman"/>
        </w:rPr>
        <w:t xml:space="preserve">. </w:t>
      </w:r>
      <w:r w:rsidR="00AE7A4C" w:rsidRPr="0054285D">
        <w:rPr>
          <w:rFonts w:ascii="Times New Roman" w:eastAsia="Calibri" w:hAnsi="Times New Roman" w:cs="Times New Roman"/>
        </w:rPr>
        <w:t>Global Fe-Cr production utilising data from Haque.</w:t>
      </w:r>
      <w:bookmarkEnd w:id="246"/>
    </w:p>
    <w:p w:rsidR="00AE7A4C" w:rsidRPr="0054285D" w:rsidRDefault="0095126D" w:rsidP="00847B1B">
      <w:pPr>
        <w:spacing w:after="0" w:line="360" w:lineRule="auto"/>
        <w:ind w:firstLine="720"/>
        <w:jc w:val="both"/>
        <w:rPr>
          <w:rFonts w:ascii="Times New Roman" w:hAnsi="Times New Roman" w:cs="Times New Roman"/>
          <w:noProof/>
        </w:rPr>
      </w:pPr>
      <w:r w:rsidRPr="0054285D">
        <w:rPr>
          <w:rFonts w:ascii="Times New Roman" w:eastAsia="Calibri" w:hAnsi="Times New Roman" w:cs="Times New Roman"/>
        </w:rPr>
        <w:t xml:space="preserve">Apart from </w:t>
      </w:r>
      <w:r w:rsidRPr="0054285D">
        <w:rPr>
          <w:rFonts w:ascii="Times New Roman" w:eastAsia="Calibri" w:hAnsi="Times New Roman" w:cs="Times New Roman"/>
          <w:noProof/>
        </w:rPr>
        <w:t>(Haque &amp; Norgate 2013)</w:t>
      </w:r>
      <w:r w:rsidR="00417C49" w:rsidRPr="0054285D">
        <w:rPr>
          <w:rFonts w:ascii="Times New Roman" w:eastAsia="Calibri" w:hAnsi="Times New Roman" w:cs="Times New Roman"/>
        </w:rPr>
        <w:t>,</w:t>
      </w:r>
      <w:r w:rsidRPr="0054285D">
        <w:rPr>
          <w:rFonts w:ascii="Times New Roman" w:eastAsia="Calibri" w:hAnsi="Times New Roman" w:cs="Times New Roman"/>
        </w:rPr>
        <w:t xml:space="preserve"> data from </w:t>
      </w:r>
      <w:r w:rsidRPr="0054285D">
        <w:rPr>
          <w:rFonts w:ascii="Times New Roman" w:eastAsia="Calibri" w:hAnsi="Times New Roman" w:cs="Times New Roman"/>
          <w:noProof/>
        </w:rPr>
        <w:t>(Eurometaux 2014)</w:t>
      </w:r>
      <w:r w:rsidRPr="0054285D">
        <w:rPr>
          <w:rFonts w:ascii="Times New Roman" w:eastAsia="Calibri" w:hAnsi="Times New Roman" w:cs="Times New Roman"/>
        </w:rPr>
        <w:t xml:space="preserve"> was also utilised to construct not only HC ferrochrome but LC ferrochrome models as well. Development of the HC ferrochrome was based on direct carbothermic reduction of chromite ore in three-phase submerged electric arc furnaces (SAF) with continuous operation. Whilst for LC ferrochrome the selected production route was via silicon reduction. The inventory data used to create both models</w:t>
      </w:r>
      <w:r w:rsidR="0042679C" w:rsidRPr="0054285D">
        <w:rPr>
          <w:rFonts w:ascii="Times New Roman" w:eastAsia="Calibri" w:hAnsi="Times New Roman" w:cs="Times New Roman"/>
        </w:rPr>
        <w:t xml:space="preserve"> are illustrated in </w:t>
      </w:r>
      <w:r w:rsidR="00A6415F" w:rsidRPr="0054285D">
        <w:fldChar w:fldCharType="begin"/>
      </w:r>
      <w:r w:rsidR="00A6415F" w:rsidRPr="0054285D">
        <w:instrText xml:space="preserve"> REF _Ref468619613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40</w:t>
      </w:r>
      <w:r w:rsidR="00A6415F" w:rsidRPr="0054285D">
        <w:fldChar w:fldCharType="end"/>
      </w:r>
      <w:r w:rsidR="00AE7A4C" w:rsidRPr="0054285D">
        <w:rPr>
          <w:rFonts w:ascii="Times New Roman" w:eastAsia="Calibri" w:hAnsi="Times New Roman" w:cs="Times New Roman"/>
        </w:rPr>
        <w:t xml:space="preserve"> and </w:t>
      </w:r>
      <w:r w:rsidR="009A0ED7" w:rsidRPr="0054285D">
        <w:rPr>
          <w:rFonts w:ascii="Times New Roman" w:eastAsia="Calibri" w:hAnsi="Times New Roman" w:cs="Times New Roman"/>
        </w:rPr>
        <w:fldChar w:fldCharType="begin"/>
      </w:r>
      <w:r w:rsidR="001A3770" w:rsidRPr="0054285D">
        <w:rPr>
          <w:rFonts w:ascii="Times New Roman" w:eastAsia="Calibri" w:hAnsi="Times New Roman" w:cs="Times New Roman"/>
        </w:rPr>
        <w:instrText xml:space="preserve"> REF _Ref468619625 \h </w:instrText>
      </w:r>
      <w:r w:rsidR="0042679C" w:rsidRPr="0054285D">
        <w:rPr>
          <w:rFonts w:ascii="Times New Roman" w:eastAsia="Calibri" w:hAnsi="Times New Roman" w:cs="Times New Roman"/>
        </w:rPr>
        <w:instrText xml:space="preserve"> \* MERGEFORMAT </w:instrText>
      </w:r>
      <w:r w:rsidR="009A0ED7" w:rsidRPr="0054285D">
        <w:rPr>
          <w:rFonts w:ascii="Times New Roman" w:eastAsia="Calibri" w:hAnsi="Times New Roman" w:cs="Times New Roman"/>
        </w:rPr>
      </w:r>
      <w:r w:rsidR="009A0ED7" w:rsidRPr="0054285D">
        <w:rPr>
          <w:rFonts w:ascii="Times New Roman" w:eastAsia="Calibri" w:hAnsi="Times New Roman" w:cs="Times New Roman"/>
        </w:rPr>
        <w:fldChar w:fldCharType="separate"/>
      </w:r>
      <w:r w:rsidR="009F5483" w:rsidRPr="0054285D">
        <w:rPr>
          <w:rFonts w:ascii="Times New Roman" w:hAnsi="Times New Roman" w:cs="Times New Roman"/>
        </w:rPr>
        <w:t>Table</w:t>
      </w:r>
      <w:r w:rsidR="009F5483" w:rsidRPr="0054285D">
        <w:rPr>
          <w:rFonts w:ascii="Times New Roman" w:hAnsi="Times New Roman" w:cs="Times New Roman"/>
          <w:noProof/>
        </w:rPr>
        <w:t xml:space="preserve"> </w:t>
      </w:r>
      <w:r w:rsidR="009F5483">
        <w:rPr>
          <w:rFonts w:ascii="Times New Roman" w:hAnsi="Times New Roman" w:cs="Times New Roman"/>
          <w:noProof/>
        </w:rPr>
        <w:t>41</w:t>
      </w:r>
      <w:r w:rsidR="009A0ED7" w:rsidRPr="0054285D">
        <w:rPr>
          <w:rFonts w:ascii="Times New Roman" w:eastAsia="Calibri" w:hAnsi="Times New Roman" w:cs="Times New Roman"/>
        </w:rPr>
        <w:fldChar w:fldCharType="end"/>
      </w:r>
      <w:r w:rsidR="00AE7A4C" w:rsidRPr="0054285D">
        <w:rPr>
          <w:rFonts w:ascii="Times New Roman" w:eastAsia="Calibri" w:hAnsi="Times New Roman" w:cs="Times New Roman"/>
        </w:rPr>
        <w:t>.</w:t>
      </w:r>
    </w:p>
    <w:p w:rsidR="00AE7A4C" w:rsidRPr="0054285D" w:rsidRDefault="001F3B50" w:rsidP="001F3B50">
      <w:pPr>
        <w:rPr>
          <w:rFonts w:ascii="Times New Roman" w:eastAsia="Calibri" w:hAnsi="Times New Roman" w:cs="Times New Roman"/>
        </w:rPr>
      </w:pPr>
      <w:bookmarkStart w:id="247" w:name="_Ref468619613"/>
      <w:bookmarkStart w:id="248" w:name="_Toc474486547"/>
      <w:bookmarkStart w:id="249" w:name="_Toc495852718"/>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40</w:t>
      </w:r>
      <w:r w:rsidR="009A0ED7" w:rsidRPr="0054285D">
        <w:rPr>
          <w:rFonts w:ascii="Times New Roman" w:hAnsi="Times New Roman" w:cs="Times New Roman"/>
        </w:rPr>
        <w:fldChar w:fldCharType="end"/>
      </w:r>
      <w:bookmarkEnd w:id="247"/>
      <w:r w:rsidRPr="0054285D">
        <w:rPr>
          <w:rFonts w:ascii="Times New Roman" w:hAnsi="Times New Roman" w:cs="Times New Roman"/>
        </w:rPr>
        <w:t xml:space="preserve">. </w:t>
      </w:r>
      <w:r w:rsidR="0042679C" w:rsidRPr="0054285D">
        <w:rPr>
          <w:rFonts w:ascii="Times New Roman" w:eastAsia="Calibri" w:hAnsi="Times New Roman" w:cs="Times New Roman"/>
        </w:rPr>
        <w:t xml:space="preserve">Inventory data for HC ferrochrome production </w:t>
      </w:r>
      <w:r w:rsidR="0042679C" w:rsidRPr="0054285D">
        <w:rPr>
          <w:rFonts w:ascii="Times New Roman" w:eastAsia="Calibri" w:hAnsi="Times New Roman" w:cs="Times New Roman"/>
          <w:noProof/>
        </w:rPr>
        <w:t>(Eurometaux 2014)</w:t>
      </w:r>
      <w:r w:rsidR="0042679C" w:rsidRPr="0054285D">
        <w:rPr>
          <w:rFonts w:ascii="Times New Roman" w:eastAsia="Calibri" w:hAnsi="Times New Roman" w:cs="Times New Roman"/>
        </w:rPr>
        <w:t>.</w:t>
      </w:r>
      <w:bookmarkEnd w:id="248"/>
      <w:bookmarkEnd w:id="24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140"/>
        <w:gridCol w:w="1078"/>
        <w:gridCol w:w="800"/>
      </w:tblGrid>
      <w:tr w:rsidR="000F39EA" w:rsidRPr="0054285D" w:rsidTr="0042679C">
        <w:trPr>
          <w:jc w:val="center"/>
        </w:trPr>
        <w:tc>
          <w:tcPr>
            <w:tcW w:w="21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Input </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Inventory</w:t>
            </w:r>
          </w:p>
        </w:tc>
        <w:tc>
          <w:tcPr>
            <w:tcW w:w="80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Units</w:t>
            </w:r>
          </w:p>
        </w:tc>
      </w:tr>
      <w:tr w:rsidR="000F39EA" w:rsidRPr="0054285D" w:rsidTr="0042679C">
        <w:trPr>
          <w:jc w:val="center"/>
        </w:trPr>
        <w:tc>
          <w:tcPr>
            <w:tcW w:w="21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Chromite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2300.00</w:t>
            </w:r>
          </w:p>
        </w:tc>
        <w:tc>
          <w:tcPr>
            <w:tcW w:w="80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42679C">
        <w:trPr>
          <w:jc w:val="center"/>
        </w:trPr>
        <w:tc>
          <w:tcPr>
            <w:tcW w:w="21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Coke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500.00</w:t>
            </w:r>
          </w:p>
        </w:tc>
        <w:tc>
          <w:tcPr>
            <w:tcW w:w="80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42679C">
        <w:trPr>
          <w:jc w:val="center"/>
        </w:trPr>
        <w:tc>
          <w:tcPr>
            <w:tcW w:w="21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Electrode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7.00</w:t>
            </w:r>
          </w:p>
        </w:tc>
        <w:tc>
          <w:tcPr>
            <w:tcW w:w="80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42679C">
        <w:trPr>
          <w:jc w:val="center"/>
        </w:trPr>
        <w:tc>
          <w:tcPr>
            <w:tcW w:w="21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Limestone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200.00</w:t>
            </w:r>
          </w:p>
        </w:tc>
        <w:tc>
          <w:tcPr>
            <w:tcW w:w="80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42679C">
        <w:trPr>
          <w:jc w:val="center"/>
        </w:trPr>
        <w:tc>
          <w:tcPr>
            <w:tcW w:w="21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Electrical Energy</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3100.00</w:t>
            </w:r>
          </w:p>
        </w:tc>
        <w:tc>
          <w:tcPr>
            <w:tcW w:w="80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kWh/t</w:t>
            </w:r>
          </w:p>
        </w:tc>
      </w:tr>
    </w:tbl>
    <w:p w:rsidR="0042679C" w:rsidRPr="0054285D" w:rsidRDefault="0042679C" w:rsidP="001F3B50">
      <w:pPr>
        <w:rPr>
          <w:rFonts w:ascii="Times New Roman" w:eastAsia="Calibri" w:hAnsi="Times New Roman" w:cs="Times New Roman"/>
        </w:rPr>
      </w:pPr>
      <w:bookmarkStart w:id="250" w:name="_Ref468619625"/>
    </w:p>
    <w:p w:rsidR="00AE7A4C" w:rsidRPr="0054285D" w:rsidRDefault="001F3B50" w:rsidP="001F3B50">
      <w:pPr>
        <w:rPr>
          <w:rFonts w:ascii="Times New Roman" w:eastAsia="Calibri" w:hAnsi="Times New Roman" w:cs="Times New Roman"/>
        </w:rPr>
      </w:pPr>
      <w:bookmarkStart w:id="251" w:name="_Toc474486548"/>
      <w:bookmarkStart w:id="252" w:name="_Toc495852719"/>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41</w:t>
      </w:r>
      <w:r w:rsidR="009A0ED7" w:rsidRPr="0054285D">
        <w:rPr>
          <w:rFonts w:ascii="Times New Roman" w:hAnsi="Times New Roman" w:cs="Times New Roman"/>
        </w:rPr>
        <w:fldChar w:fldCharType="end"/>
      </w:r>
      <w:bookmarkEnd w:id="250"/>
      <w:r w:rsidRPr="0054285D">
        <w:rPr>
          <w:rFonts w:ascii="Times New Roman" w:hAnsi="Times New Roman" w:cs="Times New Roman"/>
        </w:rPr>
        <w:t xml:space="preserve">. </w:t>
      </w:r>
      <w:r w:rsidR="00AE7A4C" w:rsidRPr="0054285D">
        <w:rPr>
          <w:rFonts w:ascii="Times New Roman" w:eastAsia="Calibri" w:hAnsi="Times New Roman" w:cs="Times New Roman"/>
        </w:rPr>
        <w:t xml:space="preserve">Inventory data for </w:t>
      </w:r>
      <w:r w:rsidR="0042679C" w:rsidRPr="0054285D">
        <w:rPr>
          <w:rFonts w:ascii="Times New Roman" w:eastAsia="Calibri" w:hAnsi="Times New Roman" w:cs="Times New Roman"/>
        </w:rPr>
        <w:t xml:space="preserve">LC ferrochrome production </w:t>
      </w:r>
      <w:r w:rsidR="0042679C" w:rsidRPr="0054285D">
        <w:rPr>
          <w:rFonts w:ascii="Times New Roman" w:eastAsia="Calibri" w:hAnsi="Times New Roman" w:cs="Times New Roman"/>
          <w:noProof/>
        </w:rPr>
        <w:t>(Eurometaux 2014)</w:t>
      </w:r>
      <w:r w:rsidR="0042679C" w:rsidRPr="0054285D">
        <w:rPr>
          <w:rFonts w:ascii="Times New Roman" w:eastAsia="Calibri" w:hAnsi="Times New Roman" w:cs="Times New Roman"/>
        </w:rPr>
        <w:t>.</w:t>
      </w:r>
      <w:bookmarkEnd w:id="251"/>
      <w:bookmarkEnd w:id="25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80"/>
        <w:gridCol w:w="1078"/>
        <w:gridCol w:w="1180"/>
      </w:tblGrid>
      <w:tr w:rsidR="000F39EA" w:rsidRPr="0054285D" w:rsidTr="0042679C">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Input </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Inventory</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Units</w:t>
            </w:r>
          </w:p>
        </w:tc>
      </w:tr>
      <w:tr w:rsidR="000F39EA" w:rsidRPr="0054285D" w:rsidTr="0042679C">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Chromite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1600.00</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42679C">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Fe-Si-Cr</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675.00</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42679C">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Limestone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1100.00</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42679C">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Sand </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100.00</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42679C">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Silicon</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40.00</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kWh/t</w:t>
            </w:r>
          </w:p>
        </w:tc>
      </w:tr>
      <w:tr w:rsidR="000F39EA" w:rsidRPr="0054285D" w:rsidTr="0042679C">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Electrode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10.00</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42679C">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Boric Acid</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3.00</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42679C">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Electrical Energy</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3400.00</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kWh/t</w:t>
            </w:r>
          </w:p>
        </w:tc>
      </w:tr>
    </w:tbl>
    <w:p w:rsidR="00AE7A4C" w:rsidRPr="0054285D" w:rsidRDefault="00AE7A4C" w:rsidP="00C64A04">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lastRenderedPageBreak/>
        <w:t>For both sets of data, the output was fixed to 1000kg of their respective ferro-alloys. However a number of similar alterations were made for both models. Firstly the type of flux was not stated in Eurometaux and so limestone was selected for both models on the basis it is extensively used as a slag former in iron and steel making. S</w:t>
      </w:r>
      <w:r w:rsidR="00803F3A" w:rsidRPr="0054285D">
        <w:rPr>
          <w:rFonts w:ascii="Times New Roman" w:eastAsia="Calibri" w:hAnsi="Times New Roman" w:cs="Times New Roman"/>
        </w:rPr>
        <w:t>econdly for both HC and LC ferrochrome</w:t>
      </w:r>
      <w:r w:rsidRPr="0054285D">
        <w:rPr>
          <w:rFonts w:ascii="Times New Roman" w:eastAsia="Calibri" w:hAnsi="Times New Roman" w:cs="Times New Roman"/>
        </w:rPr>
        <w:t xml:space="preserve"> the source of electricity was selected as Australia in order to compare the results from these models to the original which was also modelled using Australia. Thirdly cooling water and process water were not</w:t>
      </w:r>
      <w:r w:rsidR="00803F3A" w:rsidRPr="0054285D">
        <w:rPr>
          <w:rFonts w:ascii="Times New Roman" w:eastAsia="Calibri" w:hAnsi="Times New Roman" w:cs="Times New Roman"/>
        </w:rPr>
        <w:t xml:space="preserve"> included in either of the ferrochrome</w:t>
      </w:r>
      <w:r w:rsidRPr="0054285D">
        <w:rPr>
          <w:rFonts w:ascii="Times New Roman" w:eastAsia="Calibri" w:hAnsi="Times New Roman" w:cs="Times New Roman"/>
        </w:rPr>
        <w:t xml:space="preserve"> models and alloy output recovery was assumed to be between 90 - 95% C</w:t>
      </w:r>
      <w:r w:rsidR="00803F3A" w:rsidRPr="0054285D">
        <w:rPr>
          <w:rFonts w:ascii="Times New Roman" w:eastAsia="Calibri" w:hAnsi="Times New Roman" w:cs="Times New Roman"/>
        </w:rPr>
        <w:t>r. The completed HC and LC ferrochrome</w:t>
      </w:r>
      <w:r w:rsidRPr="0054285D">
        <w:rPr>
          <w:rFonts w:ascii="Times New Roman" w:eastAsia="Calibri" w:hAnsi="Times New Roman" w:cs="Times New Roman"/>
        </w:rPr>
        <w:t xml:space="preserve"> models are illustrated by</w:t>
      </w:r>
      <w:r w:rsidR="001A3770" w:rsidRPr="0054285D">
        <w:rPr>
          <w:rFonts w:ascii="Times New Roman" w:eastAsia="Calibri" w:hAnsi="Times New Roman" w:cs="Times New Roman"/>
        </w:rPr>
        <w:t xml:space="preserve"> </w:t>
      </w:r>
      <w:r w:rsidR="00A6415F" w:rsidRPr="0054285D">
        <w:fldChar w:fldCharType="begin"/>
      </w:r>
      <w:r w:rsidR="00A6415F" w:rsidRPr="0054285D">
        <w:instrText xml:space="preserve"> REF _Ref468619735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61</w:t>
      </w:r>
      <w:r w:rsidR="00A6415F" w:rsidRPr="0054285D">
        <w:fldChar w:fldCharType="end"/>
      </w:r>
      <w:r w:rsidR="001A3770" w:rsidRPr="0054285D">
        <w:rPr>
          <w:rFonts w:ascii="Times New Roman" w:eastAsia="Calibri" w:hAnsi="Times New Roman" w:cs="Times New Roman"/>
        </w:rPr>
        <w:t xml:space="preserve"> and </w:t>
      </w:r>
      <w:r w:rsidR="00A6415F" w:rsidRPr="0054285D">
        <w:fldChar w:fldCharType="begin"/>
      </w:r>
      <w:r w:rsidR="00A6415F" w:rsidRPr="0054285D">
        <w:instrText xml:space="preserve"> REF _Ref468619738 \h  \* MERGEFORMAT </w:instrText>
      </w:r>
      <w:r w:rsidR="00A6415F" w:rsidRPr="0054285D">
        <w:fldChar w:fldCharType="separate"/>
      </w:r>
      <w:r w:rsidR="009F5483" w:rsidRPr="0054285D">
        <w:rPr>
          <w:rFonts w:ascii="Times New Roman" w:hAnsi="Times New Roman" w:cs="Times New Roman"/>
          <w:noProof/>
        </w:rPr>
        <w:t>Figure</w:t>
      </w:r>
      <w:r w:rsidR="009F5483" w:rsidRPr="0054285D">
        <w:rPr>
          <w:rFonts w:ascii="Times New Roman" w:hAnsi="Times New Roman" w:cs="Times New Roman"/>
        </w:rPr>
        <w:t xml:space="preserve"> </w:t>
      </w:r>
      <w:r w:rsidR="009F5483">
        <w:rPr>
          <w:rFonts w:ascii="Times New Roman" w:hAnsi="Times New Roman" w:cs="Times New Roman"/>
          <w:noProof/>
        </w:rPr>
        <w:t>62</w:t>
      </w:r>
      <w:r w:rsidR="00A6415F" w:rsidRPr="0054285D">
        <w:fldChar w:fldCharType="end"/>
      </w:r>
      <w:r w:rsidRPr="0054285D">
        <w:rPr>
          <w:rFonts w:ascii="Times New Roman" w:eastAsia="Calibri" w:hAnsi="Times New Roman" w:cs="Times New Roman"/>
        </w:rPr>
        <w:t xml:space="preserve"> .</w:t>
      </w:r>
    </w:p>
    <w:p w:rsidR="00AE7A4C" w:rsidRPr="0054285D" w:rsidRDefault="00AE7A4C" w:rsidP="00AE7A4C">
      <w:pPr>
        <w:spacing w:line="360" w:lineRule="auto"/>
        <w:ind w:firstLine="720"/>
        <w:jc w:val="both"/>
        <w:rPr>
          <w:rFonts w:ascii="Times New Roman" w:eastAsia="Calibri" w:hAnsi="Times New Roman" w:cs="Times New Roman"/>
        </w:rPr>
      </w:pPr>
    </w:p>
    <w:p w:rsidR="00AE7A4C" w:rsidRPr="0054285D" w:rsidRDefault="00C64A04" w:rsidP="00AE7A4C">
      <w:pPr>
        <w:spacing w:line="360" w:lineRule="auto"/>
        <w:jc w:val="center"/>
        <w:rPr>
          <w:rFonts w:ascii="Times New Roman" w:eastAsia="Calibri" w:hAnsi="Times New Roman" w:cs="Times New Roman"/>
        </w:rPr>
      </w:pPr>
      <w:r w:rsidRPr="0054285D">
        <w:rPr>
          <w:noProof/>
        </w:rPr>
        <w:drawing>
          <wp:inline distT="0" distB="0" distL="0" distR="0">
            <wp:extent cx="4356024" cy="1836752"/>
            <wp:effectExtent l="0" t="0" r="6985"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srcRect l="35026" t="51436" r="26824" b="19966"/>
                    <a:stretch/>
                  </pic:blipFill>
                  <pic:spPr bwMode="auto">
                    <a:xfrm>
                      <a:off x="0" y="0"/>
                      <a:ext cx="4396049" cy="1853629"/>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1F3B50" w:rsidP="001F3B50">
      <w:pPr>
        <w:rPr>
          <w:rFonts w:ascii="Times New Roman" w:eastAsia="Calibri" w:hAnsi="Times New Roman" w:cs="Times New Roman"/>
        </w:rPr>
      </w:pPr>
      <w:bookmarkStart w:id="253" w:name="_Ref468619735"/>
      <w:bookmarkStart w:id="254" w:name="_Toc495848394"/>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61</w:t>
      </w:r>
      <w:r w:rsidR="009A0ED7" w:rsidRPr="0054285D">
        <w:rPr>
          <w:rFonts w:ascii="Times New Roman" w:hAnsi="Times New Roman" w:cs="Times New Roman"/>
        </w:rPr>
        <w:fldChar w:fldCharType="end"/>
      </w:r>
      <w:bookmarkEnd w:id="253"/>
      <w:r w:rsidRPr="0054285D">
        <w:rPr>
          <w:rFonts w:ascii="Times New Roman" w:hAnsi="Times New Roman" w:cs="Times New Roman"/>
        </w:rPr>
        <w:t xml:space="preserve">. </w:t>
      </w:r>
      <w:r w:rsidR="00803F3A" w:rsidRPr="0054285D">
        <w:rPr>
          <w:rFonts w:ascii="Times New Roman" w:eastAsia="Calibri" w:hAnsi="Times New Roman" w:cs="Times New Roman"/>
        </w:rPr>
        <w:t>HC ferrochrome</w:t>
      </w:r>
      <w:r w:rsidR="00AE7A4C" w:rsidRPr="0054285D">
        <w:rPr>
          <w:rFonts w:ascii="Times New Roman" w:eastAsia="Calibri" w:hAnsi="Times New Roman" w:cs="Times New Roman"/>
        </w:rPr>
        <w:t xml:space="preserve"> model from Eurometaux data.</w:t>
      </w:r>
      <w:bookmarkEnd w:id="254"/>
    </w:p>
    <w:p w:rsidR="00C64A04" w:rsidRPr="0054285D" w:rsidRDefault="00C64A04" w:rsidP="001F3B50">
      <w:pPr>
        <w:rPr>
          <w:rFonts w:ascii="Times New Roman" w:eastAsia="Calibri" w:hAnsi="Times New Roman" w:cs="Times New Roman"/>
        </w:rPr>
      </w:pPr>
    </w:p>
    <w:p w:rsidR="00AE7A4C" w:rsidRPr="0054285D" w:rsidRDefault="00C64A04" w:rsidP="00C64A04">
      <w:pPr>
        <w:spacing w:line="360" w:lineRule="auto"/>
        <w:jc w:val="center"/>
        <w:rPr>
          <w:rFonts w:ascii="Times New Roman" w:eastAsia="Calibri" w:hAnsi="Times New Roman" w:cs="Times New Roman"/>
        </w:rPr>
      </w:pPr>
      <w:r w:rsidRPr="0054285D">
        <w:rPr>
          <w:noProof/>
        </w:rPr>
        <w:drawing>
          <wp:inline distT="0" distB="0" distL="0" distR="0">
            <wp:extent cx="4484218" cy="2509740"/>
            <wp:effectExtent l="0" t="0" r="0" b="508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print"/>
                    <a:srcRect l="42375" t="53324" r="21125" b="10360"/>
                    <a:stretch/>
                  </pic:blipFill>
                  <pic:spPr bwMode="auto">
                    <a:xfrm>
                      <a:off x="0" y="0"/>
                      <a:ext cx="4493859" cy="2515136"/>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1F3B50" w:rsidP="001F3B50">
      <w:pPr>
        <w:rPr>
          <w:rFonts w:ascii="Times New Roman" w:eastAsia="Calibri" w:hAnsi="Times New Roman" w:cs="Times New Roman"/>
        </w:rPr>
      </w:pPr>
      <w:bookmarkStart w:id="255" w:name="_Ref468619738"/>
      <w:bookmarkStart w:id="256" w:name="_Toc495848395"/>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62</w:t>
      </w:r>
      <w:r w:rsidR="009A0ED7" w:rsidRPr="0054285D">
        <w:rPr>
          <w:rFonts w:ascii="Times New Roman" w:hAnsi="Times New Roman" w:cs="Times New Roman"/>
        </w:rPr>
        <w:fldChar w:fldCharType="end"/>
      </w:r>
      <w:bookmarkEnd w:id="255"/>
      <w:r w:rsidRPr="0054285D">
        <w:rPr>
          <w:rFonts w:ascii="Times New Roman" w:hAnsi="Times New Roman" w:cs="Times New Roman"/>
        </w:rPr>
        <w:t xml:space="preserve">. </w:t>
      </w:r>
      <w:r w:rsidR="00803F3A" w:rsidRPr="0054285D">
        <w:rPr>
          <w:rFonts w:ascii="Times New Roman" w:eastAsia="Calibri" w:hAnsi="Times New Roman" w:cs="Times New Roman"/>
        </w:rPr>
        <w:t>LC ferrochrome</w:t>
      </w:r>
      <w:r w:rsidR="00AE7A4C" w:rsidRPr="0054285D">
        <w:rPr>
          <w:rFonts w:ascii="Times New Roman" w:eastAsia="Calibri" w:hAnsi="Times New Roman" w:cs="Times New Roman"/>
        </w:rPr>
        <w:t xml:space="preserve"> model from Eurometaux data.</w:t>
      </w:r>
      <w:bookmarkEnd w:id="256"/>
    </w:p>
    <w:p w:rsidR="00AE7A4C" w:rsidRPr="0054285D" w:rsidRDefault="00AE7A4C" w:rsidP="00C64A04">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Conversely, there were a number of notable differences between the two </w:t>
      </w:r>
      <w:r w:rsidR="00803F3A" w:rsidRPr="0054285D">
        <w:rPr>
          <w:rFonts w:ascii="Times New Roman" w:eastAsia="Calibri" w:hAnsi="Times New Roman" w:cs="Times New Roman"/>
        </w:rPr>
        <w:t>ferrochrome models. For HC ferrochrome,</w:t>
      </w:r>
      <w:r w:rsidRPr="0054285D">
        <w:rPr>
          <w:rFonts w:ascii="Times New Roman" w:eastAsia="Calibri" w:hAnsi="Times New Roman" w:cs="Times New Roman"/>
        </w:rPr>
        <w:t xml:space="preserve"> electrical energy was used rather than potential energy for coke. Utilisation of the input coke already included its associated energy and thus avoided double addition. </w:t>
      </w:r>
    </w:p>
    <w:p w:rsidR="00AE7A4C" w:rsidRPr="0054285D" w:rsidRDefault="00AE7A4C" w:rsidP="00C64A04">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lastRenderedPageBreak/>
        <w:t>However, the biggest dif</w:t>
      </w:r>
      <w:r w:rsidR="00803F3A" w:rsidRPr="0054285D">
        <w:rPr>
          <w:rFonts w:ascii="Times New Roman" w:eastAsia="Calibri" w:hAnsi="Times New Roman" w:cs="Times New Roman"/>
        </w:rPr>
        <w:t xml:space="preserve">ference between HC and LC ferrochrome </w:t>
      </w:r>
      <w:r w:rsidRPr="0054285D">
        <w:rPr>
          <w:rFonts w:ascii="Times New Roman" w:eastAsia="Calibri" w:hAnsi="Times New Roman" w:cs="Times New Roman"/>
        </w:rPr>
        <w:t>was the presence of the reducing agent, Fe-Si-Cr. I</w:t>
      </w:r>
      <w:r w:rsidR="00803F3A" w:rsidRPr="0054285D">
        <w:rPr>
          <w:rFonts w:ascii="Times New Roman" w:eastAsia="Calibri" w:hAnsi="Times New Roman" w:cs="Times New Roman"/>
        </w:rPr>
        <w:t>n the original data for LC ferrochrome</w:t>
      </w:r>
      <w:r w:rsidRPr="0054285D">
        <w:rPr>
          <w:rFonts w:ascii="Times New Roman" w:eastAsia="Calibri" w:hAnsi="Times New Roman" w:cs="Times New Roman"/>
        </w:rPr>
        <w:t>, the amount of electrical energy was based on the co</w:t>
      </w:r>
      <w:r w:rsidR="00803F3A" w:rsidRPr="0054285D">
        <w:rPr>
          <w:rFonts w:ascii="Times New Roman" w:eastAsia="Calibri" w:hAnsi="Times New Roman" w:cs="Times New Roman"/>
        </w:rPr>
        <w:t>nversion of Fe-Si-Cr to LC ferrochrome</w:t>
      </w:r>
      <w:r w:rsidRPr="0054285D">
        <w:rPr>
          <w:rFonts w:ascii="Times New Roman" w:eastAsia="Calibri" w:hAnsi="Times New Roman" w:cs="Times New Roman"/>
        </w:rPr>
        <w:t>. However since an intermediate process, Fe-Si-Cr, had to be input, the associated electrical</w:t>
      </w:r>
      <w:r w:rsidR="002E247E" w:rsidRPr="0054285D">
        <w:rPr>
          <w:rFonts w:ascii="Times New Roman" w:eastAsia="Calibri" w:hAnsi="Times New Roman" w:cs="Times New Roman"/>
        </w:rPr>
        <w:t xml:space="preserve"> energy</w:t>
      </w:r>
      <w:r w:rsidRPr="0054285D">
        <w:rPr>
          <w:rFonts w:ascii="Times New Roman" w:eastAsia="Calibri" w:hAnsi="Times New Roman" w:cs="Times New Roman"/>
        </w:rPr>
        <w:t xml:space="preserve"> would also conversely increase. The Fe-Si-Cr process was unavailable in any of the </w:t>
      </w:r>
      <w:r w:rsidR="004D2D91" w:rsidRPr="0054285D">
        <w:rPr>
          <w:rFonts w:ascii="Times New Roman" w:eastAsia="Calibri" w:hAnsi="Times New Roman" w:cs="Times New Roman"/>
        </w:rPr>
        <w:t>GaBi</w:t>
      </w:r>
      <w:r w:rsidRPr="0054285D">
        <w:rPr>
          <w:rFonts w:ascii="Times New Roman" w:eastAsia="Calibri" w:hAnsi="Times New Roman" w:cs="Times New Roman"/>
        </w:rPr>
        <w:t xml:space="preserve"> databases and had to be created. Data obtained from Gasik, would allow creation of the Fe-Si-Cr proc</w:t>
      </w:r>
      <w:r w:rsidR="00803F3A" w:rsidRPr="0054285D">
        <w:rPr>
          <w:rFonts w:ascii="Times New Roman" w:eastAsia="Calibri" w:hAnsi="Times New Roman" w:cs="Times New Roman"/>
        </w:rPr>
        <w:t>ess thus completing the LC ferrochrome</w:t>
      </w:r>
      <w:r w:rsidRPr="0054285D">
        <w:rPr>
          <w:rFonts w:ascii="Times New Roman" w:eastAsia="Calibri" w:hAnsi="Times New Roman" w:cs="Times New Roman"/>
        </w:rPr>
        <w:t xml:space="preserve"> model.</w:t>
      </w:r>
    </w:p>
    <w:p w:rsidR="00AE7A4C" w:rsidRPr="0054285D" w:rsidRDefault="00AE7A4C" w:rsidP="00803F3A">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 Data from </w:t>
      </w:r>
      <w:r w:rsidR="002E247E" w:rsidRPr="0054285D">
        <w:rPr>
          <w:rFonts w:ascii="Times New Roman" w:eastAsia="Calibri" w:hAnsi="Times New Roman" w:cs="Times New Roman"/>
          <w:noProof/>
        </w:rPr>
        <w:t>(Gasik.M 2013)</w:t>
      </w:r>
      <w:r w:rsidRPr="0054285D">
        <w:rPr>
          <w:rFonts w:ascii="Times New Roman" w:eastAsia="Calibri" w:hAnsi="Times New Roman" w:cs="Times New Roman"/>
        </w:rPr>
        <w:t>, was available for a range of different percentages of silicon. In this case, the minimum (13% Si) and maximum (53% Si) percentages of silicon were selected for investigation. The inventory data for both percenta</w:t>
      </w:r>
      <w:r w:rsidR="00803F3A" w:rsidRPr="0054285D">
        <w:rPr>
          <w:rFonts w:ascii="Times New Roman" w:eastAsia="Calibri" w:hAnsi="Times New Roman" w:cs="Times New Roman"/>
        </w:rPr>
        <w:t>ges of silicon are shown below.</w:t>
      </w:r>
    </w:p>
    <w:p w:rsidR="00AE7A4C" w:rsidRPr="0054285D" w:rsidRDefault="001F3B50" w:rsidP="001F3B50">
      <w:pPr>
        <w:rPr>
          <w:rFonts w:ascii="Times New Roman" w:eastAsia="Calibri" w:hAnsi="Times New Roman" w:cs="Times New Roman"/>
        </w:rPr>
      </w:pPr>
      <w:bookmarkStart w:id="257" w:name="_Ref474351003"/>
      <w:bookmarkStart w:id="258" w:name="_Toc474486549"/>
      <w:bookmarkStart w:id="259" w:name="_Toc495852720"/>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42</w:t>
      </w:r>
      <w:r w:rsidR="009A0ED7" w:rsidRPr="0054285D">
        <w:rPr>
          <w:rFonts w:ascii="Times New Roman" w:hAnsi="Times New Roman" w:cs="Times New Roman"/>
        </w:rPr>
        <w:fldChar w:fldCharType="end"/>
      </w:r>
      <w:bookmarkEnd w:id="257"/>
      <w:r w:rsidRPr="0054285D">
        <w:rPr>
          <w:rFonts w:ascii="Times New Roman" w:hAnsi="Times New Roman" w:cs="Times New Roman"/>
        </w:rPr>
        <w:t xml:space="preserve"> </w:t>
      </w:r>
      <w:r w:rsidR="00AE7A4C" w:rsidRPr="0054285D">
        <w:rPr>
          <w:rFonts w:ascii="Times New Roman" w:eastAsia="Calibri" w:hAnsi="Times New Roman" w:cs="Times New Roman"/>
        </w:rPr>
        <w:t>Inventory data for F</w:t>
      </w:r>
      <w:r w:rsidR="00803F3A" w:rsidRPr="0054285D">
        <w:rPr>
          <w:rFonts w:ascii="Times New Roman" w:eastAsia="Calibri" w:hAnsi="Times New Roman" w:cs="Times New Roman"/>
        </w:rPr>
        <w:t xml:space="preserve">e-Si-Cr (13% Si) </w:t>
      </w:r>
      <w:r w:rsidR="00803F3A" w:rsidRPr="0054285D">
        <w:rPr>
          <w:rFonts w:ascii="Times New Roman" w:eastAsia="Calibri" w:hAnsi="Times New Roman" w:cs="Times New Roman"/>
          <w:noProof/>
        </w:rPr>
        <w:t>(Gasik.M 2013)</w:t>
      </w:r>
      <w:r w:rsidR="00803F3A" w:rsidRPr="0054285D">
        <w:rPr>
          <w:rFonts w:ascii="Times New Roman" w:eastAsia="Calibri" w:hAnsi="Times New Roman" w:cs="Times New Roman"/>
        </w:rPr>
        <w:t>.</w:t>
      </w:r>
      <w:bookmarkEnd w:id="258"/>
      <w:bookmarkEnd w:id="25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80"/>
        <w:gridCol w:w="1078"/>
        <w:gridCol w:w="1180"/>
      </w:tblGrid>
      <w:tr w:rsidR="000F39EA" w:rsidRPr="0054285D" w:rsidTr="00803F3A">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Input </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Inventory</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Units</w:t>
            </w:r>
          </w:p>
        </w:tc>
      </w:tr>
      <w:tr w:rsidR="000F39EA" w:rsidRPr="0054285D" w:rsidTr="00803F3A">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Chromite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1908.00</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803F3A">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Coke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543.00</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803F3A">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Quartzite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634.00</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803F3A">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Iron Steel Chips</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30.00</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bl>
    <w:p w:rsidR="00AE7A4C" w:rsidRPr="0054285D" w:rsidRDefault="00AE7A4C" w:rsidP="00AE7A4C">
      <w:pPr>
        <w:spacing w:line="360" w:lineRule="auto"/>
        <w:rPr>
          <w:rFonts w:ascii="Times New Roman" w:eastAsia="Calibri" w:hAnsi="Times New Roman" w:cs="Times New Roman"/>
        </w:rPr>
      </w:pPr>
    </w:p>
    <w:p w:rsidR="00AE7A4C" w:rsidRPr="0054285D" w:rsidRDefault="001F3B50" w:rsidP="001F3B50">
      <w:pPr>
        <w:rPr>
          <w:rFonts w:ascii="Times New Roman" w:eastAsia="Calibri" w:hAnsi="Times New Roman" w:cs="Times New Roman"/>
        </w:rPr>
      </w:pPr>
      <w:bookmarkStart w:id="260" w:name="_Ref474351006"/>
      <w:bookmarkStart w:id="261" w:name="_Toc474486550"/>
      <w:bookmarkStart w:id="262" w:name="_Toc495852721"/>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43</w:t>
      </w:r>
      <w:r w:rsidR="009A0ED7" w:rsidRPr="0054285D">
        <w:rPr>
          <w:rFonts w:ascii="Times New Roman" w:hAnsi="Times New Roman" w:cs="Times New Roman"/>
        </w:rPr>
        <w:fldChar w:fldCharType="end"/>
      </w:r>
      <w:bookmarkEnd w:id="260"/>
      <w:r w:rsidRPr="0054285D">
        <w:rPr>
          <w:rFonts w:ascii="Times New Roman" w:hAnsi="Times New Roman" w:cs="Times New Roman"/>
        </w:rPr>
        <w:t xml:space="preserve">. </w:t>
      </w:r>
      <w:r w:rsidR="00AE7A4C" w:rsidRPr="0054285D">
        <w:rPr>
          <w:rFonts w:ascii="Times New Roman" w:eastAsia="Calibri" w:hAnsi="Times New Roman" w:cs="Times New Roman"/>
        </w:rPr>
        <w:t xml:space="preserve">Inventory data for Fe-Si-Cr </w:t>
      </w:r>
      <w:r w:rsidR="00803F3A" w:rsidRPr="0054285D">
        <w:rPr>
          <w:rFonts w:ascii="Times New Roman" w:eastAsia="Calibri" w:hAnsi="Times New Roman" w:cs="Times New Roman"/>
        </w:rPr>
        <w:t xml:space="preserve">(53% Si) </w:t>
      </w:r>
      <w:r w:rsidR="00803F3A" w:rsidRPr="0054285D">
        <w:rPr>
          <w:rFonts w:ascii="Times New Roman" w:eastAsia="Calibri" w:hAnsi="Times New Roman" w:cs="Times New Roman"/>
          <w:noProof/>
        </w:rPr>
        <w:t>(Gasik.M 2013)</w:t>
      </w:r>
      <w:r w:rsidR="00803F3A" w:rsidRPr="0054285D">
        <w:rPr>
          <w:rFonts w:ascii="Times New Roman" w:eastAsia="Calibri" w:hAnsi="Times New Roman" w:cs="Times New Roman"/>
        </w:rPr>
        <w:t>.</w:t>
      </w:r>
      <w:bookmarkEnd w:id="261"/>
      <w:bookmarkEnd w:id="26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80"/>
        <w:gridCol w:w="1078"/>
        <w:gridCol w:w="1180"/>
      </w:tblGrid>
      <w:tr w:rsidR="000F39EA" w:rsidRPr="0054285D" w:rsidTr="00803F3A">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Input </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Inventory</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Units</w:t>
            </w:r>
          </w:p>
        </w:tc>
      </w:tr>
      <w:tr w:rsidR="000F39EA" w:rsidRPr="0054285D" w:rsidTr="00803F3A">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Chromite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923.00</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803F3A">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Coke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712.00</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803F3A">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Quartzite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1464.00</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803F3A">
        <w:trPr>
          <w:jc w:val="center"/>
        </w:trPr>
        <w:tc>
          <w:tcPr>
            <w:tcW w:w="17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Iron Steel Chips</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116.00</w:t>
            </w:r>
          </w:p>
        </w:tc>
        <w:tc>
          <w:tcPr>
            <w:tcW w:w="118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bl>
    <w:p w:rsidR="00AE7A4C" w:rsidRPr="0054285D" w:rsidRDefault="00AE7A4C" w:rsidP="00C64A04">
      <w:pPr>
        <w:spacing w:line="360" w:lineRule="auto"/>
        <w:rPr>
          <w:rFonts w:ascii="Times New Roman" w:eastAsia="Calibri" w:hAnsi="Times New Roman" w:cs="Times New Roman"/>
        </w:rPr>
      </w:pPr>
    </w:p>
    <w:p w:rsidR="00AE7A4C" w:rsidRPr="0054285D" w:rsidRDefault="002E247E" w:rsidP="002E247E">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Using data in the above tables as inputs, the relevant processes per input were obtained from </w:t>
      </w:r>
      <w:r w:rsidR="004D2D91" w:rsidRPr="0054285D">
        <w:rPr>
          <w:rFonts w:ascii="Times New Roman" w:eastAsia="Calibri" w:hAnsi="Times New Roman" w:cs="Times New Roman"/>
        </w:rPr>
        <w:t>GaBi</w:t>
      </w:r>
      <w:r w:rsidRPr="0054285D">
        <w:rPr>
          <w:rFonts w:ascii="Times New Roman" w:eastAsia="Calibri" w:hAnsi="Times New Roman" w:cs="Times New Roman"/>
        </w:rPr>
        <w:t xml:space="preserve"> and flows connected linking the input processes to a centralised process called Fe-Si-Cr. The output for both models was set to a functional unit of 1000 kg of Fe-Si-Cr. </w:t>
      </w:r>
      <w:r w:rsidR="00AE7A4C" w:rsidRPr="0054285D">
        <w:rPr>
          <w:rFonts w:ascii="Times New Roman" w:eastAsia="Calibri" w:hAnsi="Times New Roman" w:cs="Times New Roman"/>
        </w:rPr>
        <w:t xml:space="preserve">Minor corrections had to be made, specifically for the input Quartzite which was absent from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thus silica sand process was used as an alternative. In addition, electricity as a process input was not required due to the chemical reaction between chromium and iron oxides with silicon. This exothermic reaction was sufficient enough to release large amounts of heat which would sustain the reaction. However it was assumed some electricity would be required to initiate the reaction, and this source of energy would come via electrical energy associated with the inputs. Lastly carbon correction was made for coke in both models utilising equations </w:t>
      </w:r>
      <w:r w:rsidRPr="0054285D">
        <w:rPr>
          <w:rFonts w:ascii="Times New Roman" w:eastAsia="Calibri" w:hAnsi="Times New Roman" w:cs="Times New Roman"/>
        </w:rPr>
        <w:t>6</w:t>
      </w:r>
      <w:r w:rsidR="00AE7A4C" w:rsidRPr="0054285D">
        <w:rPr>
          <w:rFonts w:ascii="Times New Roman" w:eastAsia="Calibri" w:hAnsi="Times New Roman" w:cs="Times New Roman"/>
        </w:rPr>
        <w:t xml:space="preserve"> and </w:t>
      </w:r>
      <w:r w:rsidRPr="0054285D">
        <w:rPr>
          <w:rFonts w:ascii="Times New Roman" w:eastAsia="Calibri" w:hAnsi="Times New Roman" w:cs="Times New Roman"/>
        </w:rPr>
        <w:t>7</w:t>
      </w:r>
      <w:r w:rsidR="00AE7A4C" w:rsidRPr="0054285D">
        <w:rPr>
          <w:rFonts w:ascii="Times New Roman" w:eastAsia="Calibri" w:hAnsi="Times New Roman" w:cs="Times New Roman"/>
        </w:rPr>
        <w:t>.</w:t>
      </w:r>
    </w:p>
    <w:p w:rsidR="00AE7A4C" w:rsidRDefault="00AE7A4C" w:rsidP="00D2436E">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During the creation of Fe-Si-Cr, both slag (flux) and slag less process variations were also considered. However slag (flux) processes were selected on the overall basis of being higher in product </w:t>
      </w:r>
      <w:r w:rsidRPr="0054285D">
        <w:rPr>
          <w:rFonts w:ascii="Times New Roman" w:eastAsia="Calibri" w:hAnsi="Times New Roman" w:cs="Times New Roman"/>
        </w:rPr>
        <w:lastRenderedPageBreak/>
        <w:t>quality and slag recovery compared to slag less processes. In terms of modelling both silicon percentages were separately input into</w:t>
      </w:r>
      <w:r w:rsidR="00AA18E7" w:rsidRPr="0054285D">
        <w:rPr>
          <w:rFonts w:ascii="Times New Roman" w:eastAsia="Calibri" w:hAnsi="Times New Roman" w:cs="Times New Roman"/>
        </w:rPr>
        <w:t xml:space="preserve"> Fe-Si-Cr and then into LC ferrochrome</w:t>
      </w:r>
      <w:r w:rsidRPr="0054285D">
        <w:rPr>
          <w:rFonts w:ascii="Times New Roman" w:eastAsia="Calibri" w:hAnsi="Times New Roman" w:cs="Times New Roman"/>
        </w:rPr>
        <w:t xml:space="preserve"> and the results generated. The complete models for both percentages of s</w:t>
      </w:r>
      <w:r w:rsidR="00AA18E7" w:rsidRPr="0054285D">
        <w:rPr>
          <w:rFonts w:ascii="Times New Roman" w:eastAsia="Calibri" w:hAnsi="Times New Roman" w:cs="Times New Roman"/>
        </w:rPr>
        <w:t>ilicon (13% and 53%) are shown</w:t>
      </w:r>
      <w:r w:rsidRPr="0054285D">
        <w:rPr>
          <w:rFonts w:ascii="Times New Roman" w:eastAsia="Calibri" w:hAnsi="Times New Roman" w:cs="Times New Roman"/>
        </w:rPr>
        <w:t xml:space="preserve"> below.</w:t>
      </w:r>
    </w:p>
    <w:p w:rsidR="00D2436E" w:rsidRPr="0054285D" w:rsidRDefault="00D2436E" w:rsidP="00D2436E">
      <w:pPr>
        <w:spacing w:after="0" w:line="360" w:lineRule="auto"/>
        <w:ind w:firstLine="720"/>
        <w:jc w:val="both"/>
        <w:rPr>
          <w:rFonts w:ascii="Times New Roman" w:eastAsia="Calibri" w:hAnsi="Times New Roman" w:cs="Times New Roman"/>
        </w:rPr>
      </w:pPr>
    </w:p>
    <w:p w:rsidR="00AE7A4C" w:rsidRPr="0054285D" w:rsidRDefault="00C64A04" w:rsidP="00AE7A4C">
      <w:pPr>
        <w:spacing w:line="360" w:lineRule="auto"/>
        <w:jc w:val="center"/>
        <w:rPr>
          <w:rFonts w:ascii="Times New Roman" w:eastAsia="Calibri" w:hAnsi="Times New Roman" w:cs="Times New Roman"/>
        </w:rPr>
      </w:pPr>
      <w:r w:rsidRPr="0054285D">
        <w:rPr>
          <w:noProof/>
        </w:rPr>
        <w:drawing>
          <wp:inline distT="0" distB="0" distL="0" distR="0">
            <wp:extent cx="4724400" cy="2683510"/>
            <wp:effectExtent l="0" t="0" r="0" b="254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srcRect l="44931" t="35624" r="19327" b="28284"/>
                    <a:stretch/>
                  </pic:blipFill>
                  <pic:spPr bwMode="auto">
                    <a:xfrm>
                      <a:off x="0" y="0"/>
                      <a:ext cx="4744690" cy="2695035"/>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1F3B50" w:rsidP="001F3B50">
      <w:pPr>
        <w:rPr>
          <w:rFonts w:ascii="Times New Roman" w:eastAsia="Calibri" w:hAnsi="Times New Roman" w:cs="Times New Roman"/>
        </w:rPr>
      </w:pPr>
      <w:bookmarkStart w:id="263" w:name="_Ref474351044"/>
      <w:bookmarkStart w:id="264" w:name="_Toc495848396"/>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63</w:t>
      </w:r>
      <w:r w:rsidR="009A0ED7" w:rsidRPr="0054285D">
        <w:rPr>
          <w:rFonts w:ascii="Times New Roman" w:hAnsi="Times New Roman" w:cs="Times New Roman"/>
        </w:rPr>
        <w:fldChar w:fldCharType="end"/>
      </w:r>
      <w:bookmarkEnd w:id="263"/>
      <w:r w:rsidRPr="0054285D">
        <w:rPr>
          <w:rFonts w:ascii="Times New Roman" w:hAnsi="Times New Roman" w:cs="Times New Roman"/>
        </w:rPr>
        <w:t xml:space="preserve">. </w:t>
      </w:r>
      <w:r w:rsidR="00AA18E7" w:rsidRPr="0054285D">
        <w:rPr>
          <w:rFonts w:ascii="Times New Roman" w:eastAsia="Calibri" w:hAnsi="Times New Roman" w:cs="Times New Roman"/>
        </w:rPr>
        <w:t>Fe-Si-Cr (13% Si) model.</w:t>
      </w:r>
      <w:bookmarkEnd w:id="264"/>
    </w:p>
    <w:p w:rsidR="00AE7A4C" w:rsidRPr="0054285D" w:rsidRDefault="00C64A04" w:rsidP="00AE7A4C">
      <w:pPr>
        <w:spacing w:line="360" w:lineRule="auto"/>
        <w:jc w:val="center"/>
        <w:rPr>
          <w:rFonts w:ascii="Times New Roman" w:eastAsia="Calibri" w:hAnsi="Times New Roman" w:cs="Times New Roman"/>
          <w:shd w:val="clear" w:color="auto" w:fill="FFFFFF"/>
        </w:rPr>
      </w:pPr>
      <w:r w:rsidRPr="0054285D">
        <w:rPr>
          <w:noProof/>
        </w:rPr>
        <w:drawing>
          <wp:inline distT="0" distB="0" distL="0" distR="0">
            <wp:extent cx="5123857" cy="2553005"/>
            <wp:effectExtent l="0" t="0" r="635"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srcRect l="36765" t="36531" r="21978" b="26922"/>
                    <a:stretch/>
                  </pic:blipFill>
                  <pic:spPr bwMode="auto">
                    <a:xfrm>
                      <a:off x="0" y="0"/>
                      <a:ext cx="5143749" cy="2562916"/>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1F3B50" w:rsidP="001F3B50">
      <w:pPr>
        <w:rPr>
          <w:rFonts w:ascii="Times New Roman" w:eastAsia="Calibri" w:hAnsi="Times New Roman" w:cs="Times New Roman"/>
        </w:rPr>
      </w:pPr>
      <w:bookmarkStart w:id="265" w:name="_Ref474351046"/>
      <w:bookmarkStart w:id="266" w:name="_Toc495848397"/>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64</w:t>
      </w:r>
      <w:r w:rsidR="009A0ED7" w:rsidRPr="0054285D">
        <w:rPr>
          <w:rFonts w:ascii="Times New Roman" w:hAnsi="Times New Roman" w:cs="Times New Roman"/>
        </w:rPr>
        <w:fldChar w:fldCharType="end"/>
      </w:r>
      <w:bookmarkEnd w:id="265"/>
      <w:r w:rsidRPr="0054285D">
        <w:rPr>
          <w:rFonts w:ascii="Times New Roman" w:hAnsi="Times New Roman" w:cs="Times New Roman"/>
        </w:rPr>
        <w:t xml:space="preserve">. </w:t>
      </w:r>
      <w:r w:rsidR="00AA18E7" w:rsidRPr="0054285D">
        <w:rPr>
          <w:rFonts w:ascii="Times New Roman" w:eastAsia="Calibri" w:hAnsi="Times New Roman" w:cs="Times New Roman"/>
        </w:rPr>
        <w:t>Fe-Si-Cr (53% Si) model.</w:t>
      </w:r>
      <w:bookmarkEnd w:id="266"/>
    </w:p>
    <w:p w:rsidR="009A0D36" w:rsidRPr="0054285D" w:rsidRDefault="00AE7A4C" w:rsidP="009A0D36">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The</w:t>
      </w:r>
      <w:r w:rsidR="00AA18E7" w:rsidRPr="0054285D">
        <w:rPr>
          <w:rFonts w:ascii="Times New Roman" w:eastAsia="Calibri" w:hAnsi="Times New Roman" w:cs="Times New Roman"/>
        </w:rPr>
        <w:t xml:space="preserve"> final data source </w:t>
      </w:r>
      <w:r w:rsidR="00AA18E7" w:rsidRPr="0054285D">
        <w:rPr>
          <w:rFonts w:ascii="Times New Roman" w:eastAsia="Calibri" w:hAnsi="Times New Roman" w:cs="Times New Roman"/>
          <w:noProof/>
        </w:rPr>
        <w:t>(thinkStep 2015)</w:t>
      </w:r>
      <w:r w:rsidRPr="0054285D">
        <w:rPr>
          <w:rFonts w:ascii="Times New Roman" w:eastAsia="Calibri" w:hAnsi="Times New Roman" w:cs="Times New Roman"/>
        </w:rPr>
        <w:t xml:space="preserve"> did </w:t>
      </w:r>
      <w:r w:rsidR="00AA18E7" w:rsidRPr="0054285D">
        <w:rPr>
          <w:rFonts w:ascii="Times New Roman" w:eastAsia="Calibri" w:hAnsi="Times New Roman" w:cs="Times New Roman"/>
        </w:rPr>
        <w:t xml:space="preserve">not allow for creation of ferrochrome </w:t>
      </w:r>
      <w:r w:rsidRPr="0054285D">
        <w:rPr>
          <w:rFonts w:ascii="Times New Roman" w:eastAsia="Calibri" w:hAnsi="Times New Roman" w:cs="Times New Roman"/>
        </w:rPr>
        <w:t>models d</w:t>
      </w:r>
      <w:r w:rsidR="00AA18E7" w:rsidRPr="0054285D">
        <w:rPr>
          <w:rFonts w:ascii="Times New Roman" w:eastAsia="Calibri" w:hAnsi="Times New Roman" w:cs="Times New Roman"/>
        </w:rPr>
        <w:t>ue to the processes being black box processes</w:t>
      </w:r>
      <w:r w:rsidRPr="0054285D">
        <w:rPr>
          <w:rFonts w:ascii="Times New Roman" w:eastAsia="Calibri" w:hAnsi="Times New Roman" w:cs="Times New Roman"/>
        </w:rPr>
        <w:t>. This</w:t>
      </w:r>
      <w:r w:rsidR="00AA18E7" w:rsidRPr="0054285D">
        <w:rPr>
          <w:rFonts w:ascii="Times New Roman" w:eastAsia="Calibri" w:hAnsi="Times New Roman" w:cs="Times New Roman"/>
        </w:rPr>
        <w:t xml:space="preserve"> essentially meant</w:t>
      </w:r>
      <w:r w:rsidRPr="0054285D">
        <w:rPr>
          <w:rFonts w:ascii="Times New Roman" w:eastAsia="Calibri" w:hAnsi="Times New Roman" w:cs="Times New Roman"/>
        </w:rPr>
        <w:t xml:space="preserve"> the inputs and outputs associated with the process could be viewed but not altered. Instead, the documentation surrounding the production of </w:t>
      </w:r>
      <w:r w:rsidR="00AA18E7" w:rsidRPr="0054285D">
        <w:rPr>
          <w:rFonts w:ascii="Times New Roman" w:eastAsia="Calibri" w:hAnsi="Times New Roman" w:cs="Times New Roman"/>
        </w:rPr>
        <w:t>HC ferrochrome and LC ferrochrome</w:t>
      </w:r>
      <w:r w:rsidRPr="0054285D">
        <w:rPr>
          <w:rFonts w:ascii="Times New Roman" w:eastAsia="Calibri" w:hAnsi="Times New Roman" w:cs="Times New Roman"/>
        </w:rPr>
        <w:t xml:space="preserve"> for </w:t>
      </w:r>
      <w:r w:rsidR="004D2D91" w:rsidRPr="0054285D">
        <w:rPr>
          <w:rFonts w:ascii="Times New Roman" w:eastAsia="Calibri" w:hAnsi="Times New Roman" w:cs="Times New Roman"/>
        </w:rPr>
        <w:t>GaBi</w:t>
      </w:r>
      <w:r w:rsidRPr="0054285D">
        <w:rPr>
          <w:rFonts w:ascii="Times New Roman" w:eastAsia="Calibri" w:hAnsi="Times New Roman" w:cs="Times New Roman"/>
        </w:rPr>
        <w:t xml:space="preserve"> was analysed instead.</w:t>
      </w:r>
    </w:p>
    <w:p w:rsidR="00AE7A4C" w:rsidRPr="0054285D" w:rsidRDefault="00AA18E7" w:rsidP="00417C49">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Documentation for both ferrochrome</w:t>
      </w:r>
      <w:r w:rsidR="00AE7A4C" w:rsidRPr="0054285D">
        <w:rPr>
          <w:rFonts w:ascii="Times New Roman" w:eastAsia="Calibri" w:hAnsi="Times New Roman" w:cs="Times New Roman"/>
        </w:rPr>
        <w:t xml:space="preserve"> models</w:t>
      </w:r>
      <w:r w:rsidRPr="0054285D">
        <w:rPr>
          <w:rFonts w:ascii="Times New Roman" w:eastAsia="Calibri" w:hAnsi="Times New Roman" w:cs="Times New Roman"/>
        </w:rPr>
        <w:t xml:space="preserve"> revealed </w:t>
      </w:r>
      <w:r w:rsidR="00417C49" w:rsidRPr="0054285D">
        <w:rPr>
          <w:rFonts w:ascii="Times New Roman" w:eastAsia="Calibri" w:hAnsi="Times New Roman" w:cs="Times New Roman"/>
        </w:rPr>
        <w:t xml:space="preserve">geographical representativeness of the data via South African ferrochrome production. The production of the dataset began with mining of the chromite ore via open cast and underground mines followed by beneficiation of the ore. Separation of </w:t>
      </w:r>
      <w:r w:rsidR="00417C49" w:rsidRPr="0054285D">
        <w:rPr>
          <w:rFonts w:ascii="Times New Roman" w:eastAsia="Calibri" w:hAnsi="Times New Roman" w:cs="Times New Roman"/>
        </w:rPr>
        <w:lastRenderedPageBreak/>
        <w:t xml:space="preserve">the gangue and concentrate occurs via heavy media separation (HMS), with the concentrate then being transported to the melting furnace. Data for the models was for the year 2013 and consisted of ferrochrome models (60%) with high carbon (6%C) and low carbon (1%C) content from South Africa.  </w:t>
      </w:r>
      <w:r w:rsidR="00AE7A4C" w:rsidRPr="0054285D">
        <w:rPr>
          <w:rFonts w:ascii="Times New Roman" w:eastAsia="Calibri" w:hAnsi="Times New Roman" w:cs="Times New Roman"/>
        </w:rPr>
        <w:t>Unlike the previous data sources and related models, the fun</w:t>
      </w:r>
      <w:r w:rsidRPr="0054285D">
        <w:rPr>
          <w:rFonts w:ascii="Times New Roman" w:eastAsia="Calibri" w:hAnsi="Times New Roman" w:cs="Times New Roman"/>
        </w:rPr>
        <w:t xml:space="preserve">ctional unit for both </w:t>
      </w:r>
      <w:r w:rsidR="004D2D91" w:rsidRPr="0054285D">
        <w:rPr>
          <w:rFonts w:ascii="Times New Roman" w:eastAsia="Calibri" w:hAnsi="Times New Roman" w:cs="Times New Roman"/>
        </w:rPr>
        <w:t>GaBi</w:t>
      </w:r>
      <w:r w:rsidRPr="0054285D">
        <w:rPr>
          <w:rFonts w:ascii="Times New Roman" w:eastAsia="Calibri" w:hAnsi="Times New Roman" w:cs="Times New Roman"/>
        </w:rPr>
        <w:t xml:space="preserve"> ferrochrome</w:t>
      </w:r>
      <w:r w:rsidR="00AE7A4C" w:rsidRPr="0054285D">
        <w:rPr>
          <w:rFonts w:ascii="Times New Roman" w:eastAsia="Calibri" w:hAnsi="Times New Roman" w:cs="Times New Roman"/>
        </w:rPr>
        <w:t xml:space="preserve"> models was 1kg. This was due to the modelling procedure adopted by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operators who created the models using their own methods and data sources. The</w:t>
      </w:r>
      <w:r w:rsidRPr="0054285D">
        <w:rPr>
          <w:rFonts w:ascii="Times New Roman" w:eastAsia="Calibri" w:hAnsi="Times New Roman" w:cs="Times New Roman"/>
        </w:rPr>
        <w:t xml:space="preserve"> processes representing HC and LC ferrochrome </w:t>
      </w:r>
      <w:r w:rsidR="00AE7A4C" w:rsidRPr="0054285D">
        <w:rPr>
          <w:rFonts w:ascii="Times New Roman" w:eastAsia="Calibri" w:hAnsi="Times New Roman" w:cs="Times New Roman"/>
        </w:rPr>
        <w:t xml:space="preserve">models from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is depicted by </w:t>
      </w:r>
      <w:r w:rsidR="00A6415F" w:rsidRPr="0054285D">
        <w:fldChar w:fldCharType="begin"/>
      </w:r>
      <w:r w:rsidR="00A6415F" w:rsidRPr="0054285D">
        <w:instrText xml:space="preserve"> REF _Ref468619784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65</w:t>
      </w:r>
      <w:r w:rsidR="00A6415F" w:rsidRPr="0054285D">
        <w:fldChar w:fldCharType="end"/>
      </w:r>
      <w:r w:rsidR="001A3770" w:rsidRPr="0054285D">
        <w:rPr>
          <w:rFonts w:ascii="Times New Roman" w:eastAsia="Calibri" w:hAnsi="Times New Roman" w:cs="Times New Roman"/>
        </w:rPr>
        <w:t xml:space="preserve"> and </w:t>
      </w:r>
      <w:r w:rsidR="00A6415F" w:rsidRPr="0054285D">
        <w:fldChar w:fldCharType="begin"/>
      </w:r>
      <w:r w:rsidR="00A6415F" w:rsidRPr="0054285D">
        <w:instrText xml:space="preserve"> REF _Ref468619787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66</w:t>
      </w:r>
      <w:r w:rsidR="00A6415F" w:rsidRPr="0054285D">
        <w:fldChar w:fldCharType="end"/>
      </w:r>
      <w:r w:rsidR="00AE7A4C" w:rsidRPr="0054285D">
        <w:rPr>
          <w:rFonts w:ascii="Times New Roman" w:eastAsia="Calibri" w:hAnsi="Times New Roman" w:cs="Times New Roman"/>
        </w:rPr>
        <w:t>.</w:t>
      </w:r>
    </w:p>
    <w:p w:rsidR="00AE7A4C" w:rsidRPr="0054285D" w:rsidRDefault="00C64A04" w:rsidP="00AE7A4C">
      <w:pPr>
        <w:spacing w:line="360" w:lineRule="auto"/>
        <w:jc w:val="center"/>
        <w:rPr>
          <w:rFonts w:ascii="Times New Roman" w:eastAsia="Calibri" w:hAnsi="Times New Roman" w:cs="Times New Roman"/>
        </w:rPr>
      </w:pPr>
      <w:r w:rsidRPr="0054285D">
        <w:rPr>
          <w:noProof/>
        </w:rPr>
        <w:drawing>
          <wp:inline distT="0" distB="0" distL="0" distR="0">
            <wp:extent cx="3145536" cy="2394432"/>
            <wp:effectExtent l="0" t="0" r="0" b="635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print"/>
                    <a:srcRect l="13321" t="28129" r="50056" b="22310"/>
                    <a:stretch/>
                  </pic:blipFill>
                  <pic:spPr bwMode="auto">
                    <a:xfrm>
                      <a:off x="0" y="0"/>
                      <a:ext cx="3145536" cy="2394432"/>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1F3B50" w:rsidP="001F3B50">
      <w:pPr>
        <w:rPr>
          <w:rFonts w:ascii="Times New Roman" w:eastAsia="Calibri" w:hAnsi="Times New Roman" w:cs="Times New Roman"/>
        </w:rPr>
      </w:pPr>
      <w:bookmarkStart w:id="267" w:name="_Ref468619784"/>
      <w:bookmarkStart w:id="268" w:name="_Toc495848398"/>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65</w:t>
      </w:r>
      <w:r w:rsidR="009A0ED7" w:rsidRPr="0054285D">
        <w:rPr>
          <w:rFonts w:ascii="Times New Roman" w:hAnsi="Times New Roman" w:cs="Times New Roman"/>
        </w:rPr>
        <w:fldChar w:fldCharType="end"/>
      </w:r>
      <w:bookmarkEnd w:id="267"/>
      <w:r w:rsidRPr="0054285D">
        <w:rPr>
          <w:rFonts w:ascii="Times New Roman" w:hAnsi="Times New Roman" w:cs="Times New Roman"/>
        </w:rPr>
        <w:t xml:space="preserve">. </w:t>
      </w:r>
      <w:r w:rsidR="004D2D91" w:rsidRPr="0054285D">
        <w:rPr>
          <w:rFonts w:ascii="Times New Roman" w:eastAsia="Calibri" w:hAnsi="Times New Roman" w:cs="Times New Roman"/>
        </w:rPr>
        <w:t>GaBi</w:t>
      </w:r>
      <w:r w:rsidR="00AA18E7" w:rsidRPr="0054285D">
        <w:rPr>
          <w:rFonts w:ascii="Times New Roman" w:eastAsia="Calibri" w:hAnsi="Times New Roman" w:cs="Times New Roman"/>
        </w:rPr>
        <w:t xml:space="preserve"> model of HC ferrochrome</w:t>
      </w:r>
      <w:r w:rsidR="00AE7A4C" w:rsidRPr="0054285D">
        <w:rPr>
          <w:rFonts w:ascii="Times New Roman" w:eastAsia="Calibri" w:hAnsi="Times New Roman" w:cs="Times New Roman"/>
        </w:rPr>
        <w:t xml:space="preserve"> (60% Cr, 6% C).</w:t>
      </w:r>
      <w:bookmarkEnd w:id="268"/>
    </w:p>
    <w:p w:rsidR="00C64A04" w:rsidRPr="0054285D" w:rsidRDefault="00C64A04" w:rsidP="00C64A04">
      <w:pPr>
        <w:spacing w:line="360" w:lineRule="auto"/>
        <w:jc w:val="center"/>
        <w:rPr>
          <w:rFonts w:ascii="Times New Roman" w:hAnsi="Times New Roman" w:cs="Times New Roman"/>
        </w:rPr>
      </w:pPr>
      <w:r w:rsidRPr="0054285D">
        <w:rPr>
          <w:noProof/>
        </w:rPr>
        <w:drawing>
          <wp:inline distT="0" distB="0" distL="0" distR="0">
            <wp:extent cx="3511296" cy="2573924"/>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srcRect l="17619" t="38983" r="55329" b="25761"/>
                    <a:stretch/>
                  </pic:blipFill>
                  <pic:spPr bwMode="auto">
                    <a:xfrm>
                      <a:off x="0" y="0"/>
                      <a:ext cx="3534770" cy="2591131"/>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1F3B50" w:rsidP="00C64A04">
      <w:pPr>
        <w:spacing w:line="360" w:lineRule="auto"/>
        <w:rPr>
          <w:rFonts w:ascii="Times New Roman" w:eastAsia="Calibri" w:hAnsi="Times New Roman" w:cs="Times New Roman"/>
        </w:rPr>
      </w:pPr>
      <w:bookmarkStart w:id="269" w:name="_Ref468619787"/>
      <w:bookmarkStart w:id="270" w:name="_Toc495848399"/>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66</w:t>
      </w:r>
      <w:r w:rsidR="009A0ED7" w:rsidRPr="0054285D">
        <w:rPr>
          <w:rFonts w:ascii="Times New Roman" w:hAnsi="Times New Roman" w:cs="Times New Roman"/>
        </w:rPr>
        <w:fldChar w:fldCharType="end"/>
      </w:r>
      <w:bookmarkEnd w:id="269"/>
      <w:r w:rsidRPr="0054285D">
        <w:rPr>
          <w:rFonts w:ascii="Times New Roman" w:hAnsi="Times New Roman" w:cs="Times New Roman"/>
        </w:rPr>
        <w:t xml:space="preserve">. </w:t>
      </w:r>
      <w:r w:rsidR="004D2D91" w:rsidRPr="0054285D">
        <w:rPr>
          <w:rFonts w:ascii="Times New Roman" w:eastAsia="Calibri" w:hAnsi="Times New Roman" w:cs="Times New Roman"/>
        </w:rPr>
        <w:t>GaBi</w:t>
      </w:r>
      <w:r w:rsidR="00AA18E7" w:rsidRPr="0054285D">
        <w:rPr>
          <w:rFonts w:ascii="Times New Roman" w:eastAsia="Calibri" w:hAnsi="Times New Roman" w:cs="Times New Roman"/>
        </w:rPr>
        <w:t xml:space="preserve"> model of LC ferrochrome</w:t>
      </w:r>
      <w:r w:rsidR="00AE7A4C" w:rsidRPr="0054285D">
        <w:rPr>
          <w:rFonts w:ascii="Times New Roman" w:eastAsia="Calibri" w:hAnsi="Times New Roman" w:cs="Times New Roman"/>
        </w:rPr>
        <w:t xml:space="preserve"> (60% Cr, 1% C).</w:t>
      </w:r>
      <w:bookmarkEnd w:id="270"/>
    </w:p>
    <w:p w:rsidR="00AE7A4C" w:rsidRDefault="00AE7A4C" w:rsidP="00C64A04">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As a summary, three different data sources were </w:t>
      </w:r>
      <w:r w:rsidR="00417C49" w:rsidRPr="0054285D">
        <w:rPr>
          <w:rFonts w:ascii="Times New Roman" w:eastAsia="Calibri" w:hAnsi="Times New Roman" w:cs="Times New Roman"/>
        </w:rPr>
        <w:t>used to create a number of ferrochrome</w:t>
      </w:r>
      <w:r w:rsidRPr="0054285D">
        <w:rPr>
          <w:rFonts w:ascii="Times New Roman" w:eastAsia="Calibri" w:hAnsi="Times New Roman" w:cs="Times New Roman"/>
        </w:rPr>
        <w:t xml:space="preserve"> process models including HC and LC models. This i</w:t>
      </w:r>
      <w:r w:rsidR="00417C49" w:rsidRPr="0054285D">
        <w:rPr>
          <w:rFonts w:ascii="Times New Roman" w:eastAsia="Calibri" w:hAnsi="Times New Roman" w:cs="Times New Roman"/>
        </w:rPr>
        <w:t>ncluded a variation for LC ferrochrome</w:t>
      </w:r>
      <w:r w:rsidRPr="0054285D">
        <w:rPr>
          <w:rFonts w:ascii="Times New Roman" w:eastAsia="Calibri" w:hAnsi="Times New Roman" w:cs="Times New Roman"/>
        </w:rPr>
        <w:t xml:space="preserve"> based on the reducing agent Fe-Si-Cr. </w:t>
      </w:r>
    </w:p>
    <w:p w:rsidR="0054285D" w:rsidRDefault="0054285D" w:rsidP="0054285D">
      <w:pPr>
        <w:spacing w:after="0" w:line="360" w:lineRule="auto"/>
        <w:jc w:val="both"/>
        <w:rPr>
          <w:rFonts w:ascii="Times New Roman" w:eastAsia="Calibri" w:hAnsi="Times New Roman" w:cs="Times New Roman"/>
        </w:rPr>
      </w:pPr>
    </w:p>
    <w:p w:rsidR="0054285D" w:rsidRDefault="0054285D" w:rsidP="00C64A04">
      <w:pPr>
        <w:spacing w:after="0" w:line="360" w:lineRule="auto"/>
        <w:ind w:firstLine="720"/>
        <w:jc w:val="both"/>
        <w:rPr>
          <w:rFonts w:ascii="Times New Roman" w:eastAsia="Calibri" w:hAnsi="Times New Roman" w:cs="Times New Roman"/>
        </w:rPr>
        <w:sectPr w:rsidR="0054285D" w:rsidSect="00C24042">
          <w:pgSz w:w="11906" w:h="16838"/>
          <w:pgMar w:top="1440" w:right="1440" w:bottom="1440" w:left="1440" w:header="708" w:footer="708" w:gutter="0"/>
          <w:cols w:space="708"/>
          <w:docGrid w:linePitch="360"/>
        </w:sectPr>
      </w:pPr>
    </w:p>
    <w:p w:rsidR="00AE7A4C" w:rsidRPr="0054285D" w:rsidRDefault="0054285D" w:rsidP="0054285D">
      <w:pPr>
        <w:pStyle w:val="Heading3"/>
      </w:pPr>
      <w:r w:rsidRPr="0054285D">
        <w:lastRenderedPageBreak/>
        <w:t>D3.Ferro-Manganese</w:t>
      </w:r>
    </w:p>
    <w:p w:rsidR="00AE7A4C" w:rsidRPr="0054285D" w:rsidRDefault="006B4AB5" w:rsidP="00BE425F">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Ferromanganese</w:t>
      </w:r>
      <w:r w:rsidR="00AE7A4C" w:rsidRPr="0054285D">
        <w:rPr>
          <w:rFonts w:ascii="Times New Roman" w:eastAsia="Calibri" w:hAnsi="Times New Roman" w:cs="Times New Roman"/>
        </w:rPr>
        <w:t xml:space="preserve"> had multiple data so</w:t>
      </w:r>
      <w:r w:rsidRPr="0054285D">
        <w:rPr>
          <w:rFonts w:ascii="Times New Roman" w:eastAsia="Calibri" w:hAnsi="Times New Roman" w:cs="Times New Roman"/>
        </w:rPr>
        <w:t>urces from which HC and LC ferromanganese</w:t>
      </w:r>
      <w:r w:rsidR="00AE7A4C" w:rsidRPr="0054285D">
        <w:rPr>
          <w:rFonts w:ascii="Times New Roman" w:eastAsia="Calibri" w:hAnsi="Times New Roman" w:cs="Times New Roman"/>
        </w:rPr>
        <w:t xml:space="preserve"> processes were modelled. The primary data sources included: </w:t>
      </w:r>
      <w:r w:rsidRPr="0054285D">
        <w:rPr>
          <w:rFonts w:ascii="Times New Roman" w:eastAsia="Calibri" w:hAnsi="Times New Roman" w:cs="Times New Roman"/>
          <w:noProof/>
        </w:rPr>
        <w:t>(thinkStep 2015; Eurometaux 2014; Gasik.M 2013; Haque &amp; Norgate 2013; Probas 2004)</w:t>
      </w:r>
      <w:r w:rsidR="00AE7A4C" w:rsidRPr="0054285D">
        <w:rPr>
          <w:rFonts w:ascii="Times New Roman" w:eastAsia="Calibri" w:hAnsi="Times New Roman" w:cs="Times New Roman"/>
        </w:rPr>
        <w:t>.</w:t>
      </w:r>
    </w:p>
    <w:p w:rsidR="00AE7A4C" w:rsidRPr="0054285D" w:rsidRDefault="006B4AB5" w:rsidP="00BE425F">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The modelling of ferromanganese</w:t>
      </w:r>
      <w:r w:rsidR="00AE7A4C" w:rsidRPr="0054285D">
        <w:rPr>
          <w:rFonts w:ascii="Times New Roman" w:eastAsia="Calibri" w:hAnsi="Times New Roman" w:cs="Times New Roman"/>
        </w:rPr>
        <w:t xml:space="preserve"> was conducted differently compared to pr</w:t>
      </w:r>
      <w:r w:rsidRPr="0054285D">
        <w:rPr>
          <w:rFonts w:ascii="Times New Roman" w:eastAsia="Calibri" w:hAnsi="Times New Roman" w:cs="Times New Roman"/>
        </w:rPr>
        <w:t>evious ferro-alloys such as ferroboron and ferrochrome</w:t>
      </w:r>
      <w:r w:rsidR="00AE7A4C" w:rsidRPr="0054285D">
        <w:rPr>
          <w:rFonts w:ascii="Times New Roman" w:eastAsia="Calibri" w:hAnsi="Times New Roman" w:cs="Times New Roman"/>
        </w:rPr>
        <w:t>. In this case three separate processes (manganese minin</w:t>
      </w:r>
      <w:r w:rsidRPr="0054285D">
        <w:rPr>
          <w:rFonts w:ascii="Times New Roman" w:eastAsia="Calibri" w:hAnsi="Times New Roman" w:cs="Times New Roman"/>
        </w:rPr>
        <w:t>g, manganese sintering and ferromanganese</w:t>
      </w:r>
      <w:r w:rsidR="00AE7A4C" w:rsidRPr="0054285D">
        <w:rPr>
          <w:rFonts w:ascii="Times New Roman" w:eastAsia="Calibri" w:hAnsi="Times New Roman" w:cs="Times New Roman"/>
        </w:rPr>
        <w:t xml:space="preserve"> production) were constructed individually and then linked together. The main reasons for this approach were firstly, the original data source was separated into these three stages. Secondly combining all the data into one stage was not representative of the production route depicted below.</w:t>
      </w:r>
    </w:p>
    <w:p w:rsidR="0083243E" w:rsidRPr="0054285D" w:rsidRDefault="00D9085A" w:rsidP="00D2436E">
      <w:pPr>
        <w:spacing w:line="360" w:lineRule="auto"/>
        <w:ind w:firstLine="720"/>
        <w:jc w:val="center"/>
        <w:rPr>
          <w:rFonts w:ascii="Times New Roman" w:eastAsia="Calibri" w:hAnsi="Times New Roman" w:cs="Times New Roman"/>
        </w:rPr>
      </w:pPr>
      <w:r w:rsidRPr="0054285D">
        <w:rPr>
          <w:noProof/>
        </w:rPr>
        <w:drawing>
          <wp:inline distT="0" distB="0" distL="0" distR="0" wp14:anchorId="26AAB02D" wp14:editId="7D357B5F">
            <wp:extent cx="2977515" cy="4511040"/>
            <wp:effectExtent l="0" t="0" r="0" b="381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cstate="print">
                      <a:extLst>
                        <a:ext uri="{28A0092B-C50C-407E-A947-70E740481C1C}">
                          <a14:useLocalDpi xmlns:a14="http://schemas.microsoft.com/office/drawing/2010/main" val="0"/>
                        </a:ext>
                      </a:extLst>
                    </a:blip>
                    <a:srcRect l="50038" t="9757" r="18444" b="5356"/>
                    <a:stretch/>
                  </pic:blipFill>
                  <pic:spPr bwMode="auto">
                    <a:xfrm>
                      <a:off x="0" y="0"/>
                      <a:ext cx="2977515" cy="4511040"/>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250418" w:rsidP="00250418">
      <w:pPr>
        <w:rPr>
          <w:rFonts w:ascii="Times New Roman" w:eastAsia="Calibri" w:hAnsi="Times New Roman" w:cs="Times New Roman"/>
        </w:rPr>
      </w:pPr>
      <w:bookmarkStart w:id="271" w:name="_Toc495848400"/>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67</w:t>
      </w:r>
      <w:r w:rsidR="009A0ED7" w:rsidRPr="0054285D">
        <w:rPr>
          <w:rFonts w:ascii="Times New Roman" w:hAnsi="Times New Roman" w:cs="Times New Roman"/>
        </w:rPr>
        <w:fldChar w:fldCharType="end"/>
      </w:r>
      <w:r w:rsidRPr="0054285D">
        <w:rPr>
          <w:rFonts w:ascii="Times New Roman" w:hAnsi="Times New Roman" w:cs="Times New Roman"/>
        </w:rPr>
        <w:t xml:space="preserve">. </w:t>
      </w:r>
      <w:r w:rsidR="006B4AB5" w:rsidRPr="0054285D">
        <w:rPr>
          <w:rFonts w:ascii="Times New Roman" w:eastAsia="Calibri" w:hAnsi="Times New Roman" w:cs="Times New Roman"/>
        </w:rPr>
        <w:t xml:space="preserve">Schematic flow sheet of ferromanganese and silica-manganese production </w:t>
      </w:r>
      <w:r w:rsidR="006B4AB5" w:rsidRPr="0054285D">
        <w:rPr>
          <w:rFonts w:ascii="Times New Roman" w:eastAsia="Calibri" w:hAnsi="Times New Roman" w:cs="Times New Roman"/>
          <w:noProof/>
        </w:rPr>
        <w:t>(Haque &amp; Norgate 2013)</w:t>
      </w:r>
      <w:r w:rsidR="006B4AB5" w:rsidRPr="0054285D">
        <w:rPr>
          <w:rFonts w:ascii="Times New Roman" w:eastAsia="Calibri" w:hAnsi="Times New Roman" w:cs="Times New Roman"/>
        </w:rPr>
        <w:t>.</w:t>
      </w:r>
      <w:bookmarkEnd w:id="271"/>
    </w:p>
    <w:p w:rsidR="00AE7A4C" w:rsidRPr="0054285D" w:rsidRDefault="00AE7A4C" w:rsidP="00BE425F">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In addition multiple stages would allow for a better analysis of strengths and weaknesses of the model. </w:t>
      </w:r>
      <w:r w:rsidR="00A6415F" w:rsidRPr="0054285D">
        <w:fldChar w:fldCharType="begin"/>
      </w:r>
      <w:r w:rsidR="00A6415F" w:rsidRPr="0054285D">
        <w:instrText xml:space="preserve"> REF _Ref468620831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44</w:t>
      </w:r>
      <w:r w:rsidR="00A6415F" w:rsidRPr="0054285D">
        <w:fldChar w:fldCharType="end"/>
      </w:r>
      <w:r w:rsidRPr="0054285D">
        <w:rPr>
          <w:rFonts w:ascii="Times New Roman" w:eastAsia="Calibri" w:hAnsi="Times New Roman" w:cs="Times New Roman"/>
        </w:rPr>
        <w:t xml:space="preserve"> highlights the key steel makin</w:t>
      </w:r>
      <w:r w:rsidR="006B4AB5" w:rsidRPr="0054285D">
        <w:rPr>
          <w:rFonts w:ascii="Times New Roman" w:eastAsia="Calibri" w:hAnsi="Times New Roman" w:cs="Times New Roman"/>
        </w:rPr>
        <w:t>g ingredients required for ferromanganese</w:t>
      </w:r>
      <w:r w:rsidRPr="0054285D">
        <w:rPr>
          <w:rFonts w:ascii="Times New Roman" w:eastAsia="Calibri" w:hAnsi="Times New Roman" w:cs="Times New Roman"/>
        </w:rPr>
        <w:t xml:space="preserve"> production in a submerged furnace.</w:t>
      </w:r>
    </w:p>
    <w:p w:rsidR="0083243E" w:rsidRPr="0054285D" w:rsidRDefault="0083243E" w:rsidP="00AE7A4C">
      <w:pPr>
        <w:spacing w:line="360" w:lineRule="auto"/>
        <w:ind w:firstLine="720"/>
        <w:jc w:val="both"/>
        <w:rPr>
          <w:rFonts w:ascii="Times New Roman" w:eastAsia="Calibri" w:hAnsi="Times New Roman" w:cs="Times New Roman"/>
        </w:rPr>
      </w:pPr>
    </w:p>
    <w:p w:rsidR="00BE425F" w:rsidRPr="0054285D" w:rsidRDefault="00BE425F" w:rsidP="006B4AB5">
      <w:pPr>
        <w:spacing w:line="360" w:lineRule="auto"/>
        <w:jc w:val="both"/>
        <w:rPr>
          <w:rFonts w:ascii="Times New Roman" w:eastAsia="Calibri" w:hAnsi="Times New Roman" w:cs="Times New Roman"/>
        </w:rPr>
      </w:pPr>
    </w:p>
    <w:p w:rsidR="00AE7A4C" w:rsidRPr="0054285D" w:rsidRDefault="00250418" w:rsidP="00250418">
      <w:pPr>
        <w:rPr>
          <w:rFonts w:ascii="Times New Roman" w:eastAsia="Calibri" w:hAnsi="Times New Roman" w:cs="Times New Roman"/>
        </w:rPr>
      </w:pPr>
      <w:bookmarkStart w:id="272" w:name="_Ref468620831"/>
      <w:bookmarkStart w:id="273" w:name="_Toc474486551"/>
      <w:bookmarkStart w:id="274" w:name="_Toc495852722"/>
      <w:r w:rsidRPr="0054285D">
        <w:rPr>
          <w:rFonts w:ascii="Times New Roman" w:hAnsi="Times New Roman" w:cs="Times New Roman"/>
        </w:rPr>
        <w:lastRenderedPageBreak/>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44</w:t>
      </w:r>
      <w:r w:rsidR="009A0ED7" w:rsidRPr="0054285D">
        <w:rPr>
          <w:rFonts w:ascii="Times New Roman" w:hAnsi="Times New Roman" w:cs="Times New Roman"/>
        </w:rPr>
        <w:fldChar w:fldCharType="end"/>
      </w:r>
      <w:bookmarkEnd w:id="272"/>
      <w:r w:rsidRPr="0054285D">
        <w:rPr>
          <w:rFonts w:ascii="Times New Roman" w:hAnsi="Times New Roman" w:cs="Times New Roman"/>
        </w:rPr>
        <w:t xml:space="preserve">. </w:t>
      </w:r>
      <w:r w:rsidR="006B4AB5" w:rsidRPr="0054285D">
        <w:rPr>
          <w:rFonts w:ascii="Times New Roman" w:eastAsia="Calibri" w:hAnsi="Times New Roman" w:cs="Times New Roman"/>
        </w:rPr>
        <w:t xml:space="preserve">Inventory data for ferromanganese production </w:t>
      </w:r>
      <w:r w:rsidR="006B4AB5" w:rsidRPr="0054285D">
        <w:rPr>
          <w:rFonts w:ascii="Times New Roman" w:eastAsia="Calibri" w:hAnsi="Times New Roman" w:cs="Times New Roman"/>
          <w:noProof/>
        </w:rPr>
        <w:t>(Haque &amp; Norgate 2013)</w:t>
      </w:r>
      <w:r w:rsidR="006B4AB5" w:rsidRPr="0054285D">
        <w:rPr>
          <w:rFonts w:ascii="Times New Roman" w:eastAsia="Calibri" w:hAnsi="Times New Roman" w:cs="Times New Roman"/>
        </w:rPr>
        <w:t>.</w:t>
      </w:r>
      <w:bookmarkEnd w:id="273"/>
      <w:bookmarkEnd w:id="27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740"/>
        <w:gridCol w:w="2320"/>
        <w:gridCol w:w="1078"/>
        <w:gridCol w:w="1795"/>
      </w:tblGrid>
      <w:tr w:rsidR="000F39EA" w:rsidRPr="0054285D" w:rsidTr="00D2436E">
        <w:trPr>
          <w:jc w:val="center"/>
        </w:trPr>
        <w:tc>
          <w:tcPr>
            <w:tcW w:w="27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Stage</w:t>
            </w:r>
          </w:p>
        </w:tc>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Input </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Inventory</w:t>
            </w:r>
          </w:p>
        </w:tc>
        <w:tc>
          <w:tcPr>
            <w:tcW w:w="1795"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Units</w:t>
            </w:r>
          </w:p>
        </w:tc>
      </w:tr>
      <w:tr w:rsidR="000F39EA" w:rsidRPr="0054285D" w:rsidTr="00D2436E">
        <w:trPr>
          <w:jc w:val="center"/>
        </w:trPr>
        <w:tc>
          <w:tcPr>
            <w:tcW w:w="27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Mining</w:t>
            </w:r>
          </w:p>
        </w:tc>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Diesel</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0.36</w:t>
            </w:r>
          </w:p>
        </w:tc>
        <w:tc>
          <w:tcPr>
            <w:tcW w:w="1795"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 t Mn Ore</w:t>
            </w:r>
          </w:p>
        </w:tc>
      </w:tr>
      <w:tr w:rsidR="000F39EA" w:rsidRPr="0054285D" w:rsidTr="00D2436E">
        <w:trPr>
          <w:jc w:val="center"/>
        </w:trPr>
        <w:tc>
          <w:tcPr>
            <w:tcW w:w="27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p>
        </w:tc>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Electricity </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3.86</w:t>
            </w:r>
          </w:p>
        </w:tc>
        <w:tc>
          <w:tcPr>
            <w:tcW w:w="1795"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kWh/ t Mn ore</w:t>
            </w:r>
          </w:p>
        </w:tc>
      </w:tr>
      <w:tr w:rsidR="000F39EA" w:rsidRPr="0054285D" w:rsidTr="00D2436E">
        <w:trPr>
          <w:jc w:val="center"/>
        </w:trPr>
        <w:tc>
          <w:tcPr>
            <w:tcW w:w="27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p>
        </w:tc>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Lump</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0.73</w:t>
            </w:r>
          </w:p>
        </w:tc>
        <w:tc>
          <w:tcPr>
            <w:tcW w:w="1795"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 t Fe-Mn</w:t>
            </w:r>
          </w:p>
        </w:tc>
      </w:tr>
      <w:tr w:rsidR="000F39EA" w:rsidRPr="0054285D" w:rsidTr="00D2436E">
        <w:trPr>
          <w:jc w:val="center"/>
        </w:trPr>
        <w:tc>
          <w:tcPr>
            <w:tcW w:w="27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Sintering</w:t>
            </w:r>
          </w:p>
        </w:tc>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Coke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90.00</w:t>
            </w:r>
          </w:p>
        </w:tc>
        <w:tc>
          <w:tcPr>
            <w:tcW w:w="1795"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 t sinter</w:t>
            </w:r>
          </w:p>
        </w:tc>
      </w:tr>
      <w:tr w:rsidR="000F39EA" w:rsidRPr="0054285D" w:rsidTr="00D2436E">
        <w:trPr>
          <w:jc w:val="center"/>
        </w:trPr>
        <w:tc>
          <w:tcPr>
            <w:tcW w:w="27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p>
        </w:tc>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Electricity </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675.00</w:t>
            </w:r>
          </w:p>
        </w:tc>
        <w:tc>
          <w:tcPr>
            <w:tcW w:w="1795"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kWh/ t sinter</w:t>
            </w:r>
          </w:p>
        </w:tc>
      </w:tr>
      <w:tr w:rsidR="000F39EA" w:rsidRPr="0054285D" w:rsidTr="00D2436E">
        <w:trPr>
          <w:jc w:val="center"/>
        </w:trPr>
        <w:tc>
          <w:tcPr>
            <w:tcW w:w="27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Submerged EAF</w:t>
            </w:r>
          </w:p>
        </w:tc>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Sinter</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1040.00</w:t>
            </w:r>
          </w:p>
        </w:tc>
        <w:tc>
          <w:tcPr>
            <w:tcW w:w="1795"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kg/ t </w:t>
            </w:r>
          </w:p>
        </w:tc>
      </w:tr>
      <w:tr w:rsidR="000F39EA" w:rsidRPr="0054285D" w:rsidTr="00D2436E">
        <w:trPr>
          <w:jc w:val="center"/>
        </w:trPr>
        <w:tc>
          <w:tcPr>
            <w:tcW w:w="27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p>
        </w:tc>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Iron Ore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140.00</w:t>
            </w:r>
          </w:p>
        </w:tc>
        <w:tc>
          <w:tcPr>
            <w:tcW w:w="1795"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kg/ t </w:t>
            </w:r>
          </w:p>
        </w:tc>
      </w:tr>
      <w:tr w:rsidR="000F39EA" w:rsidRPr="0054285D" w:rsidTr="00D2436E">
        <w:trPr>
          <w:jc w:val="center"/>
        </w:trPr>
        <w:tc>
          <w:tcPr>
            <w:tcW w:w="27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p>
        </w:tc>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Limestone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180.00</w:t>
            </w:r>
          </w:p>
        </w:tc>
        <w:tc>
          <w:tcPr>
            <w:tcW w:w="1795"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kg/ t </w:t>
            </w:r>
          </w:p>
        </w:tc>
      </w:tr>
      <w:tr w:rsidR="000F39EA" w:rsidRPr="0054285D" w:rsidTr="00D2436E">
        <w:trPr>
          <w:jc w:val="center"/>
        </w:trPr>
        <w:tc>
          <w:tcPr>
            <w:tcW w:w="27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p>
        </w:tc>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Coke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310.00</w:t>
            </w:r>
          </w:p>
        </w:tc>
        <w:tc>
          <w:tcPr>
            <w:tcW w:w="1795"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kg/ t </w:t>
            </w:r>
          </w:p>
        </w:tc>
      </w:tr>
      <w:tr w:rsidR="000F39EA" w:rsidRPr="0054285D" w:rsidTr="00D2436E">
        <w:trPr>
          <w:jc w:val="center"/>
        </w:trPr>
        <w:tc>
          <w:tcPr>
            <w:tcW w:w="27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p>
        </w:tc>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Coal</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130.00</w:t>
            </w:r>
          </w:p>
        </w:tc>
        <w:tc>
          <w:tcPr>
            <w:tcW w:w="1795"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kg/ t </w:t>
            </w:r>
          </w:p>
        </w:tc>
      </w:tr>
      <w:tr w:rsidR="000F39EA" w:rsidRPr="0054285D" w:rsidTr="00D2436E">
        <w:trPr>
          <w:jc w:val="center"/>
        </w:trPr>
        <w:tc>
          <w:tcPr>
            <w:tcW w:w="27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p>
        </w:tc>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Electrode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10.00</w:t>
            </w:r>
          </w:p>
        </w:tc>
        <w:tc>
          <w:tcPr>
            <w:tcW w:w="1795"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kg/ t </w:t>
            </w:r>
          </w:p>
        </w:tc>
      </w:tr>
      <w:tr w:rsidR="000F39EA" w:rsidRPr="0054285D" w:rsidTr="00D2436E">
        <w:trPr>
          <w:jc w:val="center"/>
        </w:trPr>
        <w:tc>
          <w:tcPr>
            <w:tcW w:w="274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p>
        </w:tc>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shd w:val="clear" w:color="auto" w:fill="FFFFFF"/>
              </w:rPr>
              <w:t>Electricity</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shd w:val="clear" w:color="auto" w:fill="FFFFFF"/>
              </w:rPr>
              <w:t>2400.00</w:t>
            </w:r>
          </w:p>
        </w:tc>
        <w:tc>
          <w:tcPr>
            <w:tcW w:w="1795"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shd w:val="clear" w:color="auto" w:fill="FFFFFF"/>
              </w:rPr>
              <w:t>kWh / t</w:t>
            </w:r>
          </w:p>
        </w:tc>
      </w:tr>
    </w:tbl>
    <w:p w:rsidR="00BE425F" w:rsidRPr="0054285D" w:rsidRDefault="00BE425F" w:rsidP="00BE425F">
      <w:pPr>
        <w:spacing w:after="0" w:line="360" w:lineRule="auto"/>
        <w:ind w:firstLine="720"/>
        <w:jc w:val="both"/>
        <w:rPr>
          <w:rFonts w:ascii="Times New Roman" w:eastAsia="Calibri" w:hAnsi="Times New Roman" w:cs="Times New Roman"/>
        </w:rPr>
      </w:pPr>
    </w:p>
    <w:p w:rsidR="00AE7A4C" w:rsidRPr="0054285D" w:rsidRDefault="00AE7A4C" w:rsidP="00BE425F">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Similarly to previous ferro-alloy models a central process was created and the inputs inserted. In this case, three central processes, manganese mini</w:t>
      </w:r>
      <w:r w:rsidR="00247EAA" w:rsidRPr="0054285D">
        <w:rPr>
          <w:rFonts w:ascii="Times New Roman" w:eastAsia="Calibri" w:hAnsi="Times New Roman" w:cs="Times New Roman"/>
        </w:rPr>
        <w:t>ng, manganese sintering and ferromanganese</w:t>
      </w:r>
      <w:r w:rsidRPr="0054285D">
        <w:rPr>
          <w:rFonts w:ascii="Times New Roman" w:eastAsia="Calibri" w:hAnsi="Times New Roman" w:cs="Times New Roman"/>
        </w:rPr>
        <w:t xml:space="preserve"> production were created and populated with data from </w:t>
      </w:r>
      <w:r w:rsidR="00A6415F" w:rsidRPr="0054285D">
        <w:fldChar w:fldCharType="begin"/>
      </w:r>
      <w:r w:rsidR="00A6415F" w:rsidRPr="0054285D">
        <w:instrText xml:space="preserve"> REF _Ref468620831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44</w:t>
      </w:r>
      <w:r w:rsidR="00A6415F" w:rsidRPr="0054285D">
        <w:fldChar w:fldCharType="end"/>
      </w:r>
      <w:r w:rsidRPr="0054285D">
        <w:rPr>
          <w:rFonts w:ascii="Times New Roman" w:eastAsia="Calibri" w:hAnsi="Times New Roman" w:cs="Times New Roman"/>
        </w:rPr>
        <w:t>. The output from the mo</w:t>
      </w:r>
      <w:r w:rsidR="00247EAA" w:rsidRPr="0054285D">
        <w:rPr>
          <w:rFonts w:ascii="Times New Roman" w:eastAsia="Calibri" w:hAnsi="Times New Roman" w:cs="Times New Roman"/>
        </w:rPr>
        <w:t>del was fixed as 1000kg of ferromanganese</w:t>
      </w:r>
      <w:r w:rsidRPr="0054285D">
        <w:rPr>
          <w:rFonts w:ascii="Times New Roman" w:eastAsia="Calibri" w:hAnsi="Times New Roman" w:cs="Times New Roman"/>
        </w:rPr>
        <w:t>. Some of the original input quantities did not match with the corresponding values in the model. This was due to fixing input variables</w:t>
      </w:r>
      <w:r w:rsidR="00247EAA" w:rsidRPr="0054285D">
        <w:rPr>
          <w:rFonts w:ascii="Times New Roman" w:eastAsia="Calibri" w:hAnsi="Times New Roman" w:cs="Times New Roman"/>
        </w:rPr>
        <w:t>, manganese lump and manganese</w:t>
      </w:r>
      <w:r w:rsidRPr="0054285D">
        <w:rPr>
          <w:rFonts w:ascii="Times New Roman" w:eastAsia="Calibri" w:hAnsi="Times New Roman" w:cs="Times New Roman"/>
        </w:rPr>
        <w:t xml:space="preserve"> sinter to ensure that the total mass balance in and out of all three processes and thus the whole model was equal.</w:t>
      </w:r>
    </w:p>
    <w:p w:rsidR="00AE7A4C" w:rsidRPr="0054285D" w:rsidRDefault="00AE7A4C" w:rsidP="00BE425F">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Other alterations included, utilising ave</w:t>
      </w:r>
      <w:r w:rsidR="00247EAA" w:rsidRPr="0054285D">
        <w:rPr>
          <w:rFonts w:ascii="Times New Roman" w:eastAsia="Calibri" w:hAnsi="Times New Roman" w:cs="Times New Roman"/>
        </w:rPr>
        <w:t>rage electricity of global ferromanganese</w:t>
      </w:r>
      <w:r w:rsidRPr="0054285D">
        <w:rPr>
          <w:rFonts w:ascii="Times New Roman" w:eastAsia="Calibri" w:hAnsi="Times New Roman" w:cs="Times New Roman"/>
        </w:rPr>
        <w:t xml:space="preserve"> production as shown by </w:t>
      </w:r>
      <w:r w:rsidR="00A6415F" w:rsidRPr="0054285D">
        <w:fldChar w:fldCharType="begin"/>
      </w:r>
      <w:r w:rsidR="00A6415F" w:rsidRPr="0054285D">
        <w:instrText xml:space="preserve"> REF _Ref468620874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68</w:t>
      </w:r>
      <w:r w:rsidR="00A6415F" w:rsidRPr="0054285D">
        <w:fldChar w:fldCharType="end"/>
      </w:r>
      <w:r w:rsidRPr="0054285D">
        <w:rPr>
          <w:rFonts w:ascii="Times New Roman" w:eastAsia="Calibri" w:hAnsi="Times New Roman" w:cs="Times New Roman"/>
        </w:rPr>
        <w:t>. For both models carbon corrections were made for coal, coke and electrode in order to make sure total carbon into and out of the system was equal. The end product was assumed to be H</w:t>
      </w:r>
      <w:r w:rsidR="00247EAA" w:rsidRPr="0054285D">
        <w:rPr>
          <w:rFonts w:ascii="Times New Roman" w:eastAsia="Calibri" w:hAnsi="Times New Roman" w:cs="Times New Roman"/>
        </w:rPr>
        <w:t>C ferromanganese</w:t>
      </w:r>
      <w:r w:rsidRPr="0054285D">
        <w:rPr>
          <w:rFonts w:ascii="Times New Roman" w:eastAsia="Calibri" w:hAnsi="Times New Roman" w:cs="Times New Roman"/>
        </w:rPr>
        <w:t xml:space="preserve"> and not any intermediaries (medium or low carbon).</w:t>
      </w:r>
    </w:p>
    <w:p w:rsidR="00BE425F" w:rsidRPr="0054285D" w:rsidRDefault="0083243E" w:rsidP="00D2436E">
      <w:pPr>
        <w:spacing w:line="360" w:lineRule="auto"/>
        <w:ind w:firstLine="720"/>
        <w:jc w:val="center"/>
        <w:rPr>
          <w:rFonts w:ascii="Times New Roman" w:eastAsia="Calibri" w:hAnsi="Times New Roman" w:cs="Times New Roman"/>
        </w:rPr>
      </w:pPr>
      <w:r w:rsidRPr="0054285D">
        <w:rPr>
          <w:noProof/>
        </w:rPr>
        <w:lastRenderedPageBreak/>
        <w:drawing>
          <wp:inline distT="0" distB="0" distL="0" distR="0">
            <wp:extent cx="5028994" cy="2636874"/>
            <wp:effectExtent l="0" t="0" r="635"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srcRect l="21062" t="17702" r="20741" b="28048"/>
                    <a:stretch/>
                  </pic:blipFill>
                  <pic:spPr bwMode="auto">
                    <a:xfrm>
                      <a:off x="0" y="0"/>
                      <a:ext cx="5075207" cy="2661105"/>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250418" w:rsidP="00247EAA">
      <w:pPr>
        <w:spacing w:line="360" w:lineRule="auto"/>
        <w:rPr>
          <w:rFonts w:ascii="Times New Roman" w:eastAsia="Calibri" w:hAnsi="Times New Roman" w:cs="Times New Roman"/>
        </w:rPr>
      </w:pPr>
      <w:bookmarkStart w:id="275" w:name="_Ref468620874"/>
      <w:bookmarkStart w:id="276" w:name="_Toc495848401"/>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68</w:t>
      </w:r>
      <w:r w:rsidR="009A0ED7" w:rsidRPr="0054285D">
        <w:rPr>
          <w:rFonts w:ascii="Times New Roman" w:hAnsi="Times New Roman" w:cs="Times New Roman"/>
        </w:rPr>
        <w:fldChar w:fldCharType="end"/>
      </w:r>
      <w:bookmarkEnd w:id="275"/>
      <w:r w:rsidRPr="0054285D">
        <w:rPr>
          <w:rFonts w:ascii="Times New Roman" w:hAnsi="Times New Roman" w:cs="Times New Roman"/>
        </w:rPr>
        <w:t xml:space="preserve">. </w:t>
      </w:r>
      <w:r w:rsidR="00247EAA" w:rsidRPr="0054285D">
        <w:rPr>
          <w:rFonts w:ascii="Times New Roman" w:eastAsia="Calibri" w:hAnsi="Times New Roman" w:cs="Times New Roman"/>
        </w:rPr>
        <w:t>Global ferromanganese</w:t>
      </w:r>
      <w:r w:rsidR="00AE7A4C" w:rsidRPr="0054285D">
        <w:rPr>
          <w:rFonts w:ascii="Times New Roman" w:eastAsia="Calibri" w:hAnsi="Times New Roman" w:cs="Times New Roman"/>
        </w:rPr>
        <w:t xml:space="preserve"> model created from data source Haque.</w:t>
      </w:r>
      <w:bookmarkEnd w:id="276"/>
    </w:p>
    <w:p w:rsidR="00AE7A4C" w:rsidRPr="0054285D" w:rsidRDefault="00AE7A4C" w:rsidP="00BE425F">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For data source Eurometaux, sufficient data was present t</w:t>
      </w:r>
      <w:r w:rsidR="00247EAA" w:rsidRPr="0054285D">
        <w:rPr>
          <w:rFonts w:ascii="Times New Roman" w:eastAsia="Calibri" w:hAnsi="Times New Roman" w:cs="Times New Roman"/>
        </w:rPr>
        <w:t>o construct both HC and LC ferromanganese</w:t>
      </w:r>
      <w:r w:rsidRPr="0054285D">
        <w:rPr>
          <w:rFonts w:ascii="Times New Roman" w:eastAsia="Calibri" w:hAnsi="Times New Roman" w:cs="Times New Roman"/>
        </w:rPr>
        <w:t xml:space="preserve"> processes. For HC </w:t>
      </w:r>
      <w:r w:rsidR="00247EAA" w:rsidRPr="0054285D">
        <w:rPr>
          <w:rFonts w:ascii="Times New Roman" w:eastAsia="Calibri" w:hAnsi="Times New Roman" w:cs="Times New Roman"/>
        </w:rPr>
        <w:t>ferromanganese</w:t>
      </w:r>
      <w:r w:rsidRPr="0054285D">
        <w:rPr>
          <w:rFonts w:ascii="Times New Roman" w:eastAsia="Calibri" w:hAnsi="Times New Roman" w:cs="Times New Roman"/>
        </w:rPr>
        <w:t>, the selected production route</w:t>
      </w:r>
      <w:r w:rsidR="00247EAA" w:rsidRPr="0054285D">
        <w:rPr>
          <w:rFonts w:ascii="Times New Roman" w:eastAsia="Calibri" w:hAnsi="Times New Roman" w:cs="Times New Roman"/>
        </w:rPr>
        <w:t xml:space="preserve"> was</w:t>
      </w:r>
      <w:r w:rsidRPr="0054285D">
        <w:rPr>
          <w:rFonts w:ascii="Times New Roman" w:eastAsia="Calibri" w:hAnsi="Times New Roman" w:cs="Times New Roman"/>
        </w:rPr>
        <w:t xml:space="preserve"> carbothermic reduction of lumpy or sintered manganese ore in a three-phase submerged EAF. The </w:t>
      </w:r>
      <w:r w:rsidR="00247EAA" w:rsidRPr="0054285D">
        <w:rPr>
          <w:rFonts w:ascii="Times New Roman" w:eastAsia="Calibri" w:hAnsi="Times New Roman" w:cs="Times New Roman"/>
        </w:rPr>
        <w:t>key constituents of the HC ferromanganese</w:t>
      </w:r>
      <w:r w:rsidRPr="0054285D">
        <w:rPr>
          <w:rFonts w:ascii="Times New Roman" w:eastAsia="Calibri" w:hAnsi="Times New Roman" w:cs="Times New Roman"/>
        </w:rPr>
        <w:t xml:space="preserve"> production can be seen in the table below.</w:t>
      </w:r>
    </w:p>
    <w:p w:rsidR="00AE7A4C" w:rsidRPr="0054285D" w:rsidRDefault="00250418" w:rsidP="00250418">
      <w:pPr>
        <w:rPr>
          <w:rFonts w:ascii="Times New Roman" w:eastAsia="Calibri" w:hAnsi="Times New Roman" w:cs="Times New Roman"/>
        </w:rPr>
      </w:pPr>
      <w:bookmarkStart w:id="277" w:name="_Ref468620907"/>
      <w:bookmarkStart w:id="278" w:name="_Toc474486552"/>
      <w:bookmarkStart w:id="279" w:name="_Toc495852723"/>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45</w:t>
      </w:r>
      <w:r w:rsidR="009A0ED7" w:rsidRPr="0054285D">
        <w:rPr>
          <w:rFonts w:ascii="Times New Roman" w:hAnsi="Times New Roman" w:cs="Times New Roman"/>
        </w:rPr>
        <w:fldChar w:fldCharType="end"/>
      </w:r>
      <w:bookmarkEnd w:id="277"/>
      <w:r w:rsidRPr="0054285D">
        <w:rPr>
          <w:rFonts w:ascii="Times New Roman" w:hAnsi="Times New Roman" w:cs="Times New Roman"/>
        </w:rPr>
        <w:t xml:space="preserve">. </w:t>
      </w:r>
      <w:r w:rsidR="00AE7A4C" w:rsidRPr="0054285D">
        <w:rPr>
          <w:rFonts w:ascii="Times New Roman" w:eastAsia="Calibri" w:hAnsi="Times New Roman" w:cs="Times New Roman"/>
        </w:rPr>
        <w:t>Inventory data from Euro</w:t>
      </w:r>
      <w:r w:rsidR="00247EAA" w:rsidRPr="0054285D">
        <w:rPr>
          <w:rFonts w:ascii="Times New Roman" w:eastAsia="Calibri" w:hAnsi="Times New Roman" w:cs="Times New Roman"/>
        </w:rPr>
        <w:t xml:space="preserve">metaux for HC ferromanganese production </w:t>
      </w:r>
      <w:r w:rsidR="00247EAA" w:rsidRPr="0054285D">
        <w:rPr>
          <w:rFonts w:ascii="Times New Roman" w:eastAsia="Calibri" w:hAnsi="Times New Roman" w:cs="Times New Roman"/>
          <w:noProof/>
        </w:rPr>
        <w:t>(Eurometaux 2014)</w:t>
      </w:r>
      <w:r w:rsidR="00247EAA" w:rsidRPr="0054285D">
        <w:rPr>
          <w:rFonts w:ascii="Times New Roman" w:eastAsia="Calibri" w:hAnsi="Times New Roman" w:cs="Times New Roman"/>
        </w:rPr>
        <w:t>.</w:t>
      </w:r>
      <w:bookmarkEnd w:id="278"/>
      <w:bookmarkEnd w:id="27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320"/>
        <w:gridCol w:w="1078"/>
        <w:gridCol w:w="1460"/>
      </w:tblGrid>
      <w:tr w:rsidR="000F39EA" w:rsidRPr="0054285D" w:rsidTr="00247EAA">
        <w:trPr>
          <w:jc w:val="center"/>
        </w:trPr>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Input </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Inventory</w:t>
            </w:r>
          </w:p>
        </w:tc>
        <w:tc>
          <w:tcPr>
            <w:tcW w:w="146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Units</w:t>
            </w:r>
          </w:p>
        </w:tc>
      </w:tr>
      <w:tr w:rsidR="000F39EA" w:rsidRPr="0054285D" w:rsidTr="00247EAA">
        <w:trPr>
          <w:jc w:val="center"/>
        </w:trPr>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Mn Ore </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1900.00</w:t>
            </w:r>
          </w:p>
        </w:tc>
        <w:tc>
          <w:tcPr>
            <w:tcW w:w="146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247EAA">
        <w:trPr>
          <w:jc w:val="center"/>
        </w:trPr>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Coke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410.00</w:t>
            </w:r>
          </w:p>
        </w:tc>
        <w:tc>
          <w:tcPr>
            <w:tcW w:w="146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247EAA">
        <w:trPr>
          <w:jc w:val="center"/>
        </w:trPr>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Electrode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8.00</w:t>
            </w:r>
          </w:p>
        </w:tc>
        <w:tc>
          <w:tcPr>
            <w:tcW w:w="146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247EAA">
        <w:trPr>
          <w:jc w:val="center"/>
        </w:trPr>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Cooling Water</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1.50</w:t>
            </w:r>
          </w:p>
        </w:tc>
        <w:tc>
          <w:tcPr>
            <w:tcW w:w="146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m</w:t>
            </w:r>
            <w:r w:rsidRPr="0054285D">
              <w:rPr>
                <w:rFonts w:ascii="Times New Roman" w:eastAsia="Calibri" w:hAnsi="Times New Roman" w:cs="Times New Roman"/>
                <w:vertAlign w:val="superscript"/>
              </w:rPr>
              <w:t>3</w:t>
            </w:r>
            <w:r w:rsidRPr="0054285D">
              <w:rPr>
                <w:rFonts w:ascii="Times New Roman" w:eastAsia="Calibri" w:hAnsi="Times New Roman" w:cs="Times New Roman"/>
              </w:rPr>
              <w:t>/t</w:t>
            </w:r>
          </w:p>
        </w:tc>
      </w:tr>
      <w:tr w:rsidR="000F39EA" w:rsidRPr="0054285D" w:rsidTr="00247EAA">
        <w:trPr>
          <w:jc w:val="center"/>
        </w:trPr>
        <w:tc>
          <w:tcPr>
            <w:tcW w:w="23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Electricity</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2200.00</w:t>
            </w:r>
          </w:p>
        </w:tc>
        <w:tc>
          <w:tcPr>
            <w:tcW w:w="146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kWh/t</w:t>
            </w:r>
          </w:p>
        </w:tc>
      </w:tr>
    </w:tbl>
    <w:p w:rsidR="00AE7A4C" w:rsidRPr="0054285D" w:rsidRDefault="00AE7A4C" w:rsidP="00BE425F">
      <w:pPr>
        <w:spacing w:after="0" w:line="360" w:lineRule="auto"/>
        <w:rPr>
          <w:rFonts w:ascii="Times New Roman" w:eastAsia="Calibri" w:hAnsi="Times New Roman" w:cs="Times New Roman"/>
        </w:rPr>
      </w:pPr>
    </w:p>
    <w:p w:rsidR="00AE7A4C" w:rsidRPr="0054285D" w:rsidRDefault="00AE7A4C" w:rsidP="00BE425F">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A single principle process was created and the inputs from </w:t>
      </w:r>
      <w:r w:rsidR="00A6415F" w:rsidRPr="0054285D">
        <w:fldChar w:fldCharType="begin"/>
      </w:r>
      <w:r w:rsidR="00A6415F" w:rsidRPr="0054285D">
        <w:instrText xml:space="preserve"> REF _Ref468620907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45</w:t>
      </w:r>
      <w:r w:rsidR="00A6415F" w:rsidRPr="0054285D">
        <w:fldChar w:fldCharType="end"/>
      </w:r>
      <w:r w:rsidRPr="0054285D">
        <w:rPr>
          <w:rFonts w:ascii="Times New Roman" w:eastAsia="Calibri" w:hAnsi="Times New Roman" w:cs="Times New Roman"/>
        </w:rPr>
        <w:t xml:space="preserve"> included in this process. The output </w:t>
      </w:r>
      <w:r w:rsidR="00247EAA" w:rsidRPr="0054285D">
        <w:rPr>
          <w:rFonts w:ascii="Times New Roman" w:eastAsia="Calibri" w:hAnsi="Times New Roman" w:cs="Times New Roman"/>
        </w:rPr>
        <w:t>was fixed to 1000 kg of HC ferromanganese</w:t>
      </w:r>
      <w:r w:rsidRPr="0054285D">
        <w:rPr>
          <w:rFonts w:ascii="Times New Roman" w:eastAsia="Calibri" w:hAnsi="Times New Roman" w:cs="Times New Roman"/>
        </w:rPr>
        <w:t xml:space="preserve">. The associated processes were located in </w:t>
      </w:r>
      <w:r w:rsidR="004D2D91" w:rsidRPr="0054285D">
        <w:rPr>
          <w:rFonts w:ascii="Times New Roman" w:eastAsia="Calibri" w:hAnsi="Times New Roman" w:cs="Times New Roman"/>
        </w:rPr>
        <w:t>GaBi</w:t>
      </w:r>
      <w:r w:rsidRPr="0054285D">
        <w:rPr>
          <w:rFonts w:ascii="Times New Roman" w:eastAsia="Calibri" w:hAnsi="Times New Roman" w:cs="Times New Roman"/>
        </w:rPr>
        <w:t xml:space="preserve"> and connected via flows to the main process.  However the main problem associated </w:t>
      </w:r>
      <w:r w:rsidR="00247EAA" w:rsidRPr="0054285D">
        <w:rPr>
          <w:rFonts w:ascii="Times New Roman" w:eastAsia="Calibri" w:hAnsi="Times New Roman" w:cs="Times New Roman"/>
        </w:rPr>
        <w:t>with completing the model</w:t>
      </w:r>
      <w:r w:rsidRPr="0054285D">
        <w:rPr>
          <w:rFonts w:ascii="Times New Roman" w:eastAsia="Calibri" w:hAnsi="Times New Roman" w:cs="Times New Roman"/>
        </w:rPr>
        <w:t xml:space="preserve"> was the input manganese ore. This process </w:t>
      </w:r>
      <w:r w:rsidR="002D5F09" w:rsidRPr="0054285D">
        <w:rPr>
          <w:rFonts w:ascii="Times New Roman" w:eastAsia="Calibri" w:hAnsi="Times New Roman" w:cs="Times New Roman"/>
        </w:rPr>
        <w:t>missing</w:t>
      </w:r>
      <w:r w:rsidRPr="0054285D">
        <w:rPr>
          <w:rFonts w:ascii="Times New Roman" w:eastAsia="Calibri" w:hAnsi="Times New Roman" w:cs="Times New Roman"/>
        </w:rPr>
        <w:t xml:space="preserve"> in </w:t>
      </w:r>
      <w:r w:rsidR="004D2D91" w:rsidRPr="0054285D">
        <w:rPr>
          <w:rFonts w:ascii="Times New Roman" w:eastAsia="Calibri" w:hAnsi="Times New Roman" w:cs="Times New Roman"/>
        </w:rPr>
        <w:t>GaBi</w:t>
      </w:r>
      <w:r w:rsidRPr="0054285D">
        <w:rPr>
          <w:rFonts w:ascii="Times New Roman" w:eastAsia="Calibri" w:hAnsi="Times New Roman" w:cs="Times New Roman"/>
        </w:rPr>
        <w:t xml:space="preserve"> and little or no data was available from literature</w:t>
      </w:r>
      <w:r w:rsidR="00247EAA" w:rsidRPr="0054285D">
        <w:rPr>
          <w:rFonts w:ascii="Times New Roman" w:eastAsia="Calibri" w:hAnsi="Times New Roman" w:cs="Times New Roman"/>
        </w:rPr>
        <w:t>,</w:t>
      </w:r>
      <w:r w:rsidRPr="0054285D">
        <w:rPr>
          <w:rFonts w:ascii="Times New Roman" w:eastAsia="Calibri" w:hAnsi="Times New Roman" w:cs="Times New Roman"/>
        </w:rPr>
        <w:t xml:space="preserve"> apart from</w:t>
      </w:r>
      <w:r w:rsidR="00247EAA" w:rsidRPr="0054285D">
        <w:rPr>
          <w:rFonts w:ascii="Times New Roman" w:eastAsia="Calibri" w:hAnsi="Times New Roman" w:cs="Times New Roman"/>
        </w:rPr>
        <w:t xml:space="preserve"> an online database </w:t>
      </w:r>
      <w:r w:rsidR="00247EAA" w:rsidRPr="0054285D">
        <w:rPr>
          <w:rFonts w:ascii="Times New Roman" w:eastAsia="Calibri" w:hAnsi="Times New Roman" w:cs="Times New Roman"/>
          <w:noProof/>
        </w:rPr>
        <w:t>(Probas 2004)</w:t>
      </w:r>
      <w:r w:rsidR="002D5F09" w:rsidRPr="0054285D">
        <w:rPr>
          <w:rFonts w:ascii="Times New Roman" w:eastAsia="Calibri" w:hAnsi="Times New Roman" w:cs="Times New Roman"/>
        </w:rPr>
        <w:t xml:space="preserve">. Data for </w:t>
      </w:r>
      <w:r w:rsidRPr="0054285D">
        <w:rPr>
          <w:rFonts w:ascii="Times New Roman" w:eastAsia="Calibri" w:hAnsi="Times New Roman" w:cs="Times New Roman"/>
        </w:rPr>
        <w:t>manganese ore was</w:t>
      </w:r>
      <w:r w:rsidR="00247EAA" w:rsidRPr="0054285D">
        <w:rPr>
          <w:rFonts w:ascii="Times New Roman" w:eastAsia="Calibri" w:hAnsi="Times New Roman" w:cs="Times New Roman"/>
        </w:rPr>
        <w:t xml:space="preserve"> obtained </w:t>
      </w:r>
      <w:r w:rsidR="002D5F09" w:rsidRPr="0054285D">
        <w:rPr>
          <w:rFonts w:ascii="Times New Roman" w:eastAsia="Calibri" w:hAnsi="Times New Roman" w:cs="Times New Roman"/>
        </w:rPr>
        <w:t>f</w:t>
      </w:r>
      <w:r w:rsidRPr="0054285D">
        <w:rPr>
          <w:rFonts w:ascii="Times New Roman" w:eastAsia="Calibri" w:hAnsi="Times New Roman" w:cs="Times New Roman"/>
        </w:rPr>
        <w:t>r</w:t>
      </w:r>
      <w:r w:rsidR="002D5F09" w:rsidRPr="0054285D">
        <w:rPr>
          <w:rFonts w:ascii="Times New Roman" w:eastAsia="Calibri" w:hAnsi="Times New Roman" w:cs="Times New Roman"/>
        </w:rPr>
        <w:t>om this database for the year 2003-</w:t>
      </w:r>
      <w:r w:rsidRPr="0054285D">
        <w:rPr>
          <w:rFonts w:ascii="Times New Roman" w:eastAsia="Calibri" w:hAnsi="Times New Roman" w:cs="Times New Roman"/>
        </w:rPr>
        <w:t>2004. The boundaries of the data included mining and concentration but not transportation.</w:t>
      </w:r>
    </w:p>
    <w:p w:rsidR="00AE7A4C" w:rsidRPr="0054285D" w:rsidRDefault="00247EAA" w:rsidP="00BE425F">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Related</w:t>
      </w:r>
      <w:r w:rsidR="00AE7A4C" w:rsidRPr="0054285D">
        <w:rPr>
          <w:rFonts w:ascii="Times New Roman" w:eastAsia="Calibri" w:hAnsi="Times New Roman" w:cs="Times New Roman"/>
        </w:rPr>
        <w:t xml:space="preserve"> to the ‘Borates’ process, data</w:t>
      </w:r>
      <w:r w:rsidR="00290001" w:rsidRPr="0054285D">
        <w:rPr>
          <w:rFonts w:ascii="Times New Roman" w:eastAsia="Calibri" w:hAnsi="Times New Roman" w:cs="Times New Roman"/>
        </w:rPr>
        <w:t xml:space="preserve"> for ‘Manganese Ore’</w:t>
      </w:r>
      <w:r w:rsidR="00AE7A4C" w:rsidRPr="0054285D">
        <w:rPr>
          <w:rFonts w:ascii="Times New Roman" w:eastAsia="Calibri" w:hAnsi="Times New Roman" w:cs="Times New Roman"/>
        </w:rPr>
        <w:t xml:space="preserve"> was available in the form of resources, air and water emissions to create a manganese ore process. </w:t>
      </w:r>
      <w:r w:rsidR="00A6415F" w:rsidRPr="0054285D">
        <w:fldChar w:fldCharType="begin"/>
      </w:r>
      <w:r w:rsidR="00A6415F" w:rsidRPr="0054285D">
        <w:instrText xml:space="preserve"> REF _Ref468620921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46</w:t>
      </w:r>
      <w:r w:rsidR="00A6415F" w:rsidRPr="0054285D">
        <w:fldChar w:fldCharType="end"/>
      </w:r>
      <w:r w:rsidR="00AE7A4C" w:rsidRPr="0054285D">
        <w:rPr>
          <w:rFonts w:ascii="Times New Roman" w:eastAsia="Calibri" w:hAnsi="Times New Roman" w:cs="Times New Roman"/>
        </w:rPr>
        <w:t xml:space="preserve"> and </w:t>
      </w:r>
      <w:r w:rsidR="00A6415F" w:rsidRPr="0054285D">
        <w:fldChar w:fldCharType="begin"/>
      </w:r>
      <w:r w:rsidR="00A6415F" w:rsidRPr="0054285D">
        <w:instrText xml:space="preserve"> REF _Ref468620932 \h  \* MERGEFORMAT </w:instrText>
      </w:r>
      <w:r w:rsidR="00A6415F" w:rsidRPr="0054285D">
        <w:fldChar w:fldCharType="separate"/>
      </w:r>
      <w:r w:rsidR="009F5483" w:rsidRPr="0054285D">
        <w:rPr>
          <w:rFonts w:ascii="Times New Roman" w:hAnsi="Times New Roman" w:cs="Times New Roman"/>
          <w:noProof/>
        </w:rPr>
        <w:t>Table</w:t>
      </w:r>
      <w:r w:rsidR="009F5483" w:rsidRPr="0054285D">
        <w:rPr>
          <w:rFonts w:ascii="Times New Roman" w:hAnsi="Times New Roman" w:cs="Times New Roman"/>
        </w:rPr>
        <w:t xml:space="preserve"> </w:t>
      </w:r>
      <w:r w:rsidR="009F5483">
        <w:rPr>
          <w:rFonts w:ascii="Times New Roman" w:hAnsi="Times New Roman" w:cs="Times New Roman"/>
          <w:noProof/>
        </w:rPr>
        <w:t>47</w:t>
      </w:r>
      <w:r w:rsidR="00A6415F" w:rsidRPr="0054285D">
        <w:fldChar w:fldCharType="end"/>
      </w:r>
      <w:r w:rsidR="00AE7A4C" w:rsidRPr="0054285D">
        <w:rPr>
          <w:rFonts w:ascii="Times New Roman" w:eastAsia="Calibri" w:hAnsi="Times New Roman" w:cs="Times New Roman"/>
        </w:rPr>
        <w:t xml:space="preserve"> illustrate the inventory to create the manganese ore process. Comparable to borates, the same flows missing for </w:t>
      </w:r>
      <w:r w:rsidR="00AE7A4C" w:rsidRPr="0054285D">
        <w:rPr>
          <w:rFonts w:ascii="Times New Roman" w:eastAsia="Calibri" w:hAnsi="Times New Roman" w:cs="Times New Roman"/>
        </w:rPr>
        <w:lastRenderedPageBreak/>
        <w:t>borates were also missing for manganese ore. In this case the same procedure was used</w:t>
      </w:r>
      <w:r w:rsidR="00BE425F" w:rsidRPr="0054285D">
        <w:rPr>
          <w:rFonts w:ascii="Times New Roman" w:eastAsia="Calibri" w:hAnsi="Times New Roman" w:cs="Times New Roman"/>
        </w:rPr>
        <w:t xml:space="preserve"> to mitigate any missing flows.</w:t>
      </w:r>
    </w:p>
    <w:p w:rsidR="00AE7A4C" w:rsidRPr="0054285D" w:rsidRDefault="00250418" w:rsidP="00250418">
      <w:pPr>
        <w:rPr>
          <w:rFonts w:ascii="Times New Roman" w:eastAsia="Calibri" w:hAnsi="Times New Roman" w:cs="Times New Roman"/>
        </w:rPr>
      </w:pPr>
      <w:bookmarkStart w:id="280" w:name="_Ref468620921"/>
      <w:bookmarkStart w:id="281" w:name="_Toc474486553"/>
      <w:bookmarkStart w:id="282" w:name="_Toc495852724"/>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46</w:t>
      </w:r>
      <w:r w:rsidR="009A0ED7" w:rsidRPr="0054285D">
        <w:rPr>
          <w:rFonts w:ascii="Times New Roman" w:hAnsi="Times New Roman" w:cs="Times New Roman"/>
        </w:rPr>
        <w:fldChar w:fldCharType="end"/>
      </w:r>
      <w:bookmarkEnd w:id="280"/>
      <w:r w:rsidRPr="0054285D">
        <w:rPr>
          <w:rFonts w:ascii="Times New Roman" w:hAnsi="Times New Roman" w:cs="Times New Roman"/>
        </w:rPr>
        <w:t xml:space="preserve">. </w:t>
      </w:r>
      <w:r w:rsidR="00AE7A4C" w:rsidRPr="0054285D">
        <w:rPr>
          <w:rFonts w:ascii="Times New Roman" w:eastAsia="Calibri" w:hAnsi="Times New Roman" w:cs="Times New Roman"/>
        </w:rPr>
        <w:t>In</w:t>
      </w:r>
      <w:r w:rsidR="00290001" w:rsidRPr="0054285D">
        <w:rPr>
          <w:rFonts w:ascii="Times New Roman" w:eastAsia="Calibri" w:hAnsi="Times New Roman" w:cs="Times New Roman"/>
        </w:rPr>
        <w:t xml:space="preserve">ventory data for inputs manganese ore </w:t>
      </w:r>
      <w:r w:rsidR="00290001" w:rsidRPr="0054285D">
        <w:rPr>
          <w:rFonts w:ascii="Times New Roman" w:eastAsia="Calibri" w:hAnsi="Times New Roman" w:cs="Times New Roman"/>
          <w:noProof/>
        </w:rPr>
        <w:t>(Probas 2004)</w:t>
      </w:r>
      <w:r w:rsidR="00290001" w:rsidRPr="0054285D">
        <w:rPr>
          <w:rFonts w:ascii="Times New Roman" w:eastAsia="Calibri" w:hAnsi="Times New Roman" w:cs="Times New Roman"/>
        </w:rPr>
        <w:t>.</w:t>
      </w:r>
      <w:bookmarkEnd w:id="281"/>
      <w:bookmarkEnd w:id="282"/>
    </w:p>
    <w:tbl>
      <w:tblPr>
        <w:tblW w:w="5186" w:type="pct"/>
        <w:tblLayout w:type="fixed"/>
        <w:tblLook w:val="04A0" w:firstRow="1" w:lastRow="0" w:firstColumn="1" w:lastColumn="0" w:noHBand="0" w:noVBand="1"/>
      </w:tblPr>
      <w:tblGrid>
        <w:gridCol w:w="5667"/>
        <w:gridCol w:w="1700"/>
        <w:gridCol w:w="1133"/>
        <w:gridCol w:w="851"/>
      </w:tblGrid>
      <w:tr w:rsidR="00290001" w:rsidRPr="0054285D" w:rsidTr="00290001">
        <w:trPr>
          <w:trHeight w:val="300"/>
        </w:trPr>
        <w:tc>
          <w:tcPr>
            <w:tcW w:w="303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Flow</w:t>
            </w:r>
          </w:p>
        </w:tc>
        <w:tc>
          <w:tcPr>
            <w:tcW w:w="909" w:type="pct"/>
            <w:tcBorders>
              <w:top w:val="single" w:sz="4" w:space="0" w:color="auto"/>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Quantity</w:t>
            </w:r>
          </w:p>
        </w:tc>
        <w:tc>
          <w:tcPr>
            <w:tcW w:w="606" w:type="pct"/>
            <w:tcBorders>
              <w:top w:val="single" w:sz="4" w:space="0" w:color="auto"/>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Amount</w:t>
            </w:r>
          </w:p>
        </w:tc>
        <w:tc>
          <w:tcPr>
            <w:tcW w:w="455" w:type="pct"/>
            <w:tcBorders>
              <w:top w:val="single" w:sz="4" w:space="0" w:color="auto"/>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Unit</w:t>
            </w:r>
          </w:p>
        </w:tc>
      </w:tr>
      <w:tr w:rsidR="00290001" w:rsidRPr="0054285D" w:rsidTr="00290001">
        <w:trPr>
          <w:trHeight w:val="300"/>
        </w:trPr>
        <w:tc>
          <w:tcPr>
            <w:tcW w:w="3030" w:type="pct"/>
            <w:tcBorders>
              <w:top w:val="nil"/>
              <w:left w:val="single" w:sz="4" w:space="0" w:color="auto"/>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Borates (Metal raw material) [Resources]</w:t>
            </w:r>
          </w:p>
        </w:tc>
        <w:tc>
          <w:tcPr>
            <w:tcW w:w="909"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06"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0.001</w:t>
            </w:r>
          </w:p>
        </w:tc>
        <w:tc>
          <w:tcPr>
            <w:tcW w:w="455"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90001" w:rsidRPr="0054285D" w:rsidTr="00290001">
        <w:trPr>
          <w:trHeight w:val="300"/>
        </w:trPr>
        <w:tc>
          <w:tcPr>
            <w:tcW w:w="3030" w:type="pct"/>
            <w:tcBorders>
              <w:top w:val="nil"/>
              <w:left w:val="single" w:sz="4" w:space="0" w:color="auto"/>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Energy unspecific [Energy Resources]</w:t>
            </w:r>
          </w:p>
        </w:tc>
        <w:tc>
          <w:tcPr>
            <w:tcW w:w="909"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Energy (NCV)</w:t>
            </w:r>
          </w:p>
        </w:tc>
        <w:tc>
          <w:tcPr>
            <w:tcW w:w="606"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21.500</w:t>
            </w:r>
          </w:p>
        </w:tc>
        <w:tc>
          <w:tcPr>
            <w:tcW w:w="455"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MJ</w:t>
            </w:r>
          </w:p>
        </w:tc>
      </w:tr>
      <w:tr w:rsidR="00290001" w:rsidRPr="0054285D" w:rsidTr="00290001">
        <w:trPr>
          <w:trHeight w:val="300"/>
        </w:trPr>
        <w:tc>
          <w:tcPr>
            <w:tcW w:w="3030" w:type="pct"/>
            <w:tcBorders>
              <w:top w:val="nil"/>
              <w:left w:val="single" w:sz="4" w:space="0" w:color="auto"/>
              <w:bottom w:val="single" w:sz="4" w:space="0" w:color="auto"/>
              <w:right w:val="single" w:sz="4" w:space="0" w:color="auto"/>
            </w:tcBorders>
            <w:shd w:val="clear" w:color="auto" w:fill="auto"/>
            <w:noWrap/>
            <w:vAlign w:val="center"/>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Energy, potential (incl. hydropower reservoir), converted [Renewable energy resources]</w:t>
            </w:r>
          </w:p>
        </w:tc>
        <w:tc>
          <w:tcPr>
            <w:tcW w:w="909" w:type="pct"/>
            <w:tcBorders>
              <w:top w:val="nil"/>
              <w:left w:val="nil"/>
              <w:bottom w:val="single" w:sz="4" w:space="0" w:color="auto"/>
              <w:right w:val="single" w:sz="4" w:space="0" w:color="auto"/>
            </w:tcBorders>
            <w:shd w:val="clear" w:color="auto" w:fill="auto"/>
            <w:noWrap/>
            <w:vAlign w:val="center"/>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Energy (NCV)</w:t>
            </w:r>
          </w:p>
        </w:tc>
        <w:tc>
          <w:tcPr>
            <w:tcW w:w="606"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150.000</w:t>
            </w:r>
          </w:p>
        </w:tc>
        <w:tc>
          <w:tcPr>
            <w:tcW w:w="455"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MJ</w:t>
            </w:r>
          </w:p>
        </w:tc>
      </w:tr>
      <w:tr w:rsidR="00290001" w:rsidRPr="0054285D" w:rsidTr="00290001">
        <w:trPr>
          <w:trHeight w:val="300"/>
        </w:trPr>
        <w:tc>
          <w:tcPr>
            <w:tcW w:w="3030" w:type="pct"/>
            <w:tcBorders>
              <w:top w:val="nil"/>
              <w:left w:val="single" w:sz="4" w:space="0" w:color="auto"/>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Hard coal (in MJ) [Hard coal (resource)]</w:t>
            </w:r>
          </w:p>
        </w:tc>
        <w:tc>
          <w:tcPr>
            <w:tcW w:w="909"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Energy (NCV)</w:t>
            </w:r>
          </w:p>
        </w:tc>
        <w:tc>
          <w:tcPr>
            <w:tcW w:w="606"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1730.000</w:t>
            </w:r>
          </w:p>
        </w:tc>
        <w:tc>
          <w:tcPr>
            <w:tcW w:w="455"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MJ</w:t>
            </w:r>
          </w:p>
        </w:tc>
      </w:tr>
      <w:tr w:rsidR="00290001" w:rsidRPr="0054285D" w:rsidTr="00290001">
        <w:trPr>
          <w:trHeight w:val="300"/>
        </w:trPr>
        <w:tc>
          <w:tcPr>
            <w:tcW w:w="3030" w:type="pct"/>
            <w:tcBorders>
              <w:top w:val="nil"/>
              <w:left w:val="single" w:sz="4" w:space="0" w:color="auto"/>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Metals n.e.c related unused extraction [Valuable substances]</w:t>
            </w:r>
          </w:p>
        </w:tc>
        <w:tc>
          <w:tcPr>
            <w:tcW w:w="909"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06"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0.265</w:t>
            </w:r>
          </w:p>
        </w:tc>
        <w:tc>
          <w:tcPr>
            <w:tcW w:w="455"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90001" w:rsidRPr="0054285D" w:rsidTr="00290001">
        <w:trPr>
          <w:trHeight w:val="300"/>
        </w:trPr>
        <w:tc>
          <w:tcPr>
            <w:tcW w:w="3030" w:type="pct"/>
            <w:tcBorders>
              <w:top w:val="nil"/>
              <w:left w:val="single" w:sz="4" w:space="0" w:color="auto"/>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Metals n.e.c Extracted for use [Valuable substances]</w:t>
            </w:r>
          </w:p>
        </w:tc>
        <w:tc>
          <w:tcPr>
            <w:tcW w:w="909"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06"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0.019</w:t>
            </w:r>
          </w:p>
        </w:tc>
        <w:tc>
          <w:tcPr>
            <w:tcW w:w="455"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90001" w:rsidRPr="0054285D" w:rsidTr="00290001">
        <w:trPr>
          <w:trHeight w:val="300"/>
        </w:trPr>
        <w:tc>
          <w:tcPr>
            <w:tcW w:w="3030" w:type="pct"/>
            <w:tcBorders>
              <w:top w:val="nil"/>
              <w:left w:val="single" w:sz="4" w:space="0" w:color="auto"/>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Nuclear energy [Uranium (resource)]</w:t>
            </w:r>
          </w:p>
        </w:tc>
        <w:tc>
          <w:tcPr>
            <w:tcW w:w="909"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Energy (NCV)</w:t>
            </w:r>
          </w:p>
        </w:tc>
        <w:tc>
          <w:tcPr>
            <w:tcW w:w="606"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20.800</w:t>
            </w:r>
          </w:p>
        </w:tc>
        <w:tc>
          <w:tcPr>
            <w:tcW w:w="455"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MJ</w:t>
            </w:r>
          </w:p>
        </w:tc>
      </w:tr>
      <w:tr w:rsidR="00290001" w:rsidRPr="0054285D" w:rsidTr="00290001">
        <w:trPr>
          <w:trHeight w:val="300"/>
        </w:trPr>
        <w:tc>
          <w:tcPr>
            <w:tcW w:w="3030" w:type="pct"/>
            <w:tcBorders>
              <w:top w:val="nil"/>
              <w:left w:val="single" w:sz="4" w:space="0" w:color="auto"/>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Occupation, arable [</w:t>
            </w:r>
            <w:proofErr w:type="spellStart"/>
            <w:r w:rsidRPr="0054285D">
              <w:rPr>
                <w:rFonts w:ascii="Calibri" w:eastAsia="Times New Roman" w:hAnsi="Calibri" w:cs="Times New Roman"/>
              </w:rPr>
              <w:t>Hemerobie</w:t>
            </w:r>
            <w:proofErr w:type="spellEnd"/>
            <w:r w:rsidRPr="0054285D">
              <w:rPr>
                <w:rFonts w:ascii="Calibri" w:eastAsia="Times New Roman" w:hAnsi="Calibri" w:cs="Times New Roman"/>
              </w:rPr>
              <w:t xml:space="preserve"> </w:t>
            </w:r>
            <w:proofErr w:type="spellStart"/>
            <w:r w:rsidRPr="0054285D">
              <w:rPr>
                <w:rFonts w:ascii="Calibri" w:eastAsia="Times New Roman" w:hAnsi="Calibri" w:cs="Times New Roman"/>
              </w:rPr>
              <w:t>ecoinvent</w:t>
            </w:r>
            <w:proofErr w:type="spellEnd"/>
            <w:r w:rsidRPr="0054285D">
              <w:rPr>
                <w:rFonts w:ascii="Calibri" w:eastAsia="Times New Roman" w:hAnsi="Calibri" w:cs="Times New Roman"/>
              </w:rPr>
              <w:t>]</w:t>
            </w:r>
          </w:p>
        </w:tc>
        <w:tc>
          <w:tcPr>
            <w:tcW w:w="909"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Areatime</w:t>
            </w:r>
            <w:proofErr w:type="spellEnd"/>
          </w:p>
        </w:tc>
        <w:tc>
          <w:tcPr>
            <w:tcW w:w="606"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0.087</w:t>
            </w:r>
          </w:p>
        </w:tc>
        <w:tc>
          <w:tcPr>
            <w:tcW w:w="455"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m2*</w:t>
            </w:r>
            <w:proofErr w:type="spellStart"/>
            <w:r w:rsidRPr="0054285D">
              <w:rPr>
                <w:rFonts w:ascii="Calibri" w:eastAsia="Times New Roman" w:hAnsi="Calibri" w:cs="Times New Roman"/>
              </w:rPr>
              <w:t>yr</w:t>
            </w:r>
            <w:proofErr w:type="spellEnd"/>
          </w:p>
        </w:tc>
      </w:tr>
      <w:tr w:rsidR="00290001" w:rsidRPr="0054285D" w:rsidTr="00290001">
        <w:trPr>
          <w:trHeight w:val="300"/>
        </w:trPr>
        <w:tc>
          <w:tcPr>
            <w:tcW w:w="3030" w:type="pct"/>
            <w:tcBorders>
              <w:top w:val="nil"/>
              <w:left w:val="single" w:sz="4" w:space="0" w:color="auto"/>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Occupation, industrial area [</w:t>
            </w:r>
            <w:proofErr w:type="spellStart"/>
            <w:r w:rsidRPr="0054285D">
              <w:rPr>
                <w:rFonts w:ascii="Calibri" w:eastAsia="Times New Roman" w:hAnsi="Calibri" w:cs="Times New Roman"/>
              </w:rPr>
              <w:t>Hemerobie</w:t>
            </w:r>
            <w:proofErr w:type="spellEnd"/>
            <w:r w:rsidRPr="0054285D">
              <w:rPr>
                <w:rFonts w:ascii="Calibri" w:eastAsia="Times New Roman" w:hAnsi="Calibri" w:cs="Times New Roman"/>
              </w:rPr>
              <w:t xml:space="preserve"> </w:t>
            </w:r>
            <w:proofErr w:type="spellStart"/>
            <w:r w:rsidRPr="0054285D">
              <w:rPr>
                <w:rFonts w:ascii="Calibri" w:eastAsia="Times New Roman" w:hAnsi="Calibri" w:cs="Times New Roman"/>
              </w:rPr>
              <w:t>ecoinvent</w:t>
            </w:r>
            <w:proofErr w:type="spellEnd"/>
            <w:r w:rsidRPr="0054285D">
              <w:rPr>
                <w:rFonts w:ascii="Calibri" w:eastAsia="Times New Roman" w:hAnsi="Calibri" w:cs="Times New Roman"/>
              </w:rPr>
              <w:t>]</w:t>
            </w:r>
          </w:p>
        </w:tc>
        <w:tc>
          <w:tcPr>
            <w:tcW w:w="909"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Areatime</w:t>
            </w:r>
            <w:proofErr w:type="spellEnd"/>
          </w:p>
        </w:tc>
        <w:tc>
          <w:tcPr>
            <w:tcW w:w="606"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22.100</w:t>
            </w:r>
          </w:p>
        </w:tc>
        <w:tc>
          <w:tcPr>
            <w:tcW w:w="455"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m2*</w:t>
            </w:r>
            <w:proofErr w:type="spellStart"/>
            <w:r w:rsidRPr="0054285D">
              <w:rPr>
                <w:rFonts w:ascii="Calibri" w:eastAsia="Times New Roman" w:hAnsi="Calibri" w:cs="Times New Roman"/>
              </w:rPr>
              <w:t>yr</w:t>
            </w:r>
            <w:proofErr w:type="spellEnd"/>
          </w:p>
        </w:tc>
      </w:tr>
      <w:tr w:rsidR="00290001" w:rsidRPr="0054285D" w:rsidTr="00290001">
        <w:trPr>
          <w:trHeight w:val="300"/>
        </w:trPr>
        <w:tc>
          <w:tcPr>
            <w:tcW w:w="3030" w:type="pct"/>
            <w:tcBorders>
              <w:top w:val="nil"/>
              <w:left w:val="single" w:sz="4" w:space="0" w:color="auto"/>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Process and cooling water [Operating materials]</w:t>
            </w:r>
          </w:p>
        </w:tc>
        <w:tc>
          <w:tcPr>
            <w:tcW w:w="909"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06"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1418.000</w:t>
            </w:r>
          </w:p>
        </w:tc>
        <w:tc>
          <w:tcPr>
            <w:tcW w:w="455"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90001" w:rsidRPr="0054285D" w:rsidTr="00290001">
        <w:trPr>
          <w:trHeight w:val="300"/>
        </w:trPr>
        <w:tc>
          <w:tcPr>
            <w:tcW w:w="3030" w:type="pct"/>
            <w:tcBorders>
              <w:top w:val="nil"/>
              <w:left w:val="single" w:sz="4" w:space="0" w:color="auto"/>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Transformation, from unknown [</w:t>
            </w:r>
            <w:proofErr w:type="spellStart"/>
            <w:r w:rsidRPr="0054285D">
              <w:rPr>
                <w:rFonts w:ascii="Calibri" w:eastAsia="Times New Roman" w:hAnsi="Calibri" w:cs="Times New Roman"/>
              </w:rPr>
              <w:t>Hemerobie</w:t>
            </w:r>
            <w:proofErr w:type="spellEnd"/>
            <w:r w:rsidRPr="0054285D">
              <w:rPr>
                <w:rFonts w:ascii="Calibri" w:eastAsia="Times New Roman" w:hAnsi="Calibri" w:cs="Times New Roman"/>
              </w:rPr>
              <w:t xml:space="preserve"> </w:t>
            </w:r>
            <w:proofErr w:type="spellStart"/>
            <w:r w:rsidRPr="0054285D">
              <w:rPr>
                <w:rFonts w:ascii="Calibri" w:eastAsia="Times New Roman" w:hAnsi="Calibri" w:cs="Times New Roman"/>
              </w:rPr>
              <w:t>ecoinvent</w:t>
            </w:r>
            <w:proofErr w:type="spellEnd"/>
            <w:r w:rsidRPr="0054285D">
              <w:rPr>
                <w:rFonts w:ascii="Calibri" w:eastAsia="Times New Roman" w:hAnsi="Calibri" w:cs="Times New Roman"/>
              </w:rPr>
              <w:t>]</w:t>
            </w:r>
          </w:p>
        </w:tc>
        <w:tc>
          <w:tcPr>
            <w:tcW w:w="909"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Area</w:t>
            </w:r>
          </w:p>
        </w:tc>
        <w:tc>
          <w:tcPr>
            <w:tcW w:w="606"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r w:rsidRPr="0054285D">
              <w:rPr>
                <w:rFonts w:ascii="Calibri" w:eastAsia="Times New Roman" w:hAnsi="Calibri" w:cs="Times New Roman"/>
              </w:rPr>
              <w:t>0.172</w:t>
            </w:r>
          </w:p>
        </w:tc>
        <w:tc>
          <w:tcPr>
            <w:tcW w:w="455" w:type="pct"/>
            <w:tcBorders>
              <w:top w:val="nil"/>
              <w:left w:val="nil"/>
              <w:bottom w:val="single" w:sz="4" w:space="0" w:color="auto"/>
              <w:right w:val="single" w:sz="4" w:space="0" w:color="auto"/>
            </w:tcBorders>
            <w:shd w:val="clear" w:color="auto" w:fill="auto"/>
            <w:vAlign w:val="bottom"/>
            <w:hideMark/>
          </w:tcPr>
          <w:p w:rsidR="00290001" w:rsidRPr="0054285D" w:rsidRDefault="00290001" w:rsidP="00290001">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sqm</w:t>
            </w:r>
            <w:proofErr w:type="spellEnd"/>
          </w:p>
        </w:tc>
      </w:tr>
    </w:tbl>
    <w:p w:rsidR="00B66783" w:rsidRPr="0054285D" w:rsidRDefault="00B66783" w:rsidP="00B66783">
      <w:pPr>
        <w:pStyle w:val="Caption"/>
        <w:rPr>
          <w:rFonts w:ascii="Times New Roman" w:hAnsi="Times New Roman" w:cs="Times New Roman"/>
          <w:i w:val="0"/>
          <w:color w:val="auto"/>
          <w:sz w:val="22"/>
          <w:szCs w:val="22"/>
        </w:rPr>
      </w:pPr>
      <w:r w:rsidRPr="0054285D">
        <w:rPr>
          <w:rFonts w:ascii="Times New Roman" w:hAnsi="Times New Roman" w:cs="Times New Roman"/>
          <w:i w:val="0"/>
          <w:color w:val="auto"/>
          <w:sz w:val="22"/>
          <w:szCs w:val="22"/>
        </w:rPr>
        <w:t>Note NCV = Net Calorific Value.</w:t>
      </w:r>
    </w:p>
    <w:p w:rsidR="00AE7A4C" w:rsidRPr="0054285D" w:rsidRDefault="00AE7A4C" w:rsidP="00AE7A4C">
      <w:pPr>
        <w:spacing w:line="360" w:lineRule="auto"/>
        <w:rPr>
          <w:rFonts w:ascii="Times New Roman" w:eastAsia="Calibri" w:hAnsi="Times New Roman" w:cs="Times New Roman"/>
        </w:rPr>
      </w:pPr>
    </w:p>
    <w:p w:rsidR="00505F1E" w:rsidRPr="0054285D" w:rsidRDefault="00505F1E" w:rsidP="00AE7A4C">
      <w:pPr>
        <w:spacing w:line="360" w:lineRule="auto"/>
        <w:rPr>
          <w:rFonts w:ascii="Times New Roman" w:eastAsia="Calibri" w:hAnsi="Times New Roman" w:cs="Times New Roman"/>
        </w:rPr>
      </w:pPr>
    </w:p>
    <w:p w:rsidR="00505F1E" w:rsidRPr="0054285D" w:rsidRDefault="00505F1E" w:rsidP="00AE7A4C">
      <w:pPr>
        <w:spacing w:line="360" w:lineRule="auto"/>
        <w:rPr>
          <w:rFonts w:ascii="Times New Roman" w:eastAsia="Calibri" w:hAnsi="Times New Roman" w:cs="Times New Roman"/>
        </w:rPr>
      </w:pPr>
    </w:p>
    <w:p w:rsidR="00505F1E" w:rsidRPr="0054285D" w:rsidRDefault="00505F1E" w:rsidP="00AE7A4C">
      <w:pPr>
        <w:spacing w:line="360" w:lineRule="auto"/>
        <w:rPr>
          <w:rFonts w:ascii="Times New Roman" w:eastAsia="Calibri" w:hAnsi="Times New Roman" w:cs="Times New Roman"/>
        </w:rPr>
      </w:pPr>
    </w:p>
    <w:p w:rsidR="00505F1E" w:rsidRPr="0054285D" w:rsidRDefault="00505F1E" w:rsidP="00AE7A4C">
      <w:pPr>
        <w:spacing w:line="360" w:lineRule="auto"/>
        <w:rPr>
          <w:rFonts w:ascii="Times New Roman" w:eastAsia="Calibri" w:hAnsi="Times New Roman" w:cs="Times New Roman"/>
        </w:rPr>
      </w:pPr>
    </w:p>
    <w:p w:rsidR="00505F1E" w:rsidRPr="0054285D" w:rsidRDefault="00505F1E" w:rsidP="00AE7A4C">
      <w:pPr>
        <w:spacing w:line="360" w:lineRule="auto"/>
        <w:rPr>
          <w:rFonts w:ascii="Times New Roman" w:eastAsia="Calibri" w:hAnsi="Times New Roman" w:cs="Times New Roman"/>
        </w:rPr>
      </w:pPr>
    </w:p>
    <w:p w:rsidR="00505F1E" w:rsidRPr="0054285D" w:rsidRDefault="00505F1E" w:rsidP="00AE7A4C">
      <w:pPr>
        <w:spacing w:line="360" w:lineRule="auto"/>
        <w:rPr>
          <w:rFonts w:ascii="Times New Roman" w:eastAsia="Calibri" w:hAnsi="Times New Roman" w:cs="Times New Roman"/>
        </w:rPr>
      </w:pPr>
    </w:p>
    <w:p w:rsidR="00505F1E" w:rsidRPr="0054285D" w:rsidRDefault="00505F1E" w:rsidP="00AE7A4C">
      <w:pPr>
        <w:spacing w:line="360" w:lineRule="auto"/>
        <w:rPr>
          <w:rFonts w:ascii="Times New Roman" w:eastAsia="Calibri" w:hAnsi="Times New Roman" w:cs="Times New Roman"/>
        </w:rPr>
      </w:pPr>
    </w:p>
    <w:p w:rsidR="00505F1E" w:rsidRPr="0054285D" w:rsidRDefault="00505F1E" w:rsidP="00AE7A4C">
      <w:pPr>
        <w:spacing w:line="360" w:lineRule="auto"/>
        <w:rPr>
          <w:rFonts w:ascii="Times New Roman" w:eastAsia="Calibri" w:hAnsi="Times New Roman" w:cs="Times New Roman"/>
        </w:rPr>
      </w:pPr>
    </w:p>
    <w:p w:rsidR="00505F1E" w:rsidRPr="0054285D" w:rsidRDefault="00505F1E" w:rsidP="00AE7A4C">
      <w:pPr>
        <w:spacing w:line="360" w:lineRule="auto"/>
        <w:rPr>
          <w:rFonts w:ascii="Times New Roman" w:eastAsia="Calibri" w:hAnsi="Times New Roman" w:cs="Times New Roman"/>
        </w:rPr>
      </w:pPr>
    </w:p>
    <w:p w:rsidR="00505F1E" w:rsidRPr="0054285D" w:rsidRDefault="00505F1E" w:rsidP="00AE7A4C">
      <w:pPr>
        <w:spacing w:line="360" w:lineRule="auto"/>
        <w:rPr>
          <w:rFonts w:ascii="Times New Roman" w:eastAsia="Calibri" w:hAnsi="Times New Roman" w:cs="Times New Roman"/>
        </w:rPr>
      </w:pPr>
    </w:p>
    <w:p w:rsidR="00505F1E" w:rsidRPr="0054285D" w:rsidRDefault="00505F1E" w:rsidP="00AE7A4C">
      <w:pPr>
        <w:spacing w:line="360" w:lineRule="auto"/>
        <w:rPr>
          <w:rFonts w:ascii="Times New Roman" w:eastAsia="Calibri" w:hAnsi="Times New Roman" w:cs="Times New Roman"/>
        </w:rPr>
      </w:pPr>
    </w:p>
    <w:p w:rsidR="00505F1E" w:rsidRPr="0054285D" w:rsidRDefault="00505F1E" w:rsidP="00AE7A4C">
      <w:pPr>
        <w:spacing w:line="360" w:lineRule="auto"/>
        <w:rPr>
          <w:rFonts w:ascii="Times New Roman" w:eastAsia="Calibri" w:hAnsi="Times New Roman" w:cs="Times New Roman"/>
        </w:rPr>
      </w:pPr>
    </w:p>
    <w:p w:rsidR="00505F1E" w:rsidRPr="0054285D" w:rsidRDefault="00505F1E" w:rsidP="00AE7A4C">
      <w:pPr>
        <w:spacing w:line="360" w:lineRule="auto"/>
        <w:rPr>
          <w:rFonts w:ascii="Times New Roman" w:eastAsia="Calibri" w:hAnsi="Times New Roman" w:cs="Times New Roman"/>
        </w:rPr>
      </w:pPr>
    </w:p>
    <w:p w:rsidR="00505F1E" w:rsidRPr="0054285D" w:rsidRDefault="00505F1E" w:rsidP="00AE7A4C">
      <w:pPr>
        <w:spacing w:line="360" w:lineRule="auto"/>
        <w:rPr>
          <w:rFonts w:ascii="Times New Roman" w:eastAsia="Calibri" w:hAnsi="Times New Roman" w:cs="Times New Roman"/>
        </w:rPr>
      </w:pPr>
    </w:p>
    <w:p w:rsidR="00505F1E" w:rsidRPr="0054285D" w:rsidRDefault="00505F1E" w:rsidP="00AE7A4C">
      <w:pPr>
        <w:spacing w:line="360" w:lineRule="auto"/>
        <w:rPr>
          <w:rFonts w:ascii="Times New Roman" w:eastAsia="Calibri" w:hAnsi="Times New Roman" w:cs="Times New Roman"/>
          <w:b/>
        </w:rPr>
      </w:pPr>
    </w:p>
    <w:p w:rsidR="00AE7A4C" w:rsidRPr="0054285D" w:rsidRDefault="00250418" w:rsidP="00BE425F">
      <w:pPr>
        <w:rPr>
          <w:noProof/>
        </w:rPr>
      </w:pPr>
      <w:bookmarkStart w:id="283" w:name="_Ref468620932"/>
      <w:bookmarkStart w:id="284" w:name="_Toc474486554"/>
      <w:bookmarkStart w:id="285" w:name="_Toc495852725"/>
      <w:r w:rsidRPr="0054285D">
        <w:rPr>
          <w:rFonts w:ascii="Times New Roman" w:hAnsi="Times New Roman" w:cs="Times New Roman"/>
        </w:rPr>
        <w:lastRenderedPageBreak/>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47</w:t>
      </w:r>
      <w:r w:rsidR="009A0ED7" w:rsidRPr="0054285D">
        <w:rPr>
          <w:rFonts w:ascii="Times New Roman" w:hAnsi="Times New Roman" w:cs="Times New Roman"/>
        </w:rPr>
        <w:fldChar w:fldCharType="end"/>
      </w:r>
      <w:bookmarkEnd w:id="283"/>
      <w:r w:rsidRPr="0054285D">
        <w:rPr>
          <w:rFonts w:ascii="Times New Roman" w:hAnsi="Times New Roman" w:cs="Times New Roman"/>
        </w:rPr>
        <w:t xml:space="preserve">. </w:t>
      </w:r>
      <w:r w:rsidR="00AE7A4C" w:rsidRPr="0054285D">
        <w:rPr>
          <w:rFonts w:ascii="Times New Roman" w:eastAsia="Calibri" w:hAnsi="Times New Roman" w:cs="Times New Roman"/>
        </w:rPr>
        <w:t>I</w:t>
      </w:r>
      <w:r w:rsidR="00290001" w:rsidRPr="0054285D">
        <w:rPr>
          <w:rFonts w:ascii="Times New Roman" w:eastAsia="Calibri" w:hAnsi="Times New Roman" w:cs="Times New Roman"/>
        </w:rPr>
        <w:t xml:space="preserve">nventory data for outputs manganese ore </w:t>
      </w:r>
      <w:r w:rsidR="00290001" w:rsidRPr="0054285D">
        <w:rPr>
          <w:rFonts w:ascii="Times New Roman" w:eastAsia="Calibri" w:hAnsi="Times New Roman" w:cs="Times New Roman"/>
          <w:noProof/>
        </w:rPr>
        <w:t>(Probas 2004)</w:t>
      </w:r>
      <w:r w:rsidR="00290001" w:rsidRPr="0054285D">
        <w:rPr>
          <w:noProof/>
        </w:rPr>
        <w:t>.</w:t>
      </w:r>
      <w:bookmarkEnd w:id="284"/>
      <w:bookmarkEnd w:id="285"/>
    </w:p>
    <w:tbl>
      <w:tblPr>
        <w:tblW w:w="5000" w:type="pct"/>
        <w:tblLayout w:type="fixed"/>
        <w:tblLook w:val="04A0" w:firstRow="1" w:lastRow="0" w:firstColumn="1" w:lastColumn="0" w:noHBand="0" w:noVBand="1"/>
      </w:tblPr>
      <w:tblGrid>
        <w:gridCol w:w="6372"/>
        <w:gridCol w:w="999"/>
        <w:gridCol w:w="1129"/>
        <w:gridCol w:w="516"/>
      </w:tblGrid>
      <w:tr w:rsidR="00505F1E" w:rsidRPr="0054285D" w:rsidTr="00CD1AA9">
        <w:trPr>
          <w:trHeight w:val="300"/>
        </w:trPr>
        <w:tc>
          <w:tcPr>
            <w:tcW w:w="3534"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Flow</w:t>
            </w:r>
          </w:p>
        </w:tc>
        <w:tc>
          <w:tcPr>
            <w:tcW w:w="554" w:type="pct"/>
            <w:tcBorders>
              <w:top w:val="single" w:sz="4" w:space="0" w:color="auto"/>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Quantity</w:t>
            </w:r>
          </w:p>
        </w:tc>
        <w:tc>
          <w:tcPr>
            <w:tcW w:w="626" w:type="pct"/>
            <w:tcBorders>
              <w:top w:val="single" w:sz="4" w:space="0" w:color="auto"/>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Amount</w:t>
            </w:r>
          </w:p>
        </w:tc>
        <w:tc>
          <w:tcPr>
            <w:tcW w:w="286" w:type="pct"/>
            <w:tcBorders>
              <w:top w:val="single" w:sz="4" w:space="0" w:color="auto"/>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Unit</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Mn Ore [Valuable Substance]</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1.00</w:t>
            </w:r>
            <w:r w:rsidR="00CD1AA9">
              <w:rPr>
                <w:rFonts w:ascii="Calibri" w:eastAsia="Times New Roman" w:hAnsi="Calibri" w:cs="Times New Roman"/>
              </w:rPr>
              <w:t>×10</w:t>
            </w:r>
            <w:r w:rsidR="00CD1AA9" w:rsidRPr="00CD1AA9">
              <w:rPr>
                <w:rFonts w:ascii="Calibri" w:eastAsia="Times New Roman" w:hAnsi="Calibri" w:cs="Times New Roman"/>
                <w:vertAlign w:val="superscript"/>
              </w:rPr>
              <w:t>3</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1,11-Trichloroethane [Halogenated organic emissions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2.88</w:t>
            </w:r>
            <w:r w:rsidR="00CD1AA9">
              <w:rPr>
                <w:rFonts w:ascii="Calibri" w:eastAsia="Times New Roman" w:hAnsi="Calibri" w:cs="Times New Roman"/>
              </w:rPr>
              <w:t>×10</w:t>
            </w:r>
            <w:r w:rsidR="00CD1AA9">
              <w:rPr>
                <w:rFonts w:ascii="Calibri" w:eastAsia="Times New Roman" w:hAnsi="Calibri" w:cs="Times New Roman"/>
                <w:vertAlign w:val="superscript"/>
              </w:rPr>
              <w:t>-12</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Adsorbable organic halo</w:t>
            </w:r>
            <w:r w:rsidR="002E0DA2" w:rsidRPr="0054285D">
              <w:rPr>
                <w:rFonts w:ascii="Calibri" w:eastAsia="Times New Roman" w:hAnsi="Calibri" w:cs="Times New Roman"/>
              </w:rPr>
              <w:t>g</w:t>
            </w:r>
            <w:r w:rsidRPr="0054285D">
              <w:rPr>
                <w:rFonts w:ascii="Calibri" w:eastAsia="Times New Roman" w:hAnsi="Calibri" w:cs="Times New Roman"/>
              </w:rPr>
              <w:t>en compounds (AOX) [Analytical measures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4.92</w:t>
            </w:r>
            <w:r w:rsidR="00CD1AA9">
              <w:rPr>
                <w:rFonts w:ascii="Calibri" w:eastAsia="Times New Roman" w:hAnsi="Calibri" w:cs="Times New Roman"/>
              </w:rPr>
              <w:t>×10</w:t>
            </w:r>
            <w:r w:rsidR="00CD1AA9">
              <w:rPr>
                <w:rFonts w:ascii="Calibri" w:eastAsia="Times New Roman" w:hAnsi="Calibri" w:cs="Times New Roman"/>
                <w:vertAlign w:val="superscript"/>
              </w:rPr>
              <w:t>-7</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Ammonia [Inorganic emissions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1.02</w:t>
            </w:r>
            <w:r w:rsidR="00CD1AA9">
              <w:rPr>
                <w:rFonts w:ascii="Calibri" w:eastAsia="Times New Roman" w:hAnsi="Calibri" w:cs="Times New Roman"/>
              </w:rPr>
              <w:t>×10</w:t>
            </w:r>
            <w:r w:rsidR="00CD1AA9">
              <w:rPr>
                <w:rFonts w:ascii="Calibri" w:eastAsia="Times New Roman" w:hAnsi="Calibri" w:cs="Times New Roman"/>
                <w:vertAlign w:val="superscript"/>
              </w:rPr>
              <w:t>-4</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Ammonia [Inorganic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2.73</w:t>
            </w:r>
            <w:r w:rsidR="00CD1AA9">
              <w:rPr>
                <w:rFonts w:ascii="Calibri" w:eastAsia="Times New Roman" w:hAnsi="Calibri" w:cs="Times New Roman"/>
              </w:rPr>
              <w:t>×10</w:t>
            </w:r>
            <w:r w:rsidR="00CD1AA9">
              <w:rPr>
                <w:rFonts w:ascii="Calibri" w:eastAsia="Times New Roman" w:hAnsi="Calibri" w:cs="Times New Roman"/>
                <w:vertAlign w:val="superscript"/>
              </w:rPr>
              <w:t>-2</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Arsenic [Heavy metals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4.27</w:t>
            </w:r>
            <w:r w:rsidR="00CD1AA9">
              <w:rPr>
                <w:rFonts w:ascii="Calibri" w:eastAsia="Times New Roman" w:hAnsi="Calibri" w:cs="Times New Roman"/>
              </w:rPr>
              <w:t>×10</w:t>
            </w:r>
            <w:r w:rsidR="00CD1AA9">
              <w:rPr>
                <w:rFonts w:ascii="Calibri" w:eastAsia="Times New Roman" w:hAnsi="Calibri" w:cs="Times New Roman"/>
                <w:vertAlign w:val="superscript"/>
              </w:rPr>
              <w:t>-6</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Arsenic [Heavy metals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2.73</w:t>
            </w:r>
            <w:r w:rsidR="00CD1AA9">
              <w:rPr>
                <w:rFonts w:ascii="Calibri" w:eastAsia="Times New Roman" w:hAnsi="Calibri" w:cs="Times New Roman"/>
              </w:rPr>
              <w:t>×10</w:t>
            </w:r>
            <w:r w:rsidR="00CD1AA9">
              <w:rPr>
                <w:rFonts w:ascii="Calibri" w:eastAsia="Times New Roman" w:hAnsi="Calibri" w:cs="Times New Roman"/>
                <w:vertAlign w:val="superscript"/>
              </w:rPr>
              <w:t>-6</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Benzene [Hydrocarbons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4.73</w:t>
            </w:r>
            <w:r w:rsidR="00CD1AA9">
              <w:rPr>
                <w:rFonts w:ascii="Calibri" w:eastAsia="Times New Roman" w:hAnsi="Calibri" w:cs="Times New Roman"/>
              </w:rPr>
              <w:t>×10</w:t>
            </w:r>
            <w:r w:rsidR="00CD1AA9">
              <w:rPr>
                <w:rFonts w:ascii="Calibri" w:eastAsia="Times New Roman" w:hAnsi="Calibri" w:cs="Times New Roman"/>
                <w:vertAlign w:val="superscript"/>
              </w:rPr>
              <w:t>-5</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Benzene [Group NMVOC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3.21</w:t>
            </w:r>
            <w:r w:rsidR="00CD1AA9">
              <w:rPr>
                <w:rFonts w:ascii="Calibri" w:eastAsia="Times New Roman" w:hAnsi="Calibri" w:cs="Times New Roman"/>
              </w:rPr>
              <w:t>×10</w:t>
            </w:r>
            <w:r w:rsidR="00CD1AA9">
              <w:rPr>
                <w:rFonts w:ascii="Calibri" w:eastAsia="Times New Roman" w:hAnsi="Calibri" w:cs="Times New Roman"/>
                <w:vertAlign w:val="superscript"/>
              </w:rPr>
              <w:t>-5</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Benzo{a}pyrene [Group PAH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3.21</w:t>
            </w:r>
            <w:r w:rsidR="00CD1AA9">
              <w:rPr>
                <w:rFonts w:ascii="Calibri" w:eastAsia="Times New Roman" w:hAnsi="Calibri" w:cs="Times New Roman"/>
              </w:rPr>
              <w:t>×10</w:t>
            </w:r>
            <w:r w:rsidR="00CD1AA9">
              <w:rPr>
                <w:rFonts w:ascii="Calibri" w:eastAsia="Times New Roman" w:hAnsi="Calibri" w:cs="Times New Roman"/>
                <w:vertAlign w:val="superscript"/>
              </w:rPr>
              <w:t>-5</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Biological oxygen demand (BOD) [Analytical measures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3.63</w:t>
            </w:r>
            <w:r w:rsidR="00CD1AA9">
              <w:rPr>
                <w:rFonts w:ascii="Calibri" w:eastAsia="Times New Roman" w:hAnsi="Calibri" w:cs="Times New Roman"/>
              </w:rPr>
              <w:t>×10</w:t>
            </w:r>
            <w:r w:rsidR="00CD1AA9">
              <w:rPr>
                <w:rFonts w:ascii="Calibri" w:eastAsia="Times New Roman" w:hAnsi="Calibri" w:cs="Times New Roman"/>
                <w:vertAlign w:val="superscript"/>
              </w:rPr>
              <w:t>-2</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Cadmium [Heavy metals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3.13</w:t>
            </w:r>
            <w:r w:rsidR="00CD1AA9">
              <w:rPr>
                <w:rFonts w:ascii="Calibri" w:eastAsia="Times New Roman" w:hAnsi="Calibri" w:cs="Times New Roman"/>
              </w:rPr>
              <w:t>×10</w:t>
            </w:r>
            <w:r w:rsidR="00CD1AA9">
              <w:rPr>
                <w:rFonts w:ascii="Calibri" w:eastAsia="Times New Roman" w:hAnsi="Calibri" w:cs="Times New Roman"/>
                <w:vertAlign w:val="superscript"/>
              </w:rPr>
              <w:t>-7</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Cadmium [Heavy metals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right"/>
              <w:rPr>
                <w:rFonts w:ascii="Calibri" w:eastAsia="Times New Roman" w:hAnsi="Calibri" w:cs="Times New Roman"/>
              </w:rPr>
            </w:pPr>
            <w:r w:rsidRPr="0054285D">
              <w:rPr>
                <w:rFonts w:ascii="Calibri" w:eastAsia="Times New Roman" w:hAnsi="Calibri" w:cs="Times New Roman"/>
              </w:rPr>
              <w:t>2.17</w:t>
            </w:r>
            <w:r w:rsidR="00CD1AA9">
              <w:rPr>
                <w:rFonts w:ascii="Calibri" w:eastAsia="Times New Roman" w:hAnsi="Calibri" w:cs="Times New Roman"/>
              </w:rPr>
              <w:t>×10</w:t>
            </w:r>
            <w:r w:rsidR="00CD1AA9">
              <w:rPr>
                <w:rFonts w:ascii="Calibri" w:eastAsia="Times New Roman" w:hAnsi="Calibri" w:cs="Times New Roman"/>
                <w:vertAlign w:val="superscript"/>
              </w:rPr>
              <w:t>-7</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Carbon Dioxide [Inorganic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1.12</w:t>
            </w:r>
            <w:r w:rsidR="00CD1AA9">
              <w:rPr>
                <w:rFonts w:ascii="Calibri" w:eastAsia="Times New Roman" w:hAnsi="Calibri" w:cs="Times New Roman"/>
              </w:rPr>
              <w:t>×10</w:t>
            </w:r>
            <w:r w:rsidR="00CD1AA9">
              <w:rPr>
                <w:rFonts w:ascii="Calibri" w:eastAsia="Times New Roman" w:hAnsi="Calibri" w:cs="Times New Roman"/>
                <w:vertAlign w:val="superscript"/>
              </w:rPr>
              <w:t>1</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Carbon Dioxide (biotic) [Inorganic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1.22</w:t>
            </w:r>
            <w:r w:rsidR="00CD1AA9">
              <w:rPr>
                <w:rFonts w:ascii="Calibri" w:eastAsia="Times New Roman" w:hAnsi="Calibri" w:cs="Times New Roman"/>
              </w:rPr>
              <w:t>×10</w:t>
            </w:r>
            <w:r w:rsidR="00CD1AA9">
              <w:rPr>
                <w:rFonts w:ascii="Calibri" w:eastAsia="Times New Roman" w:hAnsi="Calibri" w:cs="Times New Roman"/>
                <w:vertAlign w:val="superscript"/>
              </w:rPr>
              <w:t>-1</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Carbon Monoxide [Inorganic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6.92</w:t>
            </w:r>
            <w:r w:rsidR="00CD1AA9">
              <w:rPr>
                <w:rFonts w:ascii="Calibri" w:eastAsia="Times New Roman" w:hAnsi="Calibri" w:cs="Times New Roman"/>
              </w:rPr>
              <w:t>×10</w:t>
            </w:r>
            <w:r w:rsidR="00CD1AA9">
              <w:rPr>
                <w:rFonts w:ascii="Calibri" w:eastAsia="Times New Roman" w:hAnsi="Calibri" w:cs="Times New Roman"/>
                <w:vertAlign w:val="superscript"/>
              </w:rPr>
              <w:t>-2</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Carbon tetrachloride (</w:t>
            </w:r>
            <w:proofErr w:type="spellStart"/>
            <w:r w:rsidRPr="0054285D">
              <w:rPr>
                <w:rFonts w:ascii="Calibri" w:eastAsia="Times New Roman" w:hAnsi="Calibri" w:cs="Times New Roman"/>
              </w:rPr>
              <w:t>tetrachloromethane</w:t>
            </w:r>
            <w:proofErr w:type="spellEnd"/>
            <w:r w:rsidRPr="0054285D">
              <w:rPr>
                <w:rFonts w:ascii="Calibri" w:eastAsia="Times New Roman" w:hAnsi="Calibri" w:cs="Times New Roman"/>
              </w:rPr>
              <w:t>) [Halogenated 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right"/>
              <w:rPr>
                <w:rFonts w:ascii="Calibri" w:eastAsia="Times New Roman" w:hAnsi="Calibri" w:cs="Times New Roman"/>
              </w:rPr>
            </w:pPr>
            <w:r w:rsidRPr="0054285D">
              <w:rPr>
                <w:rFonts w:ascii="Calibri" w:eastAsia="Times New Roman" w:hAnsi="Calibri" w:cs="Times New Roman"/>
              </w:rPr>
              <w:t>1.45</w:t>
            </w:r>
            <w:r w:rsidR="00CD1AA9">
              <w:rPr>
                <w:rFonts w:ascii="Calibri" w:eastAsia="Times New Roman" w:hAnsi="Calibri" w:cs="Times New Roman"/>
              </w:rPr>
              <w:t>×10</w:t>
            </w:r>
            <w:r w:rsidR="00CD1AA9">
              <w:rPr>
                <w:rFonts w:ascii="Calibri" w:eastAsia="Times New Roman" w:hAnsi="Calibri" w:cs="Times New Roman"/>
                <w:vertAlign w:val="superscript"/>
              </w:rPr>
              <w:t>-9</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Chemical oxygen demand (COD) [Analytical measures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4.55</w:t>
            </w:r>
            <w:r w:rsidR="00CD1AA9">
              <w:rPr>
                <w:rFonts w:ascii="Calibri" w:eastAsia="Times New Roman" w:hAnsi="Calibri" w:cs="Times New Roman"/>
              </w:rPr>
              <w:t>×10</w:t>
            </w:r>
            <w:r w:rsidR="00CD1AA9">
              <w:rPr>
                <w:rFonts w:ascii="Calibri" w:eastAsia="Times New Roman" w:hAnsi="Calibri" w:cs="Times New Roman"/>
                <w:vertAlign w:val="superscript"/>
              </w:rPr>
              <w:t>-2</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Chloride [Inorganic emissions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8.41</w:t>
            </w:r>
            <w:r w:rsidR="00CD1AA9">
              <w:rPr>
                <w:rFonts w:ascii="Calibri" w:eastAsia="Times New Roman" w:hAnsi="Calibri" w:cs="Times New Roman"/>
              </w:rPr>
              <w:t>×10</w:t>
            </w:r>
            <w:r w:rsidR="00CD1AA9">
              <w:rPr>
                <w:rFonts w:ascii="Calibri" w:eastAsia="Times New Roman" w:hAnsi="Calibri" w:cs="Times New Roman"/>
                <w:vertAlign w:val="superscript"/>
              </w:rPr>
              <w:t>-2</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Chlorinated hydrocarbons (unspecified) [Halogenated 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center"/>
              <w:rPr>
                <w:rFonts w:ascii="Calibri" w:eastAsia="Times New Roman" w:hAnsi="Calibri" w:cs="Times New Roman"/>
              </w:rPr>
            </w:pPr>
            <w:r w:rsidRPr="0054285D">
              <w:rPr>
                <w:rFonts w:ascii="Calibri" w:eastAsia="Times New Roman" w:hAnsi="Calibri" w:cs="Times New Roman"/>
              </w:rPr>
              <w:t>4.56</w:t>
            </w:r>
            <w:r w:rsidR="00CD1AA9">
              <w:rPr>
                <w:rFonts w:ascii="Calibri" w:eastAsia="Times New Roman" w:hAnsi="Calibri" w:cs="Times New Roman"/>
              </w:rPr>
              <w:t>×10</w:t>
            </w:r>
            <w:r w:rsidR="00CD1AA9">
              <w:rPr>
                <w:rFonts w:ascii="Calibri" w:eastAsia="Times New Roman" w:hAnsi="Calibri" w:cs="Times New Roman"/>
                <w:vertAlign w:val="superscript"/>
              </w:rPr>
              <w:t>-7</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Chromium (unspecified) [Heavy metals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right"/>
              <w:rPr>
                <w:rFonts w:ascii="Calibri" w:eastAsia="Times New Roman" w:hAnsi="Calibri" w:cs="Times New Roman"/>
              </w:rPr>
            </w:pPr>
            <w:r w:rsidRPr="0054285D">
              <w:rPr>
                <w:rFonts w:ascii="Calibri" w:eastAsia="Times New Roman" w:hAnsi="Calibri" w:cs="Times New Roman"/>
              </w:rPr>
              <w:t>9.77</w:t>
            </w:r>
            <w:r w:rsidR="00CD1AA9">
              <w:rPr>
                <w:rFonts w:ascii="Calibri" w:eastAsia="Times New Roman" w:hAnsi="Calibri" w:cs="Times New Roman"/>
              </w:rPr>
              <w:t>×10</w:t>
            </w:r>
            <w:r w:rsidR="00CD1AA9">
              <w:rPr>
                <w:rFonts w:ascii="Calibri" w:eastAsia="Times New Roman" w:hAnsi="Calibri" w:cs="Times New Roman"/>
                <w:vertAlign w:val="superscript"/>
              </w:rPr>
              <w:t>-5</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Chromium (unspecified) [Heavy metals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4.44×10</w:t>
            </w:r>
            <w:r>
              <w:rPr>
                <w:rFonts w:ascii="Calibri" w:eastAsia="Times New Roman" w:hAnsi="Calibri" w:cs="Times New Roman"/>
                <w:vertAlign w:val="superscript"/>
              </w:rPr>
              <w:t>-4</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Copper [Heavy metals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CD1AA9">
            <w:pPr>
              <w:spacing w:after="0" w:line="240" w:lineRule="auto"/>
              <w:jc w:val="right"/>
              <w:rPr>
                <w:rFonts w:ascii="Calibri" w:eastAsia="Times New Roman" w:hAnsi="Calibri" w:cs="Times New Roman"/>
              </w:rPr>
            </w:pPr>
            <w:r w:rsidRPr="0054285D">
              <w:rPr>
                <w:rFonts w:ascii="Calibri" w:eastAsia="Times New Roman" w:hAnsi="Calibri" w:cs="Times New Roman"/>
              </w:rPr>
              <w:t>7.24</w:t>
            </w:r>
            <w:r w:rsidR="00CD1AA9">
              <w:rPr>
                <w:rFonts w:ascii="Calibri" w:eastAsia="Times New Roman" w:hAnsi="Calibri" w:cs="Times New Roman"/>
              </w:rPr>
              <w:t>×10</w:t>
            </w:r>
            <w:r w:rsidR="00CD1AA9">
              <w:rPr>
                <w:rFonts w:ascii="Calibri" w:eastAsia="Times New Roman" w:hAnsi="Calibri" w:cs="Times New Roman"/>
                <w:vertAlign w:val="superscript"/>
              </w:rPr>
              <w:t>-5</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Copper [Heavy metals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2.05×10</w:t>
            </w:r>
            <w:r>
              <w:rPr>
                <w:rFonts w:ascii="Calibri" w:eastAsia="Times New Roman" w:hAnsi="Calibri" w:cs="Times New Roman"/>
                <w:vertAlign w:val="superscript"/>
              </w:rPr>
              <w:t>-5</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Cyanide [Inorganic emissions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9.56×10</w:t>
            </w:r>
            <w:r>
              <w:rPr>
                <w:rFonts w:ascii="Calibri" w:eastAsia="Times New Roman" w:hAnsi="Calibri" w:cs="Times New Roman"/>
                <w:vertAlign w:val="superscript"/>
              </w:rPr>
              <w:t>-7</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Dichloroethane</w:t>
            </w:r>
            <w:proofErr w:type="spellEnd"/>
            <w:r w:rsidRPr="0054285D">
              <w:rPr>
                <w:rFonts w:ascii="Calibri" w:eastAsia="Times New Roman" w:hAnsi="Calibri" w:cs="Times New Roman"/>
              </w:rPr>
              <w:t xml:space="preserve"> (ethylene dichloride)  [Halogenated organic emissions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1.49×10</w:t>
            </w:r>
            <w:r>
              <w:rPr>
                <w:rFonts w:ascii="Calibri" w:eastAsia="Times New Roman" w:hAnsi="Calibri" w:cs="Times New Roman"/>
                <w:vertAlign w:val="superscript"/>
              </w:rPr>
              <w:t>-8</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Dichloromethane (methylene dichloride)  [Halogenated 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5.42×10</w:t>
            </w:r>
            <w:r>
              <w:rPr>
                <w:rFonts w:ascii="Calibri" w:eastAsia="Times New Roman" w:hAnsi="Calibri" w:cs="Times New Roman"/>
                <w:vertAlign w:val="superscript"/>
              </w:rPr>
              <w:t>-11</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Dioxins (unspecified) [Halogenated organic emissions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4.72×10</w:t>
            </w:r>
            <w:r>
              <w:rPr>
                <w:rFonts w:ascii="Calibri" w:eastAsia="Times New Roman" w:hAnsi="Calibri" w:cs="Times New Roman"/>
                <w:vertAlign w:val="superscript"/>
              </w:rPr>
              <w:t>-12</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Ethene</w:t>
            </w:r>
            <w:proofErr w:type="spellEnd"/>
            <w:r w:rsidRPr="0054285D">
              <w:rPr>
                <w:rFonts w:ascii="Calibri" w:eastAsia="Times New Roman" w:hAnsi="Calibri" w:cs="Times New Roman"/>
              </w:rPr>
              <w:t xml:space="preserve"> (ethylene) [Group NMVOC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3.50×10</w:t>
            </w:r>
            <w:r>
              <w:rPr>
                <w:rFonts w:ascii="Calibri" w:eastAsia="Times New Roman" w:hAnsi="Calibri" w:cs="Times New Roman"/>
                <w:vertAlign w:val="superscript"/>
              </w:rPr>
              <w:t>-5</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Fluoride [Inorganic emissions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1.24×10</w:t>
            </w:r>
            <w:r>
              <w:rPr>
                <w:rFonts w:ascii="Calibri" w:eastAsia="Times New Roman" w:hAnsi="Calibri" w:cs="Times New Roman"/>
                <w:vertAlign w:val="superscript"/>
              </w:rPr>
              <w:t>-4</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Formaldehyde (</w:t>
            </w:r>
            <w:proofErr w:type="spellStart"/>
            <w:r w:rsidRPr="0054285D">
              <w:rPr>
                <w:rFonts w:ascii="Calibri" w:eastAsia="Times New Roman" w:hAnsi="Calibri" w:cs="Times New Roman"/>
              </w:rPr>
              <w:t>methanal</w:t>
            </w:r>
            <w:proofErr w:type="spellEnd"/>
            <w:r w:rsidRPr="0054285D">
              <w:rPr>
                <w:rFonts w:ascii="Calibri" w:eastAsia="Times New Roman" w:hAnsi="Calibri" w:cs="Times New Roman"/>
              </w:rPr>
              <w:t>) [Group NMVOC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1.34×10</w:t>
            </w:r>
            <w:r>
              <w:rPr>
                <w:rFonts w:ascii="Calibri" w:eastAsia="Times New Roman" w:hAnsi="Calibri" w:cs="Times New Roman"/>
                <w:vertAlign w:val="superscript"/>
              </w:rPr>
              <w:t>-5</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Hexachlorobenzene</w:t>
            </w:r>
            <w:proofErr w:type="spellEnd"/>
            <w:r w:rsidRPr="0054285D">
              <w:rPr>
                <w:rFonts w:ascii="Calibri" w:eastAsia="Times New Roman" w:hAnsi="Calibri" w:cs="Times New Roman"/>
              </w:rPr>
              <w:t xml:space="preserve"> (</w:t>
            </w:r>
            <w:proofErr w:type="spellStart"/>
            <w:r w:rsidRPr="0054285D">
              <w:rPr>
                <w:rFonts w:ascii="Calibri" w:eastAsia="Times New Roman" w:hAnsi="Calibri" w:cs="Times New Roman"/>
              </w:rPr>
              <w:t>Perchlorobenzene</w:t>
            </w:r>
            <w:proofErr w:type="spellEnd"/>
            <w:r w:rsidRPr="0054285D">
              <w:rPr>
                <w:rFonts w:ascii="Calibri" w:eastAsia="Times New Roman" w:hAnsi="Calibri" w:cs="Times New Roman"/>
              </w:rPr>
              <w:t>) [Halogenated 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3.82×10</w:t>
            </w:r>
            <w:r>
              <w:rPr>
                <w:rFonts w:ascii="Calibri" w:eastAsia="Times New Roman" w:hAnsi="Calibri" w:cs="Times New Roman"/>
                <w:vertAlign w:val="superscript"/>
              </w:rPr>
              <w:t>-9</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Hydrocarbons, </w:t>
            </w:r>
            <w:proofErr w:type="spellStart"/>
            <w:r w:rsidRPr="0054285D">
              <w:rPr>
                <w:rFonts w:ascii="Calibri" w:eastAsia="Times New Roman" w:hAnsi="Calibri" w:cs="Times New Roman"/>
              </w:rPr>
              <w:t>chloro</w:t>
            </w:r>
            <w:proofErr w:type="spellEnd"/>
            <w:r w:rsidRPr="0054285D">
              <w:rPr>
                <w:rFonts w:ascii="Calibri" w:eastAsia="Times New Roman" w:hAnsi="Calibri" w:cs="Times New Roman"/>
              </w:rPr>
              <w:t>-/</w:t>
            </w:r>
            <w:proofErr w:type="spellStart"/>
            <w:r w:rsidRPr="0054285D">
              <w:rPr>
                <w:rFonts w:ascii="Calibri" w:eastAsia="Times New Roman" w:hAnsi="Calibri" w:cs="Times New Roman"/>
              </w:rPr>
              <w:t>fluoro</w:t>
            </w:r>
            <w:proofErr w:type="spellEnd"/>
            <w:r w:rsidRPr="0054285D">
              <w:rPr>
                <w:rFonts w:ascii="Calibri" w:eastAsia="Times New Roman" w:hAnsi="Calibri" w:cs="Times New Roman"/>
              </w:rPr>
              <w:t>- [Halogenated 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7.38×10</w:t>
            </w:r>
            <w:r>
              <w:rPr>
                <w:rFonts w:ascii="Calibri" w:eastAsia="Times New Roman" w:hAnsi="Calibri" w:cs="Times New Roman"/>
                <w:vertAlign w:val="superscript"/>
              </w:rPr>
              <w:t>-10</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Hydrogen chloride [Inorganic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5.09×10</w:t>
            </w:r>
            <w:r>
              <w:rPr>
                <w:rFonts w:ascii="Calibri" w:eastAsia="Times New Roman" w:hAnsi="Calibri" w:cs="Times New Roman"/>
                <w:vertAlign w:val="superscript"/>
              </w:rPr>
              <w:t>-4</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lastRenderedPageBreak/>
              <w:t>Hydrogen fluoride [Inorganic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5.22×10</w:t>
            </w:r>
            <w:r>
              <w:rPr>
                <w:rFonts w:ascii="Calibri" w:eastAsia="Times New Roman" w:hAnsi="Calibri" w:cs="Times New Roman"/>
                <w:vertAlign w:val="superscript"/>
              </w:rPr>
              <w:t>-5</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Hydrogen sulphide [Inorganic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1.58×10</w:t>
            </w:r>
            <w:r>
              <w:rPr>
                <w:rFonts w:ascii="Calibri" w:eastAsia="Times New Roman" w:hAnsi="Calibri" w:cs="Times New Roman"/>
                <w:vertAlign w:val="superscript"/>
              </w:rPr>
              <w:t>-5</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Lead [Heavy metals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4.09×10</w:t>
            </w:r>
            <w:r>
              <w:rPr>
                <w:rFonts w:ascii="Calibri" w:eastAsia="Times New Roman" w:hAnsi="Calibri" w:cs="Times New Roman"/>
                <w:vertAlign w:val="superscript"/>
              </w:rPr>
              <w:t>-6</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Lead [Heavy metals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1.50×10</w:t>
            </w:r>
            <w:r>
              <w:rPr>
                <w:rFonts w:ascii="Calibri" w:eastAsia="Times New Roman" w:hAnsi="Calibri" w:cs="Times New Roman"/>
                <w:vertAlign w:val="superscript"/>
              </w:rPr>
              <w:t>-5</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Mercury [Heavy metals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1.04×10</w:t>
            </w:r>
            <w:r>
              <w:rPr>
                <w:rFonts w:ascii="Calibri" w:eastAsia="Times New Roman" w:hAnsi="Calibri" w:cs="Times New Roman"/>
                <w:vertAlign w:val="superscript"/>
              </w:rPr>
              <w:t>-7</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Mercury [Heavy metals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6.05×10</w:t>
            </w:r>
            <w:r>
              <w:rPr>
                <w:rFonts w:ascii="Calibri" w:eastAsia="Times New Roman" w:hAnsi="Calibri" w:cs="Times New Roman"/>
                <w:vertAlign w:val="superscript"/>
              </w:rPr>
              <w:t>-7</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Methane [Organic emissions to air (group VOC)]</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1.29×10</w:t>
            </w:r>
            <w:r>
              <w:rPr>
                <w:rFonts w:ascii="Calibri" w:eastAsia="Times New Roman" w:hAnsi="Calibri" w:cs="Times New Roman"/>
                <w:vertAlign w:val="superscript"/>
              </w:rPr>
              <w:t>-2</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Methane (biotic) [Organic emissions to air (group VOC)]</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3.30×10</w:t>
            </w:r>
            <w:r>
              <w:rPr>
                <w:rFonts w:ascii="Calibri" w:eastAsia="Times New Roman" w:hAnsi="Calibri" w:cs="Times New Roman"/>
                <w:vertAlign w:val="superscript"/>
              </w:rPr>
              <w:t>-5</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Nickel [Heavy metals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1.49×10</w:t>
            </w:r>
            <w:r>
              <w:rPr>
                <w:rFonts w:ascii="Calibri" w:eastAsia="Times New Roman" w:hAnsi="Calibri" w:cs="Times New Roman"/>
                <w:vertAlign w:val="superscript"/>
              </w:rPr>
              <w:t>-3</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Nickel [Heavy metals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9.71×10</w:t>
            </w:r>
            <w:r>
              <w:rPr>
                <w:rFonts w:ascii="Calibri" w:eastAsia="Times New Roman" w:hAnsi="Calibri" w:cs="Times New Roman"/>
                <w:vertAlign w:val="superscript"/>
              </w:rPr>
              <w:t>-6</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Nitrate [Inorganic emissions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5.69×10</w:t>
            </w:r>
            <w:r>
              <w:rPr>
                <w:rFonts w:ascii="Calibri" w:eastAsia="Times New Roman" w:hAnsi="Calibri" w:cs="Times New Roman"/>
                <w:vertAlign w:val="superscript"/>
              </w:rPr>
              <w:t>-4</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Nitrogen [Inorganic emissions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2.99×10</w:t>
            </w:r>
            <w:r>
              <w:rPr>
                <w:rFonts w:ascii="Calibri" w:eastAsia="Times New Roman" w:hAnsi="Calibri" w:cs="Times New Roman"/>
                <w:vertAlign w:val="superscript"/>
              </w:rPr>
              <w:t>-4</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Nitrogen monoxide [Inorganic emissions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2.45×10</w:t>
            </w:r>
            <w:r>
              <w:rPr>
                <w:rFonts w:ascii="Calibri" w:eastAsia="Times New Roman" w:hAnsi="Calibri" w:cs="Times New Roman"/>
                <w:vertAlign w:val="superscript"/>
              </w:rPr>
              <w:t>-1</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Nitrogen oxides [Inorganic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1.72×10</w:t>
            </w:r>
            <w:r>
              <w:rPr>
                <w:rFonts w:ascii="Calibri" w:eastAsia="Times New Roman" w:hAnsi="Calibri" w:cs="Times New Roman"/>
                <w:vertAlign w:val="superscript"/>
              </w:rPr>
              <w:t>-3</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NMVOC (unspecified) [Group NMVOC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8.31×10</w:t>
            </w:r>
            <w:r>
              <w:rPr>
                <w:rFonts w:ascii="Calibri" w:eastAsia="Times New Roman" w:hAnsi="Calibri" w:cs="Times New Roman"/>
                <w:vertAlign w:val="superscript"/>
              </w:rPr>
              <w:t>-2</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Organic compounds (unspecified) [Organic emissions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7.58×10</w:t>
            </w:r>
            <w:r>
              <w:rPr>
                <w:rFonts w:ascii="Calibri" w:eastAsia="Times New Roman" w:hAnsi="Calibri" w:cs="Times New Roman"/>
                <w:vertAlign w:val="superscript"/>
              </w:rPr>
              <w:t>-8</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Particulates&lt;10um [Particles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2.01×10</w:t>
            </w:r>
            <w:r>
              <w:rPr>
                <w:rFonts w:ascii="Calibri" w:eastAsia="Times New Roman" w:hAnsi="Calibri" w:cs="Times New Roman"/>
                <w:vertAlign w:val="superscript"/>
              </w:rPr>
              <w:t>-2</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Pentachlorophenol (PCP) [Halogenated 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7.73×10</w:t>
            </w:r>
            <w:r>
              <w:rPr>
                <w:rFonts w:ascii="Calibri" w:eastAsia="Times New Roman" w:hAnsi="Calibri" w:cs="Times New Roman"/>
                <w:vertAlign w:val="superscript"/>
              </w:rPr>
              <w:t>-9</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Phenol (</w:t>
            </w:r>
            <w:proofErr w:type="spellStart"/>
            <w:r w:rsidRPr="0054285D">
              <w:rPr>
                <w:rFonts w:ascii="Calibri" w:eastAsia="Times New Roman" w:hAnsi="Calibri" w:cs="Times New Roman"/>
              </w:rPr>
              <w:t>hydroxy</w:t>
            </w:r>
            <w:proofErr w:type="spellEnd"/>
            <w:r w:rsidRPr="0054285D">
              <w:rPr>
                <w:rFonts w:ascii="Calibri" w:eastAsia="Times New Roman" w:hAnsi="Calibri" w:cs="Times New Roman"/>
              </w:rPr>
              <w:t xml:space="preserve"> benzene) [Hydrocarbons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1.07×10</w:t>
            </w:r>
            <w:r>
              <w:rPr>
                <w:rFonts w:ascii="Calibri" w:eastAsia="Times New Roman" w:hAnsi="Calibri" w:cs="Times New Roman"/>
                <w:vertAlign w:val="superscript"/>
              </w:rPr>
              <w:t>-5</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Phosphorus [Inorganic emissions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1.22×10</w:t>
            </w:r>
            <w:r>
              <w:rPr>
                <w:rFonts w:ascii="Calibri" w:eastAsia="Times New Roman" w:hAnsi="Calibri" w:cs="Times New Roman"/>
                <w:vertAlign w:val="superscript"/>
              </w:rPr>
              <w:t>-4</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Polychlorinated biphenyls (PCB unspecified) [Halogenated 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5.75×10</w:t>
            </w:r>
            <w:r>
              <w:rPr>
                <w:rFonts w:ascii="Calibri" w:eastAsia="Times New Roman" w:hAnsi="Calibri" w:cs="Times New Roman"/>
                <w:vertAlign w:val="superscript"/>
              </w:rPr>
              <w:t>-9</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Polycycliaromatic</w:t>
            </w:r>
            <w:proofErr w:type="spellEnd"/>
            <w:r w:rsidRPr="0054285D">
              <w:rPr>
                <w:rFonts w:ascii="Calibri" w:eastAsia="Times New Roman" w:hAnsi="Calibri" w:cs="Times New Roman"/>
              </w:rPr>
              <w:t xml:space="preserve"> hydrocarbons (PAH, unspecified) [Hydrocarbons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9.14×10</w:t>
            </w:r>
            <w:r>
              <w:rPr>
                <w:rFonts w:ascii="Calibri" w:eastAsia="Times New Roman" w:hAnsi="Calibri" w:cs="Times New Roman"/>
                <w:vertAlign w:val="superscript"/>
              </w:rPr>
              <w:t>-6</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Polycycliaromatic</w:t>
            </w:r>
            <w:proofErr w:type="spellEnd"/>
            <w:r w:rsidRPr="0054285D">
              <w:rPr>
                <w:rFonts w:ascii="Calibri" w:eastAsia="Times New Roman" w:hAnsi="Calibri" w:cs="Times New Roman"/>
              </w:rPr>
              <w:t xml:space="preserve"> hydrocarbons (PAH, unspecified) [Group PAH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8.53×10</w:t>
            </w:r>
            <w:r>
              <w:rPr>
                <w:rFonts w:ascii="Calibri" w:eastAsia="Times New Roman" w:hAnsi="Calibri" w:cs="Times New Roman"/>
                <w:vertAlign w:val="superscript"/>
              </w:rPr>
              <w:t>-7</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Solids (suspended) [Particles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1.45×10</w:t>
            </w:r>
            <w:r>
              <w:rPr>
                <w:rFonts w:ascii="Calibri" w:eastAsia="Times New Roman" w:hAnsi="Calibri" w:cs="Times New Roman"/>
                <w:vertAlign w:val="superscript"/>
              </w:rPr>
              <w:t>-2</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Sulphate [Inorganic emissions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2.44×10</w:t>
            </w:r>
            <w:r>
              <w:rPr>
                <w:rFonts w:ascii="Calibri" w:eastAsia="Times New Roman" w:hAnsi="Calibri" w:cs="Times New Roman"/>
                <w:vertAlign w:val="superscript"/>
              </w:rPr>
              <w:t>-2</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Sulphur dioxide [Inorganic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5.39×10</w:t>
            </w:r>
            <w:r>
              <w:rPr>
                <w:rFonts w:ascii="Calibri" w:eastAsia="Times New Roman" w:hAnsi="Calibri" w:cs="Times New Roman"/>
                <w:vertAlign w:val="superscript"/>
              </w:rPr>
              <w:t>-8</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Sulphur hexafluoride [Inorganic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3.86×10</w:t>
            </w:r>
            <w:r>
              <w:rPr>
                <w:rFonts w:ascii="Calibri" w:eastAsia="Times New Roman" w:hAnsi="Calibri" w:cs="Times New Roman"/>
                <w:vertAlign w:val="superscript"/>
              </w:rPr>
              <w:t>-4</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Tetrachloroethene</w:t>
            </w:r>
            <w:proofErr w:type="spellEnd"/>
            <w:r w:rsidRPr="0054285D">
              <w:rPr>
                <w:rFonts w:ascii="Calibri" w:eastAsia="Times New Roman" w:hAnsi="Calibri" w:cs="Times New Roman"/>
              </w:rPr>
              <w:t xml:space="preserve"> (</w:t>
            </w:r>
            <w:proofErr w:type="spellStart"/>
            <w:r w:rsidRPr="0054285D">
              <w:rPr>
                <w:rFonts w:ascii="Calibri" w:eastAsia="Times New Roman" w:hAnsi="Calibri" w:cs="Times New Roman"/>
              </w:rPr>
              <w:t>perchloroethylene</w:t>
            </w:r>
            <w:proofErr w:type="spellEnd"/>
            <w:r w:rsidRPr="0054285D">
              <w:rPr>
                <w:rFonts w:ascii="Calibri" w:eastAsia="Times New Roman" w:hAnsi="Calibri" w:cs="Times New Roman"/>
              </w:rPr>
              <w:t>) [Halogenated 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6.19×10</w:t>
            </w:r>
            <w:r>
              <w:rPr>
                <w:rFonts w:ascii="Calibri" w:eastAsia="Times New Roman" w:hAnsi="Calibri" w:cs="Times New Roman"/>
                <w:vertAlign w:val="superscript"/>
              </w:rPr>
              <w:t>-12</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Total dust [Resources]</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2.49×10</w:t>
            </w:r>
            <w:r>
              <w:rPr>
                <w:rFonts w:ascii="Calibri" w:eastAsia="Times New Roman" w:hAnsi="Calibri" w:cs="Times New Roman"/>
                <w:vertAlign w:val="superscript"/>
              </w:rPr>
              <w:t>-2</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Total organic bounded carbon  [Analytical measures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1.50×10</w:t>
            </w:r>
            <w:r>
              <w:rPr>
                <w:rFonts w:ascii="Calibri" w:eastAsia="Times New Roman" w:hAnsi="Calibri" w:cs="Times New Roman"/>
                <w:vertAlign w:val="superscript"/>
              </w:rPr>
              <w:t>-2</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Trichloromethane</w:t>
            </w:r>
            <w:proofErr w:type="spellEnd"/>
            <w:r w:rsidRPr="0054285D">
              <w:rPr>
                <w:rFonts w:ascii="Calibri" w:eastAsia="Times New Roman" w:hAnsi="Calibri" w:cs="Times New Roman"/>
              </w:rPr>
              <w:t xml:space="preserve"> (chloroform)  [Halogenated organic emissions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3.33×10</w:t>
            </w:r>
            <w:r>
              <w:rPr>
                <w:rFonts w:ascii="Calibri" w:eastAsia="Times New Roman" w:hAnsi="Calibri" w:cs="Times New Roman"/>
                <w:vertAlign w:val="superscript"/>
              </w:rPr>
              <w:t>-10</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Zinc [Heavy metals to fresh water]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2.23×10</w:t>
            </w:r>
            <w:r>
              <w:rPr>
                <w:rFonts w:ascii="Calibri" w:eastAsia="Times New Roman" w:hAnsi="Calibri" w:cs="Times New Roman"/>
                <w:vertAlign w:val="superscript"/>
              </w:rPr>
              <w:t>-5</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505F1E" w:rsidRPr="0054285D" w:rsidTr="00CD1AA9">
        <w:trPr>
          <w:trHeight w:val="300"/>
        </w:trPr>
        <w:tc>
          <w:tcPr>
            <w:tcW w:w="3534" w:type="pct"/>
            <w:tcBorders>
              <w:top w:val="nil"/>
              <w:left w:val="single" w:sz="4" w:space="0" w:color="auto"/>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Zinc [Heavy metals to air]</w:t>
            </w:r>
          </w:p>
        </w:tc>
        <w:tc>
          <w:tcPr>
            <w:tcW w:w="554"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26" w:type="pct"/>
            <w:tcBorders>
              <w:top w:val="nil"/>
              <w:left w:val="nil"/>
              <w:bottom w:val="single" w:sz="4" w:space="0" w:color="auto"/>
              <w:right w:val="single" w:sz="4" w:space="0" w:color="auto"/>
            </w:tcBorders>
            <w:shd w:val="clear" w:color="000000" w:fill="FFFFFF"/>
            <w:vAlign w:val="bottom"/>
            <w:hideMark/>
          </w:tcPr>
          <w:p w:rsidR="00505F1E" w:rsidRPr="0054285D" w:rsidRDefault="00CD1AA9" w:rsidP="00505F1E">
            <w:pPr>
              <w:spacing w:after="0" w:line="240" w:lineRule="auto"/>
              <w:jc w:val="right"/>
              <w:rPr>
                <w:rFonts w:ascii="Calibri" w:eastAsia="Times New Roman" w:hAnsi="Calibri" w:cs="Times New Roman"/>
              </w:rPr>
            </w:pPr>
            <w:r>
              <w:rPr>
                <w:rFonts w:ascii="Calibri" w:eastAsia="Times New Roman" w:hAnsi="Calibri" w:cs="Times New Roman"/>
              </w:rPr>
              <w:t>4.93×10</w:t>
            </w:r>
            <w:r>
              <w:rPr>
                <w:rFonts w:ascii="Calibri" w:eastAsia="Times New Roman" w:hAnsi="Calibri" w:cs="Times New Roman"/>
                <w:vertAlign w:val="superscript"/>
              </w:rPr>
              <w:t>-5</w:t>
            </w:r>
          </w:p>
        </w:tc>
        <w:tc>
          <w:tcPr>
            <w:tcW w:w="286" w:type="pct"/>
            <w:tcBorders>
              <w:top w:val="nil"/>
              <w:left w:val="nil"/>
              <w:bottom w:val="single" w:sz="4" w:space="0" w:color="auto"/>
              <w:right w:val="single" w:sz="4" w:space="0" w:color="auto"/>
            </w:tcBorders>
            <w:shd w:val="clear" w:color="000000" w:fill="FFFFFF"/>
            <w:vAlign w:val="bottom"/>
            <w:hideMark/>
          </w:tcPr>
          <w:p w:rsidR="00505F1E" w:rsidRPr="0054285D" w:rsidRDefault="00505F1E" w:rsidP="00505F1E">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bl>
    <w:p w:rsidR="00AE7A4C" w:rsidRPr="0054285D" w:rsidRDefault="00AE7A4C" w:rsidP="00AE7A4C">
      <w:pPr>
        <w:spacing w:line="360" w:lineRule="auto"/>
        <w:rPr>
          <w:rFonts w:ascii="Times New Roman" w:eastAsia="Calibri" w:hAnsi="Times New Roman" w:cs="Times New Roman"/>
          <w:b/>
        </w:rPr>
      </w:pPr>
    </w:p>
    <w:p w:rsidR="00AE7A4C" w:rsidRPr="0054285D" w:rsidRDefault="00AE7A4C" w:rsidP="00BE425F">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With the creation and inclusion of manganese ore, a number of alterations </w:t>
      </w:r>
      <w:r w:rsidR="00505F1E" w:rsidRPr="0054285D">
        <w:rPr>
          <w:rFonts w:ascii="Times New Roman" w:eastAsia="Calibri" w:hAnsi="Times New Roman" w:cs="Times New Roman"/>
        </w:rPr>
        <w:t>were included</w:t>
      </w:r>
      <w:r w:rsidRPr="0054285D">
        <w:rPr>
          <w:rFonts w:ascii="Times New Roman" w:eastAsia="Calibri" w:hAnsi="Times New Roman" w:cs="Times New Roman"/>
        </w:rPr>
        <w:t xml:space="preserve"> to complete the model. Carbon corrections were made for coke and electrodes using equations </w:t>
      </w:r>
      <w:r w:rsidR="00505F1E" w:rsidRPr="0054285D">
        <w:rPr>
          <w:rFonts w:ascii="Times New Roman" w:eastAsia="Calibri" w:hAnsi="Times New Roman" w:cs="Times New Roman"/>
        </w:rPr>
        <w:t>6</w:t>
      </w:r>
      <w:r w:rsidRPr="0054285D">
        <w:rPr>
          <w:rFonts w:ascii="Times New Roman" w:eastAsia="Calibri" w:hAnsi="Times New Roman" w:cs="Times New Roman"/>
        </w:rPr>
        <w:t xml:space="preserve"> and </w:t>
      </w:r>
      <w:r w:rsidR="00505F1E" w:rsidRPr="0054285D">
        <w:rPr>
          <w:rFonts w:ascii="Times New Roman" w:eastAsia="Calibri" w:hAnsi="Times New Roman" w:cs="Times New Roman"/>
        </w:rPr>
        <w:t>7</w:t>
      </w:r>
      <w:r w:rsidRPr="0054285D">
        <w:rPr>
          <w:rFonts w:ascii="Times New Roman" w:eastAsia="Calibri" w:hAnsi="Times New Roman" w:cs="Times New Roman"/>
        </w:rPr>
        <w:t xml:space="preserve"> to balance the total amount of carbon in the system.</w:t>
      </w:r>
      <w:r w:rsidR="00B83552" w:rsidRPr="0054285D">
        <w:rPr>
          <w:rFonts w:ascii="Times New Roman" w:eastAsia="Calibri" w:hAnsi="Times New Roman" w:cs="Times New Roman"/>
        </w:rPr>
        <w:t xml:space="preserve"> In addition the source of electricity was fixed as Australia.</w:t>
      </w:r>
      <w:r w:rsidR="00505F1E" w:rsidRPr="0054285D">
        <w:rPr>
          <w:rFonts w:ascii="Times New Roman" w:eastAsia="Calibri" w:hAnsi="Times New Roman" w:cs="Times New Roman"/>
        </w:rPr>
        <w:t xml:space="preserve"> The complete model for HC ferromanganese production from Eurometaux data is displayed by</w:t>
      </w:r>
      <w:r w:rsidRPr="0054285D">
        <w:rPr>
          <w:rFonts w:ascii="Times New Roman" w:eastAsia="Calibri" w:hAnsi="Times New Roman" w:cs="Times New Roman"/>
        </w:rPr>
        <w:t xml:space="preserve"> </w:t>
      </w:r>
      <w:r w:rsidR="00A6415F" w:rsidRPr="0054285D">
        <w:fldChar w:fldCharType="begin"/>
      </w:r>
      <w:r w:rsidR="00A6415F" w:rsidRPr="0054285D">
        <w:instrText xml:space="preserve"> REF _Ref468620962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69</w:t>
      </w:r>
      <w:r w:rsidR="00A6415F" w:rsidRPr="0054285D">
        <w:fldChar w:fldCharType="end"/>
      </w:r>
      <w:r w:rsidR="00505F1E" w:rsidRPr="0054285D">
        <w:rPr>
          <w:rFonts w:ascii="Times New Roman" w:eastAsia="Calibri" w:hAnsi="Times New Roman" w:cs="Times New Roman"/>
        </w:rPr>
        <w:t>.</w:t>
      </w:r>
    </w:p>
    <w:p w:rsidR="00AE7A4C" w:rsidRPr="0054285D" w:rsidRDefault="003601AA" w:rsidP="00AE7A4C">
      <w:pPr>
        <w:spacing w:line="360" w:lineRule="auto"/>
        <w:jc w:val="center"/>
        <w:rPr>
          <w:rFonts w:ascii="Times New Roman" w:eastAsia="Calibri" w:hAnsi="Times New Roman" w:cs="Times New Roman"/>
        </w:rPr>
      </w:pPr>
      <w:r w:rsidRPr="0054285D">
        <w:rPr>
          <w:noProof/>
        </w:rPr>
        <w:lastRenderedPageBreak/>
        <w:drawing>
          <wp:inline distT="0" distB="0" distL="0" distR="0" wp14:anchorId="1148F604" wp14:editId="3712B74B">
            <wp:extent cx="5088835" cy="2376904"/>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print"/>
                    <a:srcRect l="28864" t="47357" r="28945" b="17607"/>
                    <a:stretch/>
                  </pic:blipFill>
                  <pic:spPr bwMode="auto">
                    <a:xfrm>
                      <a:off x="0" y="0"/>
                      <a:ext cx="5098262" cy="2381307"/>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250418" w:rsidP="00250418">
      <w:pPr>
        <w:rPr>
          <w:rFonts w:ascii="Times New Roman" w:eastAsia="Calibri" w:hAnsi="Times New Roman" w:cs="Times New Roman"/>
        </w:rPr>
      </w:pPr>
      <w:bookmarkStart w:id="286" w:name="_Ref468620962"/>
      <w:bookmarkStart w:id="287" w:name="_Toc495848402"/>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69</w:t>
      </w:r>
      <w:r w:rsidR="009A0ED7" w:rsidRPr="0054285D">
        <w:rPr>
          <w:rFonts w:ascii="Times New Roman" w:hAnsi="Times New Roman" w:cs="Times New Roman"/>
        </w:rPr>
        <w:fldChar w:fldCharType="end"/>
      </w:r>
      <w:bookmarkEnd w:id="286"/>
      <w:r w:rsidRPr="0054285D">
        <w:rPr>
          <w:rFonts w:ascii="Times New Roman" w:hAnsi="Times New Roman" w:cs="Times New Roman"/>
        </w:rPr>
        <w:t xml:space="preserve">. </w:t>
      </w:r>
      <w:r w:rsidR="00505F1E" w:rsidRPr="0054285D">
        <w:rPr>
          <w:rFonts w:ascii="Times New Roman" w:eastAsia="Calibri" w:hAnsi="Times New Roman" w:cs="Times New Roman"/>
        </w:rPr>
        <w:t>HC ferromanganese</w:t>
      </w:r>
      <w:r w:rsidR="00AE7A4C" w:rsidRPr="0054285D">
        <w:rPr>
          <w:rFonts w:ascii="Times New Roman" w:eastAsia="Calibri" w:hAnsi="Times New Roman" w:cs="Times New Roman"/>
        </w:rPr>
        <w:t xml:space="preserve"> production via Eurometaux data.</w:t>
      </w:r>
      <w:bookmarkEnd w:id="287"/>
    </w:p>
    <w:p w:rsidR="00AE7A4C" w:rsidRPr="0054285D" w:rsidRDefault="00B83552" w:rsidP="00B83552">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In terms of LC ferromanganese</w:t>
      </w:r>
      <w:r w:rsidR="00AE7A4C" w:rsidRPr="0054285D">
        <w:rPr>
          <w:rFonts w:ascii="Times New Roman" w:eastAsia="Calibri" w:hAnsi="Times New Roman" w:cs="Times New Roman"/>
        </w:rPr>
        <w:t>, this was easie</w:t>
      </w:r>
      <w:r w:rsidRPr="0054285D">
        <w:rPr>
          <w:rFonts w:ascii="Times New Roman" w:eastAsia="Calibri" w:hAnsi="Times New Roman" w:cs="Times New Roman"/>
        </w:rPr>
        <w:t>r to model compared to HC ferromanganese</w:t>
      </w:r>
      <w:r w:rsidR="00AE7A4C" w:rsidRPr="0054285D">
        <w:rPr>
          <w:rFonts w:ascii="Times New Roman" w:eastAsia="Calibri" w:hAnsi="Times New Roman" w:cs="Times New Roman"/>
        </w:rPr>
        <w:t xml:space="preserve">, due to the availability of the newly created manganese ore process. </w:t>
      </w:r>
      <w:r w:rsidRPr="0054285D">
        <w:rPr>
          <w:rFonts w:ascii="Times New Roman" w:eastAsia="Calibri" w:hAnsi="Times New Roman" w:cs="Times New Roman"/>
        </w:rPr>
        <w:t>The constituents making LC ferromanganese</w:t>
      </w:r>
      <w:r w:rsidR="00AE7A4C" w:rsidRPr="0054285D">
        <w:rPr>
          <w:rFonts w:ascii="Times New Roman" w:eastAsia="Calibri" w:hAnsi="Times New Roman" w:cs="Times New Roman"/>
        </w:rPr>
        <w:t xml:space="preserve"> can be seen in</w:t>
      </w:r>
      <w:r w:rsidRPr="0054285D">
        <w:rPr>
          <w:rFonts w:ascii="Times New Roman" w:eastAsia="Calibri" w:hAnsi="Times New Roman" w:cs="Times New Roman"/>
        </w:rPr>
        <w:t xml:space="preserve"> </w:t>
      </w:r>
      <w:r w:rsidR="00A6415F" w:rsidRPr="0054285D">
        <w:fldChar w:fldCharType="begin"/>
      </w:r>
      <w:r w:rsidR="00A6415F" w:rsidRPr="0054285D">
        <w:instrText xml:space="preserve"> REF _Ref468621037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48</w:t>
      </w:r>
      <w:r w:rsidR="00A6415F" w:rsidRPr="0054285D">
        <w:fldChar w:fldCharType="end"/>
      </w:r>
      <w:r w:rsidR="00AE7A4C" w:rsidRPr="0054285D">
        <w:rPr>
          <w:rFonts w:ascii="Times New Roman" w:eastAsia="Calibri" w:hAnsi="Times New Roman" w:cs="Times New Roman"/>
        </w:rPr>
        <w:t xml:space="preserve">. </w:t>
      </w:r>
    </w:p>
    <w:p w:rsidR="00AE7A4C" w:rsidRPr="0054285D" w:rsidRDefault="00250418" w:rsidP="00B83552">
      <w:pPr>
        <w:spacing w:after="0" w:line="360" w:lineRule="auto"/>
        <w:jc w:val="both"/>
        <w:rPr>
          <w:rFonts w:ascii="Times New Roman" w:eastAsia="Calibri" w:hAnsi="Times New Roman" w:cs="Times New Roman"/>
        </w:rPr>
      </w:pPr>
      <w:bookmarkStart w:id="288" w:name="_Ref468621037"/>
      <w:bookmarkStart w:id="289" w:name="_Toc474486555"/>
      <w:bookmarkStart w:id="290" w:name="_Toc495852726"/>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48</w:t>
      </w:r>
      <w:r w:rsidR="009A0ED7" w:rsidRPr="0054285D">
        <w:rPr>
          <w:rFonts w:ascii="Times New Roman" w:hAnsi="Times New Roman" w:cs="Times New Roman"/>
        </w:rPr>
        <w:fldChar w:fldCharType="end"/>
      </w:r>
      <w:bookmarkEnd w:id="288"/>
      <w:r w:rsidRPr="0054285D">
        <w:rPr>
          <w:rFonts w:ascii="Times New Roman" w:hAnsi="Times New Roman" w:cs="Times New Roman"/>
        </w:rPr>
        <w:t xml:space="preserve">. </w:t>
      </w:r>
      <w:r w:rsidR="00AE7A4C" w:rsidRPr="0054285D">
        <w:rPr>
          <w:rFonts w:ascii="Times New Roman" w:eastAsia="Calibri" w:hAnsi="Times New Roman" w:cs="Times New Roman"/>
        </w:rPr>
        <w:t>Inventory d</w:t>
      </w:r>
      <w:r w:rsidR="00B83552" w:rsidRPr="0054285D">
        <w:rPr>
          <w:rFonts w:ascii="Times New Roman" w:eastAsia="Calibri" w:hAnsi="Times New Roman" w:cs="Times New Roman"/>
        </w:rPr>
        <w:t>ata from Eurometaux for LC ferromanganese</w:t>
      </w:r>
      <w:r w:rsidR="00AE7A4C" w:rsidRPr="0054285D">
        <w:rPr>
          <w:rFonts w:ascii="Times New Roman" w:eastAsia="Calibri" w:hAnsi="Times New Roman" w:cs="Times New Roman"/>
        </w:rPr>
        <w:t xml:space="preserve"> production (s</w:t>
      </w:r>
      <w:r w:rsidR="00B83552" w:rsidRPr="0054285D">
        <w:rPr>
          <w:rFonts w:ascii="Times New Roman" w:eastAsia="Calibri" w:hAnsi="Times New Roman" w:cs="Times New Roman"/>
        </w:rPr>
        <w:t xml:space="preserve">ilicothermic) </w:t>
      </w:r>
      <w:r w:rsidR="00B83552" w:rsidRPr="0054285D">
        <w:rPr>
          <w:rFonts w:ascii="Times New Roman" w:eastAsia="Calibri" w:hAnsi="Times New Roman" w:cs="Times New Roman"/>
          <w:noProof/>
        </w:rPr>
        <w:t>(Eurometaux 2014)</w:t>
      </w:r>
      <w:r w:rsidR="00B83552" w:rsidRPr="0054285D">
        <w:rPr>
          <w:rFonts w:ascii="Times New Roman" w:eastAsia="Calibri" w:hAnsi="Times New Roman" w:cs="Times New Roman"/>
        </w:rPr>
        <w:t>.</w:t>
      </w:r>
      <w:bookmarkEnd w:id="289"/>
      <w:bookmarkEnd w:id="29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260"/>
        <w:gridCol w:w="1078"/>
        <w:gridCol w:w="1820"/>
      </w:tblGrid>
      <w:tr w:rsidR="000F39EA" w:rsidRPr="0054285D" w:rsidTr="00B83552">
        <w:trPr>
          <w:jc w:val="center"/>
        </w:trPr>
        <w:tc>
          <w:tcPr>
            <w:tcW w:w="226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Input </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Inventory</w:t>
            </w:r>
          </w:p>
        </w:tc>
        <w:tc>
          <w:tcPr>
            <w:tcW w:w="18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Units</w:t>
            </w:r>
          </w:p>
        </w:tc>
      </w:tr>
      <w:tr w:rsidR="000F39EA" w:rsidRPr="0054285D" w:rsidTr="00B83552">
        <w:trPr>
          <w:jc w:val="center"/>
        </w:trPr>
        <w:tc>
          <w:tcPr>
            <w:tcW w:w="226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Mn Ore </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1000.00</w:t>
            </w:r>
          </w:p>
        </w:tc>
        <w:tc>
          <w:tcPr>
            <w:tcW w:w="18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B83552">
        <w:trPr>
          <w:jc w:val="center"/>
        </w:trPr>
        <w:tc>
          <w:tcPr>
            <w:tcW w:w="226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Coke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200.00</w:t>
            </w:r>
          </w:p>
        </w:tc>
        <w:tc>
          <w:tcPr>
            <w:tcW w:w="18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B83552">
        <w:trPr>
          <w:jc w:val="center"/>
        </w:trPr>
        <w:tc>
          <w:tcPr>
            <w:tcW w:w="226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Electrode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6.00</w:t>
            </w:r>
          </w:p>
        </w:tc>
        <w:tc>
          <w:tcPr>
            <w:tcW w:w="18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B83552">
        <w:trPr>
          <w:jc w:val="center"/>
        </w:trPr>
        <w:tc>
          <w:tcPr>
            <w:tcW w:w="226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Limestone</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500.00</w:t>
            </w:r>
          </w:p>
        </w:tc>
        <w:tc>
          <w:tcPr>
            <w:tcW w:w="18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B83552">
        <w:trPr>
          <w:jc w:val="center"/>
        </w:trPr>
        <w:tc>
          <w:tcPr>
            <w:tcW w:w="226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Si-Mn</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700.00</w:t>
            </w:r>
          </w:p>
        </w:tc>
        <w:tc>
          <w:tcPr>
            <w:tcW w:w="18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B83552">
        <w:trPr>
          <w:jc w:val="center"/>
        </w:trPr>
        <w:tc>
          <w:tcPr>
            <w:tcW w:w="226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Electricity</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1400.00</w:t>
            </w:r>
          </w:p>
        </w:tc>
        <w:tc>
          <w:tcPr>
            <w:tcW w:w="18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kWh/t</w:t>
            </w:r>
          </w:p>
        </w:tc>
      </w:tr>
    </w:tbl>
    <w:p w:rsidR="00AE7A4C" w:rsidRPr="0054285D" w:rsidRDefault="00AE7A4C" w:rsidP="00AE7A4C">
      <w:pPr>
        <w:spacing w:line="360" w:lineRule="auto"/>
        <w:rPr>
          <w:rFonts w:ascii="Times New Roman" w:eastAsia="Calibri" w:hAnsi="Times New Roman" w:cs="Times New Roman"/>
        </w:rPr>
      </w:pPr>
    </w:p>
    <w:p w:rsidR="00AE7A4C" w:rsidRPr="0054285D" w:rsidRDefault="00B83552" w:rsidP="002046DE">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The production route was based on silicothermic reduction in an EAF, with the functional output unit set t</w:t>
      </w:r>
      <w:r w:rsidR="002046DE" w:rsidRPr="0054285D">
        <w:rPr>
          <w:rFonts w:ascii="Times New Roman" w:eastAsia="Calibri" w:hAnsi="Times New Roman" w:cs="Times New Roman"/>
        </w:rPr>
        <w:t xml:space="preserve">o 1000 kg of LC ferromanganese. </w:t>
      </w:r>
      <w:r w:rsidR="00AE7A4C" w:rsidRPr="0054285D">
        <w:rPr>
          <w:rFonts w:ascii="Times New Roman" w:eastAsia="Calibri" w:hAnsi="Times New Roman" w:cs="Times New Roman"/>
        </w:rPr>
        <w:t xml:space="preserve">As shown by </w:t>
      </w:r>
      <w:r w:rsidR="00A6415F" w:rsidRPr="0054285D">
        <w:fldChar w:fldCharType="begin"/>
      </w:r>
      <w:r w:rsidR="00A6415F" w:rsidRPr="0054285D">
        <w:instrText xml:space="preserve"> REF _Ref468620983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70</w:t>
      </w:r>
      <w:r w:rsidR="00A6415F" w:rsidRPr="0054285D">
        <w:fldChar w:fldCharType="end"/>
      </w:r>
      <w:r w:rsidR="00AE7A4C" w:rsidRPr="0054285D">
        <w:rPr>
          <w:rFonts w:ascii="Times New Roman" w:eastAsia="Calibri" w:hAnsi="Times New Roman" w:cs="Times New Roman"/>
        </w:rPr>
        <w:t xml:space="preserve">, LC Fe-Mn (silicothermic) process was created as a single stage process, where the inputs from </w:t>
      </w:r>
      <w:r w:rsidR="00A6415F" w:rsidRPr="0054285D">
        <w:fldChar w:fldCharType="begin"/>
      </w:r>
      <w:r w:rsidR="00A6415F" w:rsidRPr="0054285D">
        <w:instrText xml:space="preserve"> REF _Ref468621037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48</w:t>
      </w:r>
      <w:r w:rsidR="00A6415F" w:rsidRPr="0054285D">
        <w:fldChar w:fldCharType="end"/>
      </w:r>
      <w:r w:rsidR="00AE7A4C" w:rsidRPr="0054285D">
        <w:rPr>
          <w:rFonts w:ascii="Times New Roman" w:eastAsia="Calibri" w:hAnsi="Times New Roman" w:cs="Times New Roman"/>
        </w:rPr>
        <w:t xml:space="preserve"> were inserted and the relevant processes located in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and attached. Amendments were made to include carbon corrections for coke and electrode as well as fixing the source of electricity from Australia. Si-Mn was created (see Si-Mn section) using data from both Haque and Eurometaux, both of which are represented separately by </w:t>
      </w:r>
      <w:r w:rsidR="00A6415F" w:rsidRPr="0054285D">
        <w:fldChar w:fldCharType="begin"/>
      </w:r>
      <w:r w:rsidR="00A6415F" w:rsidRPr="0054285D">
        <w:instrText xml:space="preserve"> REF _Ref468620983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70</w:t>
      </w:r>
      <w:r w:rsidR="00A6415F" w:rsidRPr="0054285D">
        <w:fldChar w:fldCharType="end"/>
      </w:r>
      <w:r w:rsidR="00AE7A4C" w:rsidRPr="0054285D">
        <w:rPr>
          <w:rFonts w:ascii="Times New Roman" w:eastAsia="Calibri" w:hAnsi="Times New Roman" w:cs="Times New Roman"/>
        </w:rPr>
        <w:t xml:space="preserve"> and </w:t>
      </w:r>
      <w:r w:rsidR="00A6415F" w:rsidRPr="0054285D">
        <w:fldChar w:fldCharType="begin"/>
      </w:r>
      <w:r w:rsidR="00A6415F" w:rsidRPr="0054285D">
        <w:instrText xml:space="preserve"> REF _Ref468621010 \h  \* MERGEFORMAT </w:instrText>
      </w:r>
      <w:r w:rsidR="00A6415F" w:rsidRPr="0054285D">
        <w:fldChar w:fldCharType="separate"/>
      </w:r>
      <w:r w:rsidR="009F5483" w:rsidRPr="0054285D">
        <w:rPr>
          <w:rFonts w:ascii="Times New Roman" w:hAnsi="Times New Roman" w:cs="Times New Roman"/>
          <w:noProof/>
        </w:rPr>
        <w:t>Figure</w:t>
      </w:r>
      <w:r w:rsidR="009F5483" w:rsidRPr="0054285D">
        <w:rPr>
          <w:rFonts w:ascii="Times New Roman" w:hAnsi="Times New Roman" w:cs="Times New Roman"/>
        </w:rPr>
        <w:t xml:space="preserve"> </w:t>
      </w:r>
      <w:r w:rsidR="009F5483">
        <w:rPr>
          <w:rFonts w:ascii="Times New Roman" w:hAnsi="Times New Roman" w:cs="Times New Roman"/>
          <w:noProof/>
        </w:rPr>
        <w:t>71</w:t>
      </w:r>
      <w:r w:rsidR="00A6415F" w:rsidRPr="0054285D">
        <w:fldChar w:fldCharType="end"/>
      </w:r>
      <w:r w:rsidR="00AE7A4C" w:rsidRPr="0054285D">
        <w:rPr>
          <w:rFonts w:ascii="Times New Roman" w:eastAsia="Calibri" w:hAnsi="Times New Roman" w:cs="Times New Roman"/>
        </w:rPr>
        <w:t xml:space="preserve">. </w:t>
      </w:r>
    </w:p>
    <w:p w:rsidR="00AE7A4C" w:rsidRPr="0054285D" w:rsidRDefault="003601AA" w:rsidP="00AE7A4C">
      <w:pPr>
        <w:keepNext/>
        <w:spacing w:line="360" w:lineRule="auto"/>
        <w:jc w:val="center"/>
        <w:rPr>
          <w:rFonts w:ascii="Times New Roman" w:eastAsia="Calibri" w:hAnsi="Times New Roman" w:cs="Times New Roman"/>
        </w:rPr>
      </w:pPr>
      <w:r w:rsidRPr="0054285D">
        <w:rPr>
          <w:noProof/>
        </w:rPr>
        <w:lastRenderedPageBreak/>
        <w:drawing>
          <wp:inline distT="0" distB="0" distL="0" distR="0" wp14:anchorId="296E33B5" wp14:editId="03C26CE4">
            <wp:extent cx="4835046" cy="2126568"/>
            <wp:effectExtent l="0" t="0" r="3810" b="762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print"/>
                    <a:srcRect l="31282" t="51960" r="23421" b="12620"/>
                    <a:stretch/>
                  </pic:blipFill>
                  <pic:spPr bwMode="auto">
                    <a:xfrm>
                      <a:off x="0" y="0"/>
                      <a:ext cx="4860118" cy="2137595"/>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250418" w:rsidP="00250418">
      <w:pPr>
        <w:rPr>
          <w:rFonts w:ascii="Times New Roman" w:eastAsia="Calibri" w:hAnsi="Times New Roman" w:cs="Times New Roman"/>
        </w:rPr>
      </w:pPr>
      <w:bookmarkStart w:id="291" w:name="_Ref468620983"/>
      <w:bookmarkStart w:id="292" w:name="_Toc495848403"/>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70</w:t>
      </w:r>
      <w:r w:rsidR="009A0ED7" w:rsidRPr="0054285D">
        <w:rPr>
          <w:rFonts w:ascii="Times New Roman" w:hAnsi="Times New Roman" w:cs="Times New Roman"/>
        </w:rPr>
        <w:fldChar w:fldCharType="end"/>
      </w:r>
      <w:bookmarkEnd w:id="291"/>
      <w:r w:rsidRPr="0054285D">
        <w:rPr>
          <w:rFonts w:ascii="Times New Roman" w:hAnsi="Times New Roman" w:cs="Times New Roman"/>
        </w:rPr>
        <w:t xml:space="preserve">. </w:t>
      </w:r>
      <w:r w:rsidR="00B83552" w:rsidRPr="0054285D">
        <w:rPr>
          <w:rFonts w:ascii="Times New Roman" w:eastAsia="Calibri" w:hAnsi="Times New Roman" w:cs="Times New Roman"/>
        </w:rPr>
        <w:t>LC ferromanganese</w:t>
      </w:r>
      <w:r w:rsidR="00AE7A4C" w:rsidRPr="0054285D">
        <w:rPr>
          <w:rFonts w:ascii="Times New Roman" w:eastAsia="Calibri" w:hAnsi="Times New Roman" w:cs="Times New Roman"/>
        </w:rPr>
        <w:t xml:space="preserve"> model (Si-Mn Haque) from Eurometaux data.</w:t>
      </w:r>
      <w:bookmarkEnd w:id="292"/>
    </w:p>
    <w:p w:rsidR="00AE7A4C" w:rsidRPr="0054285D" w:rsidRDefault="00BE425F" w:rsidP="00D2436E">
      <w:pPr>
        <w:spacing w:line="360" w:lineRule="auto"/>
        <w:jc w:val="center"/>
        <w:rPr>
          <w:rFonts w:ascii="Times New Roman" w:eastAsia="Calibri" w:hAnsi="Times New Roman" w:cs="Times New Roman"/>
        </w:rPr>
      </w:pPr>
      <w:r w:rsidRPr="0054285D">
        <w:rPr>
          <w:noProof/>
        </w:rPr>
        <w:drawing>
          <wp:inline distT="0" distB="0" distL="0" distR="0">
            <wp:extent cx="5060515" cy="2297294"/>
            <wp:effectExtent l="0" t="0" r="6985" b="825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srcRect l="32172" t="52194" r="25080" b="13306"/>
                    <a:stretch/>
                  </pic:blipFill>
                  <pic:spPr bwMode="auto">
                    <a:xfrm>
                      <a:off x="0" y="0"/>
                      <a:ext cx="5095569" cy="2313207"/>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250418" w:rsidP="00BE425F">
      <w:pPr>
        <w:spacing w:line="360" w:lineRule="auto"/>
        <w:rPr>
          <w:rFonts w:ascii="Times New Roman" w:eastAsia="Calibri" w:hAnsi="Times New Roman" w:cs="Times New Roman"/>
        </w:rPr>
      </w:pPr>
      <w:bookmarkStart w:id="293" w:name="_Ref468621010"/>
      <w:bookmarkStart w:id="294" w:name="_Toc495848404"/>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71</w:t>
      </w:r>
      <w:r w:rsidR="009A0ED7" w:rsidRPr="0054285D">
        <w:rPr>
          <w:rFonts w:ascii="Times New Roman" w:hAnsi="Times New Roman" w:cs="Times New Roman"/>
        </w:rPr>
        <w:fldChar w:fldCharType="end"/>
      </w:r>
      <w:bookmarkEnd w:id="293"/>
      <w:r w:rsidRPr="0054285D">
        <w:rPr>
          <w:rFonts w:ascii="Times New Roman" w:hAnsi="Times New Roman" w:cs="Times New Roman"/>
        </w:rPr>
        <w:t xml:space="preserve">. </w:t>
      </w:r>
      <w:r w:rsidR="00B83552" w:rsidRPr="0054285D">
        <w:rPr>
          <w:rFonts w:ascii="Times New Roman" w:eastAsia="Calibri" w:hAnsi="Times New Roman" w:cs="Times New Roman"/>
        </w:rPr>
        <w:t>LC ferromanganese</w:t>
      </w:r>
      <w:r w:rsidR="00AE7A4C" w:rsidRPr="0054285D">
        <w:rPr>
          <w:rFonts w:ascii="Times New Roman" w:eastAsia="Calibri" w:hAnsi="Times New Roman" w:cs="Times New Roman"/>
        </w:rPr>
        <w:t xml:space="preserve"> production (Si-Mn Eurometaux) from Eurometaux data.</w:t>
      </w:r>
      <w:bookmarkEnd w:id="294"/>
    </w:p>
    <w:p w:rsidR="002046DE" w:rsidRPr="0054285D" w:rsidRDefault="00AE7A4C" w:rsidP="002046DE">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Following on from modelling using Eurometaux data, alternative literature source </w:t>
      </w:r>
      <w:r w:rsidR="002046DE" w:rsidRPr="0054285D">
        <w:rPr>
          <w:rFonts w:ascii="Times New Roman" w:eastAsia="Calibri" w:hAnsi="Times New Roman" w:cs="Times New Roman"/>
          <w:noProof/>
        </w:rPr>
        <w:t>(Gasik.M 2013)</w:t>
      </w:r>
      <w:r w:rsidR="002046DE" w:rsidRPr="0054285D">
        <w:rPr>
          <w:rFonts w:ascii="Times New Roman" w:eastAsia="Calibri" w:hAnsi="Times New Roman" w:cs="Times New Roman"/>
        </w:rPr>
        <w:t xml:space="preserve"> was resorted</w:t>
      </w:r>
      <w:r w:rsidRPr="0054285D">
        <w:rPr>
          <w:rFonts w:ascii="Times New Roman" w:eastAsia="Calibri" w:hAnsi="Times New Roman" w:cs="Times New Roman"/>
        </w:rPr>
        <w:t xml:space="preserve"> to investigate and model</w:t>
      </w:r>
      <w:r w:rsidR="0054285D">
        <w:rPr>
          <w:rFonts w:ascii="Times New Roman" w:eastAsia="Calibri" w:hAnsi="Times New Roman" w:cs="Times New Roman"/>
        </w:rPr>
        <w:t xml:space="preserve"> alternative routes for </w:t>
      </w:r>
      <w:r w:rsidR="002046DE" w:rsidRPr="0054285D">
        <w:rPr>
          <w:rFonts w:ascii="Times New Roman" w:eastAsia="Calibri" w:hAnsi="Times New Roman" w:cs="Times New Roman"/>
        </w:rPr>
        <w:t>HC ferromanganese</w:t>
      </w:r>
      <w:r w:rsidRPr="0054285D">
        <w:rPr>
          <w:rFonts w:ascii="Times New Roman" w:eastAsia="Calibri" w:hAnsi="Times New Roman" w:cs="Times New Roman"/>
        </w:rPr>
        <w:t>. T</w:t>
      </w:r>
      <w:r w:rsidR="002046DE" w:rsidRPr="0054285D">
        <w:rPr>
          <w:rFonts w:ascii="Times New Roman" w:eastAsia="Calibri" w:hAnsi="Times New Roman" w:cs="Times New Roman"/>
        </w:rPr>
        <w:t xml:space="preserve">wo of these alternatives routes involved using the Discard and Duplex methods, both of which are displayed in </w:t>
      </w:r>
      <w:r w:rsidR="00A6415F" w:rsidRPr="0054285D">
        <w:fldChar w:fldCharType="begin"/>
      </w:r>
      <w:r w:rsidR="00A6415F" w:rsidRPr="0054285D">
        <w:instrText xml:space="preserve"> REF _Ref468621136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49</w:t>
      </w:r>
      <w:r w:rsidR="00A6415F" w:rsidRPr="0054285D">
        <w:fldChar w:fldCharType="end"/>
      </w:r>
      <w:r w:rsidR="002046DE" w:rsidRPr="0054285D">
        <w:rPr>
          <w:rFonts w:ascii="Times New Roman" w:eastAsia="Calibri" w:hAnsi="Times New Roman" w:cs="Times New Roman"/>
        </w:rPr>
        <w:t xml:space="preserve"> and </w:t>
      </w:r>
      <w:r w:rsidR="00A6415F" w:rsidRPr="0054285D">
        <w:fldChar w:fldCharType="begin"/>
      </w:r>
      <w:r w:rsidR="00A6415F" w:rsidRPr="0054285D">
        <w:instrText xml:space="preserve"> REF _Ref468621147 \h  \* MERGEFORMAT </w:instrText>
      </w:r>
      <w:r w:rsidR="00A6415F" w:rsidRPr="0054285D">
        <w:fldChar w:fldCharType="separate"/>
      </w:r>
      <w:r w:rsidR="009F5483" w:rsidRPr="0054285D">
        <w:rPr>
          <w:rFonts w:ascii="Times New Roman" w:hAnsi="Times New Roman" w:cs="Times New Roman"/>
          <w:noProof/>
        </w:rPr>
        <w:t>Table</w:t>
      </w:r>
      <w:r w:rsidR="009F5483" w:rsidRPr="0054285D">
        <w:rPr>
          <w:rFonts w:ascii="Times New Roman" w:hAnsi="Times New Roman" w:cs="Times New Roman"/>
        </w:rPr>
        <w:t xml:space="preserve"> </w:t>
      </w:r>
      <w:r w:rsidR="009F5483">
        <w:rPr>
          <w:rFonts w:ascii="Times New Roman" w:hAnsi="Times New Roman" w:cs="Times New Roman"/>
          <w:noProof/>
        </w:rPr>
        <w:t>50</w:t>
      </w:r>
      <w:r w:rsidR="00A6415F" w:rsidRPr="0054285D">
        <w:fldChar w:fldCharType="end"/>
      </w:r>
      <w:r w:rsidR="002046DE" w:rsidRPr="0054285D">
        <w:rPr>
          <w:rFonts w:ascii="Times New Roman" w:eastAsia="Calibri" w:hAnsi="Times New Roman" w:cs="Times New Roman"/>
        </w:rPr>
        <w:t xml:space="preserve"> with a list of the input data required to model.</w:t>
      </w:r>
    </w:p>
    <w:p w:rsidR="002046DE" w:rsidRPr="0054285D" w:rsidRDefault="002046DE" w:rsidP="002046DE">
      <w:pPr>
        <w:spacing w:after="0" w:line="360" w:lineRule="auto"/>
        <w:jc w:val="both"/>
        <w:rPr>
          <w:rFonts w:ascii="Times New Roman" w:eastAsia="Calibri" w:hAnsi="Times New Roman" w:cs="Times New Roman"/>
        </w:rPr>
      </w:pPr>
    </w:p>
    <w:p w:rsidR="00AE7A4C" w:rsidRPr="0054285D" w:rsidRDefault="00250418" w:rsidP="00250418">
      <w:pPr>
        <w:rPr>
          <w:rFonts w:ascii="Times New Roman" w:eastAsia="Calibri" w:hAnsi="Times New Roman" w:cs="Times New Roman"/>
        </w:rPr>
      </w:pPr>
      <w:bookmarkStart w:id="295" w:name="_Ref468621136"/>
      <w:bookmarkStart w:id="296" w:name="_Toc474486556"/>
      <w:bookmarkStart w:id="297" w:name="_Toc495852727"/>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49</w:t>
      </w:r>
      <w:r w:rsidR="009A0ED7" w:rsidRPr="0054285D">
        <w:rPr>
          <w:rFonts w:ascii="Times New Roman" w:hAnsi="Times New Roman" w:cs="Times New Roman"/>
        </w:rPr>
        <w:fldChar w:fldCharType="end"/>
      </w:r>
      <w:bookmarkEnd w:id="295"/>
      <w:r w:rsidRPr="0054285D">
        <w:rPr>
          <w:rFonts w:ascii="Times New Roman" w:hAnsi="Times New Roman" w:cs="Times New Roman"/>
        </w:rPr>
        <w:t xml:space="preserve">. </w:t>
      </w:r>
      <w:r w:rsidR="002046DE" w:rsidRPr="0054285D">
        <w:rPr>
          <w:rFonts w:ascii="Times New Roman" w:eastAsia="Calibri" w:hAnsi="Times New Roman" w:cs="Times New Roman"/>
        </w:rPr>
        <w:t xml:space="preserve">Inventory data for HC ferromanganese (Discard Method) </w:t>
      </w:r>
      <w:r w:rsidR="002046DE" w:rsidRPr="0054285D">
        <w:rPr>
          <w:rFonts w:ascii="Times New Roman" w:eastAsia="Calibri" w:hAnsi="Times New Roman" w:cs="Times New Roman"/>
          <w:noProof/>
        </w:rPr>
        <w:t>(Gasik.M 2013)</w:t>
      </w:r>
      <w:r w:rsidR="002046DE" w:rsidRPr="0054285D">
        <w:rPr>
          <w:rFonts w:ascii="Times New Roman" w:eastAsia="Calibri" w:hAnsi="Times New Roman" w:cs="Times New Roman"/>
        </w:rPr>
        <w:t>.</w:t>
      </w:r>
      <w:bookmarkEnd w:id="296"/>
      <w:bookmarkEnd w:id="297"/>
    </w:p>
    <w:tbl>
      <w:tblPr>
        <w:tblW w:w="0" w:type="auto"/>
        <w:jc w:val="center"/>
        <w:tblCellMar>
          <w:left w:w="10" w:type="dxa"/>
          <w:right w:w="10" w:type="dxa"/>
        </w:tblCellMar>
        <w:tblLook w:val="04A0" w:firstRow="1" w:lastRow="0" w:firstColumn="1" w:lastColumn="0" w:noHBand="0" w:noVBand="1"/>
      </w:tblPr>
      <w:tblGrid>
        <w:gridCol w:w="2405"/>
        <w:gridCol w:w="1078"/>
        <w:gridCol w:w="1619"/>
      </w:tblGrid>
      <w:tr w:rsidR="000F39EA" w:rsidRPr="0054285D" w:rsidTr="002046DE">
        <w:trPr>
          <w:jc w:val="center"/>
        </w:trPr>
        <w:tc>
          <w:tcPr>
            <w:tcW w:w="2405" w:type="dxa"/>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Input </w:t>
            </w:r>
          </w:p>
        </w:tc>
        <w:tc>
          <w:tcPr>
            <w:tcW w:w="1078" w:type="dxa"/>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Inventory</w:t>
            </w:r>
          </w:p>
        </w:tc>
        <w:tc>
          <w:tcPr>
            <w:tcW w:w="1619" w:type="dxa"/>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Units</w:t>
            </w:r>
          </w:p>
        </w:tc>
      </w:tr>
      <w:tr w:rsidR="000F39EA" w:rsidRPr="0054285D" w:rsidTr="002046DE">
        <w:trPr>
          <w:jc w:val="center"/>
        </w:trPr>
        <w:tc>
          <w:tcPr>
            <w:tcW w:w="2405"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Mn Ore </w:t>
            </w:r>
          </w:p>
        </w:tc>
        <w:tc>
          <w:tcPr>
            <w:tcW w:w="1078"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1950.00</w:t>
            </w:r>
          </w:p>
        </w:tc>
        <w:tc>
          <w:tcPr>
            <w:tcW w:w="1619"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2046DE">
        <w:trPr>
          <w:jc w:val="center"/>
        </w:trPr>
        <w:tc>
          <w:tcPr>
            <w:tcW w:w="2405"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Coke Mix</w:t>
            </w:r>
          </w:p>
        </w:tc>
        <w:tc>
          <w:tcPr>
            <w:tcW w:w="1078"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550.00</w:t>
            </w:r>
          </w:p>
        </w:tc>
        <w:tc>
          <w:tcPr>
            <w:tcW w:w="1619"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2046DE">
        <w:trPr>
          <w:jc w:val="center"/>
        </w:trPr>
        <w:tc>
          <w:tcPr>
            <w:tcW w:w="2405"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Electrode Mix</w:t>
            </w:r>
          </w:p>
        </w:tc>
        <w:tc>
          <w:tcPr>
            <w:tcW w:w="1078"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10.00</w:t>
            </w:r>
          </w:p>
        </w:tc>
        <w:tc>
          <w:tcPr>
            <w:tcW w:w="1619"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2046DE">
        <w:trPr>
          <w:jc w:val="center"/>
        </w:trPr>
        <w:tc>
          <w:tcPr>
            <w:tcW w:w="2405"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Electricity Grid Mix</w:t>
            </w:r>
          </w:p>
        </w:tc>
        <w:tc>
          <w:tcPr>
            <w:tcW w:w="1078"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3306.00</w:t>
            </w:r>
          </w:p>
        </w:tc>
        <w:tc>
          <w:tcPr>
            <w:tcW w:w="1619" w:type="dxa"/>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kWh/t</w:t>
            </w:r>
          </w:p>
        </w:tc>
      </w:tr>
      <w:tr w:rsidR="000F39EA" w:rsidRPr="0054285D" w:rsidTr="002046DE">
        <w:trPr>
          <w:jc w:val="center"/>
        </w:trPr>
        <w:tc>
          <w:tcPr>
            <w:tcW w:w="2405"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Iron Ore </w:t>
            </w:r>
          </w:p>
        </w:tc>
        <w:tc>
          <w:tcPr>
            <w:tcW w:w="1078"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110.00</w:t>
            </w:r>
          </w:p>
        </w:tc>
        <w:tc>
          <w:tcPr>
            <w:tcW w:w="1619"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2046DE">
        <w:trPr>
          <w:jc w:val="center"/>
        </w:trPr>
        <w:tc>
          <w:tcPr>
            <w:tcW w:w="2405"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Limestone</w:t>
            </w:r>
          </w:p>
        </w:tc>
        <w:tc>
          <w:tcPr>
            <w:tcW w:w="1078"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700.00</w:t>
            </w:r>
          </w:p>
        </w:tc>
        <w:tc>
          <w:tcPr>
            <w:tcW w:w="1619" w:type="dxa"/>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bl>
    <w:p w:rsidR="00AE7A4C" w:rsidRPr="0054285D" w:rsidRDefault="00AE7A4C" w:rsidP="00AE7A4C">
      <w:pPr>
        <w:spacing w:line="360" w:lineRule="auto"/>
        <w:rPr>
          <w:rFonts w:ascii="Times New Roman" w:eastAsia="Calibri" w:hAnsi="Times New Roman" w:cs="Times New Roman"/>
        </w:rPr>
      </w:pPr>
    </w:p>
    <w:p w:rsidR="00AE7A4C" w:rsidRPr="0054285D" w:rsidRDefault="00250418" w:rsidP="00250418">
      <w:pPr>
        <w:rPr>
          <w:rFonts w:ascii="Times New Roman" w:eastAsia="Calibri" w:hAnsi="Times New Roman" w:cs="Times New Roman"/>
        </w:rPr>
      </w:pPr>
      <w:bookmarkStart w:id="298" w:name="_Ref468621147"/>
      <w:bookmarkStart w:id="299" w:name="_Toc474486557"/>
      <w:bookmarkStart w:id="300" w:name="_Toc495852728"/>
      <w:r w:rsidRPr="0054285D">
        <w:rPr>
          <w:rFonts w:ascii="Times New Roman" w:hAnsi="Times New Roman" w:cs="Times New Roman"/>
        </w:rPr>
        <w:lastRenderedPageBreak/>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50</w:t>
      </w:r>
      <w:r w:rsidR="009A0ED7" w:rsidRPr="0054285D">
        <w:rPr>
          <w:rFonts w:ascii="Times New Roman" w:hAnsi="Times New Roman" w:cs="Times New Roman"/>
        </w:rPr>
        <w:fldChar w:fldCharType="end"/>
      </w:r>
      <w:bookmarkEnd w:id="298"/>
      <w:r w:rsidRPr="0054285D">
        <w:rPr>
          <w:rFonts w:ascii="Times New Roman" w:hAnsi="Times New Roman" w:cs="Times New Roman"/>
        </w:rPr>
        <w:t xml:space="preserve">. </w:t>
      </w:r>
      <w:r w:rsidR="00AE7A4C" w:rsidRPr="0054285D">
        <w:rPr>
          <w:rFonts w:ascii="Times New Roman" w:eastAsia="Calibri" w:hAnsi="Times New Roman" w:cs="Times New Roman"/>
        </w:rPr>
        <w:t>Inventory data</w:t>
      </w:r>
      <w:r w:rsidR="002046DE" w:rsidRPr="0054285D">
        <w:rPr>
          <w:rFonts w:ascii="Times New Roman" w:eastAsia="Calibri" w:hAnsi="Times New Roman" w:cs="Times New Roman"/>
        </w:rPr>
        <w:t xml:space="preserve"> for HC Fe-Mn (Duplex Method) </w:t>
      </w:r>
      <w:r w:rsidR="002046DE" w:rsidRPr="0054285D">
        <w:rPr>
          <w:rFonts w:ascii="Times New Roman" w:eastAsia="Calibri" w:hAnsi="Times New Roman" w:cs="Times New Roman"/>
          <w:noProof/>
        </w:rPr>
        <w:t>(Gasik.M 2013)</w:t>
      </w:r>
      <w:r w:rsidR="002046DE" w:rsidRPr="0054285D">
        <w:rPr>
          <w:rFonts w:ascii="Times New Roman" w:eastAsia="Calibri" w:hAnsi="Times New Roman" w:cs="Times New Roman"/>
        </w:rPr>
        <w:t>.</w:t>
      </w:r>
      <w:bookmarkEnd w:id="299"/>
      <w:bookmarkEnd w:id="30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405"/>
        <w:gridCol w:w="1078"/>
        <w:gridCol w:w="1820"/>
      </w:tblGrid>
      <w:tr w:rsidR="000F39EA" w:rsidRPr="0054285D" w:rsidTr="002046DE">
        <w:trPr>
          <w:jc w:val="center"/>
        </w:trPr>
        <w:tc>
          <w:tcPr>
            <w:tcW w:w="2405"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Input </w:t>
            </w:r>
          </w:p>
        </w:tc>
        <w:tc>
          <w:tcPr>
            <w:tcW w:w="1078"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Inventory</w:t>
            </w:r>
          </w:p>
        </w:tc>
        <w:tc>
          <w:tcPr>
            <w:tcW w:w="18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Units</w:t>
            </w:r>
          </w:p>
        </w:tc>
      </w:tr>
      <w:tr w:rsidR="000F39EA" w:rsidRPr="0054285D" w:rsidTr="002046DE">
        <w:trPr>
          <w:jc w:val="center"/>
        </w:trPr>
        <w:tc>
          <w:tcPr>
            <w:tcW w:w="2405" w:type="dxa"/>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Mn Ore </w:t>
            </w:r>
          </w:p>
        </w:tc>
        <w:tc>
          <w:tcPr>
            <w:tcW w:w="1078" w:type="dxa"/>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2750.00</w:t>
            </w:r>
          </w:p>
        </w:tc>
        <w:tc>
          <w:tcPr>
            <w:tcW w:w="1820" w:type="dxa"/>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2046DE">
        <w:trPr>
          <w:jc w:val="center"/>
        </w:trPr>
        <w:tc>
          <w:tcPr>
            <w:tcW w:w="2405" w:type="dxa"/>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Coke Mix</w:t>
            </w:r>
          </w:p>
        </w:tc>
        <w:tc>
          <w:tcPr>
            <w:tcW w:w="1078" w:type="dxa"/>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350.00</w:t>
            </w:r>
          </w:p>
        </w:tc>
        <w:tc>
          <w:tcPr>
            <w:tcW w:w="1820" w:type="dxa"/>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2046DE">
        <w:trPr>
          <w:jc w:val="center"/>
        </w:trPr>
        <w:tc>
          <w:tcPr>
            <w:tcW w:w="2405" w:type="dxa"/>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Electrode Mix</w:t>
            </w:r>
          </w:p>
        </w:tc>
        <w:tc>
          <w:tcPr>
            <w:tcW w:w="1078" w:type="dxa"/>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12.00</w:t>
            </w:r>
          </w:p>
        </w:tc>
        <w:tc>
          <w:tcPr>
            <w:tcW w:w="1820" w:type="dxa"/>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r w:rsidR="000F39EA" w:rsidRPr="0054285D" w:rsidTr="002046DE">
        <w:trPr>
          <w:jc w:val="center"/>
        </w:trPr>
        <w:tc>
          <w:tcPr>
            <w:tcW w:w="2405" w:type="dxa"/>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Electricity Grid Mix</w:t>
            </w:r>
          </w:p>
        </w:tc>
        <w:tc>
          <w:tcPr>
            <w:tcW w:w="1078" w:type="dxa"/>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2200.00</w:t>
            </w:r>
          </w:p>
        </w:tc>
        <w:tc>
          <w:tcPr>
            <w:tcW w:w="1820" w:type="dxa"/>
            <w:shd w:val="clear" w:color="auto" w:fill="auto"/>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kWh/t</w:t>
            </w:r>
          </w:p>
        </w:tc>
      </w:tr>
      <w:tr w:rsidR="000F39EA" w:rsidRPr="0054285D" w:rsidTr="002046DE">
        <w:trPr>
          <w:jc w:val="center"/>
        </w:trPr>
        <w:tc>
          <w:tcPr>
            <w:tcW w:w="2405" w:type="dxa"/>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 xml:space="preserve">Iron Ore </w:t>
            </w:r>
          </w:p>
        </w:tc>
        <w:tc>
          <w:tcPr>
            <w:tcW w:w="1078" w:type="dxa"/>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85.00</w:t>
            </w:r>
          </w:p>
        </w:tc>
        <w:tc>
          <w:tcPr>
            <w:tcW w:w="1820" w:type="dxa"/>
            <w:shd w:val="clear" w:color="000000" w:fill="FFFFFF"/>
            <w:tcMar>
              <w:left w:w="108" w:type="dxa"/>
              <w:right w:w="108" w:type="dxa"/>
            </w:tcMar>
            <w:vAlign w:val="bottom"/>
          </w:tcPr>
          <w:p w:rsidR="00AE7A4C" w:rsidRPr="0054285D" w:rsidRDefault="00AE7A4C" w:rsidP="00363217">
            <w:pPr>
              <w:spacing w:after="0" w:line="360" w:lineRule="auto"/>
              <w:jc w:val="center"/>
              <w:rPr>
                <w:rFonts w:ascii="Times New Roman" w:eastAsia="Calibri" w:hAnsi="Times New Roman" w:cs="Times New Roman"/>
              </w:rPr>
            </w:pPr>
            <w:r w:rsidRPr="0054285D">
              <w:rPr>
                <w:rFonts w:ascii="Times New Roman" w:eastAsia="Calibri" w:hAnsi="Times New Roman" w:cs="Times New Roman"/>
              </w:rPr>
              <w:t>kg/t</w:t>
            </w:r>
          </w:p>
        </w:tc>
      </w:tr>
    </w:tbl>
    <w:p w:rsidR="00AE7A4C" w:rsidRPr="0054285D" w:rsidRDefault="00AE7A4C" w:rsidP="00AE7A4C">
      <w:pPr>
        <w:spacing w:line="360" w:lineRule="auto"/>
        <w:jc w:val="both"/>
        <w:rPr>
          <w:rFonts w:ascii="Times New Roman" w:eastAsia="Calibri" w:hAnsi="Times New Roman" w:cs="Times New Roman"/>
        </w:rPr>
      </w:pPr>
    </w:p>
    <w:p w:rsidR="00AE7A4C" w:rsidRDefault="00AE7A4C" w:rsidP="00BE425F">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In terms of modelling, </w:t>
      </w:r>
      <w:r w:rsidR="00A6415F" w:rsidRPr="0054285D">
        <w:fldChar w:fldCharType="begin"/>
      </w:r>
      <w:r w:rsidR="00A6415F" w:rsidRPr="0054285D">
        <w:instrText xml:space="preserve"> REF _Ref468621104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72</w:t>
      </w:r>
      <w:r w:rsidR="00A6415F" w:rsidRPr="0054285D">
        <w:fldChar w:fldCharType="end"/>
      </w:r>
      <w:r w:rsidRPr="0054285D">
        <w:rPr>
          <w:rFonts w:ascii="Times New Roman" w:eastAsia="Calibri" w:hAnsi="Times New Roman" w:cs="Times New Roman"/>
        </w:rPr>
        <w:t xml:space="preserve"> and </w:t>
      </w:r>
      <w:r w:rsidR="00A6415F" w:rsidRPr="0054285D">
        <w:fldChar w:fldCharType="begin"/>
      </w:r>
      <w:r w:rsidR="00A6415F" w:rsidRPr="0054285D">
        <w:instrText xml:space="preserve"> REF _Ref468621115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73</w:t>
      </w:r>
      <w:r w:rsidR="00A6415F" w:rsidRPr="0054285D">
        <w:fldChar w:fldCharType="end"/>
      </w:r>
      <w:r w:rsidRPr="0054285D">
        <w:rPr>
          <w:rFonts w:ascii="Times New Roman" w:eastAsia="Calibri" w:hAnsi="Times New Roman" w:cs="Times New Roman"/>
        </w:rPr>
        <w:t xml:space="preserve"> show how the models were constructed from </w:t>
      </w:r>
      <w:r w:rsidR="00A6415F" w:rsidRPr="0054285D">
        <w:fldChar w:fldCharType="begin"/>
      </w:r>
      <w:r w:rsidR="00A6415F" w:rsidRPr="0054285D">
        <w:instrText xml:space="preserve"> REF _Ref468621136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49</w:t>
      </w:r>
      <w:r w:rsidR="00A6415F" w:rsidRPr="0054285D">
        <w:fldChar w:fldCharType="end"/>
      </w:r>
      <w:r w:rsidRPr="0054285D">
        <w:rPr>
          <w:rFonts w:ascii="Times New Roman" w:eastAsia="Calibri" w:hAnsi="Times New Roman" w:cs="Times New Roman"/>
        </w:rPr>
        <w:t xml:space="preserve"> and </w:t>
      </w:r>
      <w:r w:rsidR="00A6415F" w:rsidRPr="0054285D">
        <w:fldChar w:fldCharType="begin"/>
      </w:r>
      <w:r w:rsidR="00A6415F" w:rsidRPr="0054285D">
        <w:instrText xml:space="preserve"> REF _Ref468621147 \h  \* MERGEFORMAT </w:instrText>
      </w:r>
      <w:r w:rsidR="00A6415F" w:rsidRPr="0054285D">
        <w:fldChar w:fldCharType="separate"/>
      </w:r>
      <w:r w:rsidR="009F5483" w:rsidRPr="0054285D">
        <w:rPr>
          <w:rFonts w:ascii="Times New Roman" w:hAnsi="Times New Roman" w:cs="Times New Roman"/>
          <w:noProof/>
        </w:rPr>
        <w:t>Table</w:t>
      </w:r>
      <w:r w:rsidR="009F5483" w:rsidRPr="0054285D">
        <w:rPr>
          <w:rFonts w:ascii="Times New Roman" w:hAnsi="Times New Roman" w:cs="Times New Roman"/>
        </w:rPr>
        <w:t xml:space="preserve"> </w:t>
      </w:r>
      <w:r w:rsidR="009F5483">
        <w:rPr>
          <w:rFonts w:ascii="Times New Roman" w:hAnsi="Times New Roman" w:cs="Times New Roman"/>
          <w:noProof/>
        </w:rPr>
        <w:t>50</w:t>
      </w:r>
      <w:r w:rsidR="00A6415F" w:rsidRPr="0054285D">
        <w:fldChar w:fldCharType="end"/>
      </w:r>
      <w:r w:rsidRPr="0054285D">
        <w:rPr>
          <w:rFonts w:ascii="Times New Roman" w:eastAsia="Calibri" w:hAnsi="Times New Roman" w:cs="Times New Roman"/>
        </w:rPr>
        <w:t xml:space="preserve">. A main process was created and the inputs inserted into it and the associated processes attached from </w:t>
      </w:r>
      <w:r w:rsidR="004D2D91" w:rsidRPr="0054285D">
        <w:rPr>
          <w:rFonts w:ascii="Times New Roman" w:eastAsia="Calibri" w:hAnsi="Times New Roman" w:cs="Times New Roman"/>
        </w:rPr>
        <w:t>GaBi</w:t>
      </w:r>
      <w:r w:rsidRPr="0054285D">
        <w:rPr>
          <w:rFonts w:ascii="Times New Roman" w:eastAsia="Calibri" w:hAnsi="Times New Roman" w:cs="Times New Roman"/>
        </w:rPr>
        <w:t xml:space="preserve"> databases. For both models the original data for Gasik did not specify a country so Australia was selected as source of electricity. In addition, carbon corrections were made for inputs coke and electrode, again for both models. The com</w:t>
      </w:r>
      <w:r w:rsidR="009E59DB" w:rsidRPr="0054285D">
        <w:rPr>
          <w:rFonts w:ascii="Times New Roman" w:eastAsia="Calibri" w:hAnsi="Times New Roman" w:cs="Times New Roman"/>
        </w:rPr>
        <w:t>pleted models can be seen below:</w:t>
      </w:r>
    </w:p>
    <w:p w:rsidR="003601AA" w:rsidRPr="0054285D" w:rsidRDefault="003601AA" w:rsidP="00BE425F">
      <w:pPr>
        <w:spacing w:after="0" w:line="360" w:lineRule="auto"/>
        <w:ind w:firstLine="720"/>
        <w:jc w:val="both"/>
        <w:rPr>
          <w:rFonts w:ascii="Times New Roman" w:eastAsia="Calibri" w:hAnsi="Times New Roman" w:cs="Times New Roman"/>
        </w:rPr>
      </w:pPr>
    </w:p>
    <w:p w:rsidR="00AE7A4C" w:rsidRPr="0054285D" w:rsidRDefault="003601AA" w:rsidP="00D2436E">
      <w:pPr>
        <w:spacing w:line="360" w:lineRule="auto"/>
        <w:jc w:val="center"/>
        <w:rPr>
          <w:rFonts w:ascii="Times New Roman" w:eastAsia="Calibri" w:hAnsi="Times New Roman" w:cs="Times New Roman"/>
        </w:rPr>
      </w:pPr>
      <w:r w:rsidRPr="0054285D">
        <w:rPr>
          <w:noProof/>
        </w:rPr>
        <w:drawing>
          <wp:inline distT="0" distB="0" distL="0" distR="0" wp14:anchorId="1752193E" wp14:editId="439F30BF">
            <wp:extent cx="5574182" cy="2667397"/>
            <wp:effectExtent l="0" t="0" r="762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print"/>
                    <a:srcRect l="35232" t="48570" r="19974" b="13323"/>
                    <a:stretch/>
                  </pic:blipFill>
                  <pic:spPr bwMode="auto">
                    <a:xfrm>
                      <a:off x="0" y="0"/>
                      <a:ext cx="5598999" cy="2679273"/>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250418" w:rsidP="00250418">
      <w:pPr>
        <w:rPr>
          <w:rFonts w:ascii="Times New Roman" w:eastAsia="Calibri" w:hAnsi="Times New Roman" w:cs="Times New Roman"/>
        </w:rPr>
      </w:pPr>
      <w:bookmarkStart w:id="301" w:name="_Ref468621104"/>
      <w:bookmarkStart w:id="302" w:name="_Toc495848405"/>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72</w:t>
      </w:r>
      <w:r w:rsidR="009A0ED7" w:rsidRPr="0054285D">
        <w:rPr>
          <w:rFonts w:ascii="Times New Roman" w:hAnsi="Times New Roman" w:cs="Times New Roman"/>
        </w:rPr>
        <w:fldChar w:fldCharType="end"/>
      </w:r>
      <w:bookmarkEnd w:id="301"/>
      <w:r w:rsidR="003874CB" w:rsidRPr="0054285D">
        <w:rPr>
          <w:rFonts w:ascii="Times New Roman" w:hAnsi="Times New Roman" w:cs="Times New Roman"/>
        </w:rPr>
        <w:t>.</w:t>
      </w:r>
      <w:r w:rsidRPr="0054285D">
        <w:rPr>
          <w:rFonts w:ascii="Times New Roman" w:hAnsi="Times New Roman" w:cs="Times New Roman"/>
        </w:rPr>
        <w:t xml:space="preserve"> </w:t>
      </w:r>
      <w:r w:rsidR="009E59DB" w:rsidRPr="0054285D">
        <w:rPr>
          <w:rFonts w:ascii="Times New Roman" w:eastAsia="Calibri" w:hAnsi="Times New Roman" w:cs="Times New Roman"/>
        </w:rPr>
        <w:t>HC ferromanganese</w:t>
      </w:r>
      <w:r w:rsidR="00AE7A4C" w:rsidRPr="0054285D">
        <w:rPr>
          <w:rFonts w:ascii="Times New Roman" w:eastAsia="Calibri" w:hAnsi="Times New Roman" w:cs="Times New Roman"/>
        </w:rPr>
        <w:t xml:space="preserve"> production (Discard Method) from data source Gasik.</w:t>
      </w:r>
      <w:bookmarkEnd w:id="302"/>
    </w:p>
    <w:p w:rsidR="00AE7A4C" w:rsidRPr="0054285D" w:rsidRDefault="003601AA" w:rsidP="00D2436E">
      <w:pPr>
        <w:jc w:val="center"/>
        <w:rPr>
          <w:rFonts w:ascii="Times New Roman" w:eastAsia="Calibri" w:hAnsi="Times New Roman" w:cs="Times New Roman"/>
        </w:rPr>
      </w:pPr>
      <w:r w:rsidRPr="0054285D">
        <w:rPr>
          <w:noProof/>
        </w:rPr>
        <w:lastRenderedPageBreak/>
        <w:drawing>
          <wp:inline distT="0" distB="0" distL="0" distR="0" wp14:anchorId="54B2E940" wp14:editId="6EAB1B42">
            <wp:extent cx="5731510" cy="2243455"/>
            <wp:effectExtent l="0" t="0" r="2540" b="444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cstate="print"/>
                    <a:srcRect l="31144" t="49256" r="23549" b="19206"/>
                    <a:stretch/>
                  </pic:blipFill>
                  <pic:spPr bwMode="auto">
                    <a:xfrm>
                      <a:off x="0" y="0"/>
                      <a:ext cx="5731510" cy="2243455"/>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250418" w:rsidP="00250418">
      <w:pPr>
        <w:rPr>
          <w:rFonts w:ascii="Times New Roman" w:eastAsia="Calibri" w:hAnsi="Times New Roman" w:cs="Times New Roman"/>
        </w:rPr>
      </w:pPr>
      <w:bookmarkStart w:id="303" w:name="_Ref468621115"/>
      <w:bookmarkStart w:id="304" w:name="_Toc495848406"/>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73</w:t>
      </w:r>
      <w:r w:rsidR="009A0ED7" w:rsidRPr="0054285D">
        <w:rPr>
          <w:rFonts w:ascii="Times New Roman" w:hAnsi="Times New Roman" w:cs="Times New Roman"/>
        </w:rPr>
        <w:fldChar w:fldCharType="end"/>
      </w:r>
      <w:bookmarkEnd w:id="303"/>
      <w:r w:rsidRPr="0054285D">
        <w:rPr>
          <w:rFonts w:ascii="Times New Roman" w:hAnsi="Times New Roman" w:cs="Times New Roman"/>
        </w:rPr>
        <w:t xml:space="preserve">. </w:t>
      </w:r>
      <w:r w:rsidR="009E59DB" w:rsidRPr="0054285D">
        <w:rPr>
          <w:rFonts w:ascii="Times New Roman" w:eastAsia="Calibri" w:hAnsi="Times New Roman" w:cs="Times New Roman"/>
        </w:rPr>
        <w:t>HC ferromanganese</w:t>
      </w:r>
      <w:r w:rsidR="00AE7A4C" w:rsidRPr="0054285D">
        <w:rPr>
          <w:rFonts w:ascii="Times New Roman" w:eastAsia="Calibri" w:hAnsi="Times New Roman" w:cs="Times New Roman"/>
        </w:rPr>
        <w:t xml:space="preserve"> production (Duplex Method) from data source Gasik.</w:t>
      </w:r>
      <w:bookmarkEnd w:id="304"/>
    </w:p>
    <w:p w:rsidR="00AE7A4C" w:rsidRPr="0054285D" w:rsidRDefault="009A0D36" w:rsidP="00BE425F">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HC and LC ferromanganese</w:t>
      </w:r>
      <w:r w:rsidR="00AE7A4C" w:rsidRPr="0054285D">
        <w:rPr>
          <w:rFonts w:ascii="Times New Roman" w:eastAsia="Calibri" w:hAnsi="Times New Roman" w:cs="Times New Roman"/>
        </w:rPr>
        <w:t xml:space="preserve"> processes were also available in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Documentation from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stated the main source for data for Fe-Mn was the South African industry. All relevant background data such as energy and auxiliary material were taken from the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databases keeping consistency. The boundaries of the system from which the data was extracted included mining and the beneficiation of the ore (South African specific and mining and beneficiation are at the same operation site), sinter- and melting process (EAF). The main geographic representativeness of the data was from South Africa and the time representativeness was for the year 2013. In terms of electricity, this was modelled according to the individual country-specific situation, in this case South Africa. The country-specific situation included; individual power plants in service, net losses and imported electricity, national emission and efficiency standards of the power plants and country specific fuel supply. For transport, all relevant and known transport processes used were included in the models.</w:t>
      </w:r>
    </w:p>
    <w:p w:rsidR="00AE7A4C" w:rsidRPr="0054285D" w:rsidRDefault="003601AA" w:rsidP="009A0D36">
      <w:pPr>
        <w:spacing w:line="360" w:lineRule="auto"/>
        <w:jc w:val="center"/>
        <w:rPr>
          <w:rFonts w:ascii="Times New Roman" w:eastAsia="Calibri" w:hAnsi="Times New Roman" w:cs="Times New Roman"/>
        </w:rPr>
      </w:pPr>
      <w:r w:rsidRPr="0054285D">
        <w:rPr>
          <w:noProof/>
        </w:rPr>
        <w:drawing>
          <wp:inline distT="0" distB="0" distL="0" distR="0" wp14:anchorId="55501FE9" wp14:editId="7DE50ED3">
            <wp:extent cx="1892410" cy="3207044"/>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cstate="print"/>
                    <a:srcRect l="24140" t="30348" r="60878" b="24514"/>
                    <a:stretch/>
                  </pic:blipFill>
                  <pic:spPr bwMode="auto">
                    <a:xfrm>
                      <a:off x="0" y="0"/>
                      <a:ext cx="1899572" cy="3219181"/>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250418" w:rsidP="00250418">
      <w:pPr>
        <w:rPr>
          <w:rFonts w:ascii="Times New Roman" w:eastAsia="Calibri" w:hAnsi="Times New Roman" w:cs="Times New Roman"/>
        </w:rPr>
      </w:pPr>
      <w:bookmarkStart w:id="305" w:name="_Toc495848407"/>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74</w:t>
      </w:r>
      <w:r w:rsidR="009A0ED7" w:rsidRPr="0054285D">
        <w:rPr>
          <w:rFonts w:ascii="Times New Roman" w:hAnsi="Times New Roman" w:cs="Times New Roman"/>
        </w:rPr>
        <w:fldChar w:fldCharType="end"/>
      </w:r>
      <w:r w:rsidRPr="0054285D">
        <w:rPr>
          <w:rFonts w:ascii="Times New Roman" w:hAnsi="Times New Roman" w:cs="Times New Roman"/>
        </w:rPr>
        <w:t xml:space="preserve">. </w:t>
      </w:r>
      <w:r w:rsidR="004D2D91" w:rsidRPr="0054285D">
        <w:rPr>
          <w:rFonts w:ascii="Times New Roman" w:eastAsia="Calibri" w:hAnsi="Times New Roman" w:cs="Times New Roman"/>
        </w:rPr>
        <w:t>GaBi</w:t>
      </w:r>
      <w:r w:rsidR="009A0D36" w:rsidRPr="0054285D">
        <w:rPr>
          <w:rFonts w:ascii="Times New Roman" w:eastAsia="Calibri" w:hAnsi="Times New Roman" w:cs="Times New Roman"/>
        </w:rPr>
        <w:t xml:space="preserve"> model of HC ferromanganese (77% Mn, high carbon) </w:t>
      </w:r>
      <w:r w:rsidR="009A0D36" w:rsidRPr="0054285D">
        <w:rPr>
          <w:rFonts w:ascii="Times New Roman" w:eastAsia="Calibri" w:hAnsi="Times New Roman" w:cs="Times New Roman"/>
          <w:noProof/>
        </w:rPr>
        <w:t>(thinkStep 2015)</w:t>
      </w:r>
      <w:bookmarkEnd w:id="305"/>
    </w:p>
    <w:p w:rsidR="00AE7A4C" w:rsidRPr="0054285D" w:rsidRDefault="003601AA" w:rsidP="00AE7A4C">
      <w:pPr>
        <w:spacing w:line="360" w:lineRule="auto"/>
        <w:jc w:val="center"/>
        <w:rPr>
          <w:rFonts w:ascii="Times New Roman" w:eastAsia="Calibri" w:hAnsi="Times New Roman" w:cs="Times New Roman"/>
        </w:rPr>
      </w:pPr>
      <w:r w:rsidRPr="0054285D">
        <w:rPr>
          <w:noProof/>
        </w:rPr>
        <w:lastRenderedPageBreak/>
        <w:drawing>
          <wp:inline distT="0" distB="0" distL="0" distR="0" wp14:anchorId="77E9F4E4" wp14:editId="6564C13E">
            <wp:extent cx="3800723" cy="3127727"/>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srcRect l="17208" t="32067" r="55468" b="27957"/>
                    <a:stretch/>
                  </pic:blipFill>
                  <pic:spPr bwMode="auto">
                    <a:xfrm>
                      <a:off x="0" y="0"/>
                      <a:ext cx="3807370" cy="3133197"/>
                    </a:xfrm>
                    <a:prstGeom prst="rect">
                      <a:avLst/>
                    </a:prstGeom>
                    <a:ln>
                      <a:noFill/>
                    </a:ln>
                    <a:extLst>
                      <a:ext uri="{53640926-AAD7-44D8-BBD7-CCE9431645EC}">
                        <a14:shadowObscured xmlns:a14="http://schemas.microsoft.com/office/drawing/2010/main"/>
                      </a:ext>
                    </a:extLst>
                  </pic:spPr>
                </pic:pic>
              </a:graphicData>
            </a:graphic>
          </wp:inline>
        </w:drawing>
      </w:r>
    </w:p>
    <w:p w:rsidR="00AE7A4C" w:rsidRDefault="00250418" w:rsidP="00250418">
      <w:pPr>
        <w:rPr>
          <w:rFonts w:ascii="Times New Roman" w:eastAsia="Calibri" w:hAnsi="Times New Roman" w:cs="Times New Roman"/>
        </w:rPr>
      </w:pPr>
      <w:bookmarkStart w:id="306" w:name="_Toc495848408"/>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75</w:t>
      </w:r>
      <w:r w:rsidR="009A0ED7" w:rsidRPr="0054285D">
        <w:rPr>
          <w:rFonts w:ascii="Times New Roman" w:hAnsi="Times New Roman" w:cs="Times New Roman"/>
        </w:rPr>
        <w:fldChar w:fldCharType="end"/>
      </w:r>
      <w:r w:rsidRPr="0054285D">
        <w:rPr>
          <w:rFonts w:ascii="Times New Roman" w:hAnsi="Times New Roman" w:cs="Times New Roman"/>
        </w:rPr>
        <w:t xml:space="preserve">. </w:t>
      </w:r>
      <w:r w:rsidR="004D2D91" w:rsidRPr="0054285D">
        <w:rPr>
          <w:rFonts w:ascii="Times New Roman" w:eastAsia="Calibri" w:hAnsi="Times New Roman" w:cs="Times New Roman"/>
        </w:rPr>
        <w:t>GaBi</w:t>
      </w:r>
      <w:r w:rsidR="009A0D36" w:rsidRPr="0054285D">
        <w:rPr>
          <w:rFonts w:ascii="Times New Roman" w:eastAsia="Calibri" w:hAnsi="Times New Roman" w:cs="Times New Roman"/>
        </w:rPr>
        <w:t xml:space="preserve"> model of LC ferromanganese</w:t>
      </w:r>
      <w:r w:rsidR="00AE7A4C" w:rsidRPr="0054285D">
        <w:rPr>
          <w:rFonts w:ascii="Times New Roman" w:eastAsia="Calibri" w:hAnsi="Times New Roman" w:cs="Times New Roman"/>
        </w:rPr>
        <w:t xml:space="preserve"> (90% Mn,</w:t>
      </w:r>
      <w:r w:rsidR="009A0D36" w:rsidRPr="0054285D">
        <w:rPr>
          <w:rFonts w:ascii="Times New Roman" w:eastAsia="Calibri" w:hAnsi="Times New Roman" w:cs="Times New Roman"/>
        </w:rPr>
        <w:t xml:space="preserve"> low carbon) </w:t>
      </w:r>
      <w:r w:rsidR="009A0D36" w:rsidRPr="0054285D">
        <w:rPr>
          <w:rFonts w:ascii="Times New Roman" w:eastAsia="Calibri" w:hAnsi="Times New Roman" w:cs="Times New Roman"/>
          <w:noProof/>
        </w:rPr>
        <w:t>(thinkStep 2015)</w:t>
      </w:r>
      <w:r w:rsidR="009A0D36" w:rsidRPr="0054285D">
        <w:rPr>
          <w:rFonts w:ascii="Times New Roman" w:eastAsia="Calibri" w:hAnsi="Times New Roman" w:cs="Times New Roman"/>
        </w:rPr>
        <w:t>.</w:t>
      </w:r>
      <w:bookmarkEnd w:id="306"/>
    </w:p>
    <w:p w:rsidR="0054285D" w:rsidRDefault="0054285D" w:rsidP="00250418">
      <w:pPr>
        <w:rPr>
          <w:rFonts w:ascii="Times New Roman" w:eastAsia="Calibri" w:hAnsi="Times New Roman" w:cs="Times New Roman"/>
        </w:rPr>
      </w:pPr>
    </w:p>
    <w:p w:rsidR="0054285D" w:rsidRDefault="0054285D" w:rsidP="00250418">
      <w:pPr>
        <w:rPr>
          <w:rFonts w:ascii="Times New Roman" w:eastAsia="Calibri" w:hAnsi="Times New Roman" w:cs="Times New Roman"/>
        </w:rPr>
        <w:sectPr w:rsidR="0054285D" w:rsidSect="00C24042">
          <w:pgSz w:w="11906" w:h="16838"/>
          <w:pgMar w:top="1440" w:right="1440" w:bottom="1440" w:left="1440" w:header="708" w:footer="708" w:gutter="0"/>
          <w:cols w:space="708"/>
          <w:docGrid w:linePitch="360"/>
        </w:sectPr>
      </w:pPr>
    </w:p>
    <w:p w:rsidR="00AE7A4C" w:rsidRPr="0054285D" w:rsidRDefault="0054285D" w:rsidP="0054285D">
      <w:pPr>
        <w:pStyle w:val="Heading3"/>
      </w:pPr>
      <w:r w:rsidRPr="0054285D">
        <w:lastRenderedPageBreak/>
        <w:t>D4. Ferro-Molybdenum</w:t>
      </w:r>
    </w:p>
    <w:p w:rsidR="00AE7A4C" w:rsidRPr="0054285D" w:rsidRDefault="00423BE9" w:rsidP="00423BE9">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Data provided by</w:t>
      </w:r>
      <w:r w:rsidR="00AE7A4C" w:rsidRPr="0054285D">
        <w:rPr>
          <w:rFonts w:ascii="Times New Roman" w:eastAsia="Calibri" w:hAnsi="Times New Roman" w:cs="Times New Roman"/>
        </w:rPr>
        <w:t xml:space="preserve"> </w:t>
      </w:r>
      <w:r w:rsidRPr="0054285D">
        <w:rPr>
          <w:rFonts w:ascii="Times New Roman" w:eastAsia="Calibri" w:hAnsi="Times New Roman" w:cs="Times New Roman"/>
          <w:noProof/>
        </w:rPr>
        <w:t>(IMOA 2005)</w:t>
      </w:r>
      <w:r w:rsidRPr="0054285D">
        <w:rPr>
          <w:rFonts w:ascii="Times New Roman" w:eastAsia="Calibri" w:hAnsi="Times New Roman" w:cs="Times New Roman"/>
        </w:rPr>
        <w:t xml:space="preserve"> was utilised to create a ferromolybdenum process based on the roasting of molybdenum concentrates utilising a smelting hearth. </w:t>
      </w:r>
      <w:r w:rsidR="00AE7A4C" w:rsidRPr="0054285D">
        <w:rPr>
          <w:rFonts w:ascii="Times New Roman" w:eastAsia="Calibri" w:hAnsi="Times New Roman" w:cs="Times New Roman"/>
        </w:rPr>
        <w:t>Similar to the data source</w:t>
      </w:r>
      <w:r w:rsidRPr="0054285D">
        <w:rPr>
          <w:rFonts w:ascii="Times New Roman" w:eastAsia="Calibri" w:hAnsi="Times New Roman" w:cs="Times New Roman"/>
        </w:rPr>
        <w:t xml:space="preserve"> </w:t>
      </w:r>
      <w:r w:rsidRPr="0054285D">
        <w:rPr>
          <w:rFonts w:ascii="Times New Roman" w:eastAsia="Calibri" w:hAnsi="Times New Roman" w:cs="Times New Roman"/>
          <w:noProof/>
        </w:rPr>
        <w:t>(Probas 2004)</w:t>
      </w:r>
      <w:r w:rsidR="00AE7A4C" w:rsidRPr="0054285D">
        <w:rPr>
          <w:rFonts w:ascii="Times New Roman" w:eastAsia="Calibri" w:hAnsi="Times New Roman" w:cs="Times New Roman"/>
        </w:rPr>
        <w:t xml:space="preserve">, the data provided was in the form of resources for inputs and emissions (air and water) for outputs.  The end product was 1 kg of Fe-Mo (67% Mo) for the year 2005. </w:t>
      </w:r>
      <w:r w:rsidRPr="0054285D">
        <w:rPr>
          <w:rFonts w:ascii="Times New Roman" w:eastAsia="Calibri" w:hAnsi="Times New Roman" w:cs="Times New Roman"/>
        </w:rPr>
        <w:t>The constituents producing ferromolybdenum</w:t>
      </w:r>
      <w:r w:rsidR="00AE7A4C" w:rsidRPr="0054285D">
        <w:rPr>
          <w:rFonts w:ascii="Times New Roman" w:eastAsia="Calibri" w:hAnsi="Times New Roman" w:cs="Times New Roman"/>
        </w:rPr>
        <w:t xml:space="preserve"> </w:t>
      </w:r>
      <w:r w:rsidRPr="0054285D">
        <w:rPr>
          <w:rFonts w:ascii="Times New Roman" w:eastAsia="Calibri" w:hAnsi="Times New Roman" w:cs="Times New Roman"/>
        </w:rPr>
        <w:t>are depicted</w:t>
      </w:r>
      <w:r w:rsidR="0064593E" w:rsidRPr="0054285D">
        <w:rPr>
          <w:rFonts w:ascii="Times New Roman" w:eastAsia="Calibri" w:hAnsi="Times New Roman" w:cs="Times New Roman"/>
        </w:rPr>
        <w:t xml:space="preserve"> b</w:t>
      </w:r>
      <w:r w:rsidR="00E22FB6" w:rsidRPr="0054285D">
        <w:rPr>
          <w:rFonts w:ascii="Times New Roman" w:eastAsia="Calibri" w:hAnsi="Times New Roman" w:cs="Times New Roman"/>
        </w:rPr>
        <w:t>y</w:t>
      </w:r>
      <w:r w:rsidRPr="0054285D">
        <w:rPr>
          <w:rFonts w:ascii="Times New Roman" w:eastAsia="Calibri" w:hAnsi="Times New Roman" w:cs="Times New Roman"/>
        </w:rPr>
        <w:t xml:space="preserve"> </w:t>
      </w:r>
      <w:r w:rsidR="00A6415F" w:rsidRPr="0054285D">
        <w:fldChar w:fldCharType="begin"/>
      </w:r>
      <w:r w:rsidR="00A6415F" w:rsidRPr="0054285D">
        <w:instrText xml:space="preserve"> REF _Ref473751053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51</w:t>
      </w:r>
      <w:r w:rsidR="00A6415F" w:rsidRPr="0054285D">
        <w:fldChar w:fldCharType="end"/>
      </w:r>
      <w:r w:rsidR="00AE7A4C" w:rsidRPr="0054285D">
        <w:rPr>
          <w:rFonts w:ascii="Times New Roman" w:eastAsia="Calibri" w:hAnsi="Times New Roman" w:cs="Times New Roman"/>
        </w:rPr>
        <w:t>.</w:t>
      </w:r>
    </w:p>
    <w:p w:rsidR="00AE7A4C" w:rsidRPr="0054285D" w:rsidRDefault="00F34875" w:rsidP="00F34875">
      <w:pPr>
        <w:rPr>
          <w:rFonts w:ascii="Times New Roman" w:eastAsia="Calibri" w:hAnsi="Times New Roman" w:cs="Times New Roman"/>
        </w:rPr>
      </w:pPr>
      <w:bookmarkStart w:id="307" w:name="_Ref473751053"/>
      <w:bookmarkStart w:id="308" w:name="_Toc474486558"/>
      <w:bookmarkStart w:id="309" w:name="_Toc495852729"/>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51</w:t>
      </w:r>
      <w:r w:rsidR="009A0ED7" w:rsidRPr="0054285D">
        <w:rPr>
          <w:rFonts w:ascii="Times New Roman" w:hAnsi="Times New Roman" w:cs="Times New Roman"/>
        </w:rPr>
        <w:fldChar w:fldCharType="end"/>
      </w:r>
      <w:bookmarkEnd w:id="307"/>
      <w:r w:rsidRPr="0054285D">
        <w:rPr>
          <w:rFonts w:ascii="Times New Roman" w:hAnsi="Times New Roman" w:cs="Times New Roman"/>
        </w:rPr>
        <w:t xml:space="preserve">. </w:t>
      </w:r>
      <w:r w:rsidR="009A0D36" w:rsidRPr="0054285D">
        <w:rPr>
          <w:rFonts w:ascii="Times New Roman" w:eastAsia="Calibri" w:hAnsi="Times New Roman" w:cs="Times New Roman"/>
        </w:rPr>
        <w:t>Inventory data for ferromolybdenum production.</w:t>
      </w:r>
      <w:bookmarkEnd w:id="308"/>
      <w:bookmarkEnd w:id="309"/>
      <w:r w:rsidR="009A0D36" w:rsidRPr="0054285D">
        <w:rPr>
          <w:rFonts w:ascii="Times New Roman" w:eastAsia="Calibri" w:hAnsi="Times New Roman" w:cs="Times New Roman"/>
        </w:rPr>
        <w:t xml:space="preserve"> </w:t>
      </w:r>
    </w:p>
    <w:tbl>
      <w:tblPr>
        <w:tblW w:w="8080" w:type="dxa"/>
        <w:tblInd w:w="-5" w:type="dxa"/>
        <w:tblLook w:val="04A0" w:firstRow="1" w:lastRow="0" w:firstColumn="1" w:lastColumn="0" w:noHBand="0" w:noVBand="1"/>
      </w:tblPr>
      <w:tblGrid>
        <w:gridCol w:w="4320"/>
        <w:gridCol w:w="608"/>
        <w:gridCol w:w="3280"/>
      </w:tblGrid>
      <w:tr w:rsidR="00E22FB6" w:rsidRPr="0054285D" w:rsidTr="00E22FB6">
        <w:trPr>
          <w:trHeight w:val="300"/>
        </w:trPr>
        <w:tc>
          <w:tcPr>
            <w:tcW w:w="4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Flow</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Unit</w:t>
            </w:r>
          </w:p>
        </w:tc>
        <w:tc>
          <w:tcPr>
            <w:tcW w:w="3280" w:type="dxa"/>
            <w:tcBorders>
              <w:top w:val="single" w:sz="4" w:space="0" w:color="auto"/>
              <w:left w:val="nil"/>
              <w:bottom w:val="single" w:sz="4" w:space="0" w:color="auto"/>
              <w:right w:val="single" w:sz="4" w:space="0" w:color="auto"/>
            </w:tcBorders>
            <w:shd w:val="clear" w:color="auto" w:fill="auto"/>
            <w:noWrap/>
            <w:vAlign w:val="center"/>
            <w:hideMark/>
          </w:tcPr>
          <w:p w:rsidR="0064593E" w:rsidRPr="0054285D" w:rsidRDefault="00E22FB6" w:rsidP="00E22FB6">
            <w:pPr>
              <w:spacing w:after="0" w:line="240" w:lineRule="auto"/>
              <w:jc w:val="center"/>
              <w:rPr>
                <w:rFonts w:ascii="Times New Roman" w:eastAsia="Arial" w:hAnsi="Times New Roman" w:cs="Times New Roman"/>
                <w:u w:val="single"/>
              </w:rPr>
            </w:pPr>
            <w:r w:rsidRPr="0054285D">
              <w:rPr>
                <w:rFonts w:ascii="Times New Roman" w:eastAsia="Arial" w:hAnsi="Times New Roman" w:cs="Times New Roman"/>
              </w:rPr>
              <w:t xml:space="preserve">Per </w:t>
            </w:r>
            <w:r w:rsidRPr="0054285D">
              <w:rPr>
                <w:rFonts w:ascii="Times New Roman" w:eastAsia="Arial" w:hAnsi="Times New Roman" w:cs="Times New Roman"/>
                <w:u w:val="single"/>
              </w:rPr>
              <w:t>1 kg Fe</w:t>
            </w:r>
            <w:r w:rsidR="0064593E" w:rsidRPr="0054285D">
              <w:rPr>
                <w:rFonts w:ascii="Times New Roman" w:eastAsia="Arial" w:hAnsi="Times New Roman" w:cs="Times New Roman"/>
                <w:u w:val="single"/>
              </w:rPr>
              <w:t>-</w:t>
            </w:r>
            <w:r w:rsidRPr="0054285D">
              <w:rPr>
                <w:rFonts w:ascii="Times New Roman" w:eastAsia="Arial" w:hAnsi="Times New Roman" w:cs="Times New Roman"/>
                <w:u w:val="single"/>
              </w:rPr>
              <w:t>Mo</w:t>
            </w:r>
          </w:p>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Arial" w:hAnsi="Times New Roman" w:cs="Times New Roman"/>
                <w:u w:val="single"/>
              </w:rPr>
              <w:t xml:space="preserve"> (contains 67% Mo)</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r Coal (in ground)</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0A62B5">
            <w:pPr>
              <w:spacing w:after="0" w:line="240" w:lineRule="auto"/>
              <w:jc w:val="center"/>
              <w:rPr>
                <w:rFonts w:ascii="Times New Roman" w:eastAsia="Times New Roman" w:hAnsi="Times New Roman" w:cs="Times New Roman"/>
              </w:rPr>
            </w:pPr>
            <w:r w:rsidRPr="0054285D">
              <w:rPr>
                <w:rFonts w:ascii="Times New Roman" w:eastAsia="Arial" w:hAnsi="Times New Roman" w:cs="Times New Roman"/>
              </w:rPr>
              <w:t>1.96</w:t>
            </w:r>
            <w:r w:rsidR="000A62B5">
              <w:rPr>
                <w:rFonts w:ascii="Calibri" w:eastAsia="Times New Roman" w:hAnsi="Calibri" w:cs="Times New Roman"/>
              </w:rPr>
              <w:t>×10</w:t>
            </w:r>
            <w:r w:rsidR="000A62B5">
              <w:rPr>
                <w:rFonts w:ascii="Calibri" w:eastAsia="Times New Roman" w:hAnsi="Calibri" w:cs="Times New Roman"/>
                <w:vertAlign w:val="superscript"/>
              </w:rPr>
              <w:t>0</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r Iron (Fe, ore)</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0A62B5">
            <w:pPr>
              <w:spacing w:after="0" w:line="240" w:lineRule="auto"/>
              <w:jc w:val="center"/>
              <w:rPr>
                <w:rFonts w:ascii="Times New Roman" w:eastAsia="Times New Roman" w:hAnsi="Times New Roman" w:cs="Times New Roman"/>
              </w:rPr>
            </w:pPr>
            <w:r w:rsidRPr="0054285D">
              <w:rPr>
                <w:rFonts w:ascii="Times New Roman" w:eastAsia="Arial" w:hAnsi="Times New Roman" w:cs="Times New Roman"/>
              </w:rPr>
              <w:t>5.70</w:t>
            </w:r>
            <w:r w:rsidR="000A62B5">
              <w:rPr>
                <w:rFonts w:ascii="Calibri" w:eastAsia="Times New Roman" w:hAnsi="Calibri" w:cs="Times New Roman"/>
              </w:rPr>
              <w:t>×10</w:t>
            </w:r>
            <w:r w:rsidR="000A62B5">
              <w:rPr>
                <w:rFonts w:ascii="Calibri" w:eastAsia="Times New Roman" w:hAnsi="Calibri" w:cs="Times New Roman"/>
                <w:vertAlign w:val="superscript"/>
              </w:rPr>
              <w:t>-2</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r Iron (in ground)</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6.64</w:t>
            </w:r>
            <w:r>
              <w:rPr>
                <w:rFonts w:ascii="Calibri" w:eastAsia="Times New Roman" w:hAnsi="Calibri" w:cs="Times New Roman"/>
              </w:rPr>
              <w:t>×10</w:t>
            </w:r>
            <w:r>
              <w:rPr>
                <w:rFonts w:ascii="Calibri" w:eastAsia="Times New Roman" w:hAnsi="Calibri" w:cs="Times New Roman"/>
                <w:vertAlign w:val="superscript"/>
              </w:rPr>
              <w:t>-1</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r Limestone (CaCO3, in ground)</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2.00</w:t>
            </w:r>
            <w:r>
              <w:rPr>
                <w:rFonts w:ascii="Calibri" w:eastAsia="Times New Roman" w:hAnsi="Calibri" w:cs="Times New Roman"/>
              </w:rPr>
              <w:t>×10</w:t>
            </w:r>
            <w:r>
              <w:rPr>
                <w:rFonts w:ascii="Calibri" w:eastAsia="Times New Roman" w:hAnsi="Calibri" w:cs="Times New Roman"/>
                <w:vertAlign w:val="superscript"/>
              </w:rPr>
              <w:t>-2</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r Natural gas (in ground)</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6.85</w:t>
            </w:r>
            <w:r>
              <w:rPr>
                <w:rFonts w:ascii="Calibri" w:eastAsia="Times New Roman" w:hAnsi="Calibri" w:cs="Times New Roman"/>
              </w:rPr>
              <w:t>×10</w:t>
            </w:r>
            <w:r>
              <w:rPr>
                <w:rFonts w:ascii="Calibri" w:eastAsia="Times New Roman" w:hAnsi="Calibri" w:cs="Times New Roman"/>
                <w:vertAlign w:val="superscript"/>
              </w:rPr>
              <w:t>-1</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r Oil (in ground)</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6.47</w:t>
            </w:r>
            <w:r>
              <w:rPr>
                <w:rFonts w:ascii="Calibri" w:eastAsia="Times New Roman" w:hAnsi="Calibri" w:cs="Times New Roman"/>
              </w:rPr>
              <w:t>×10</w:t>
            </w:r>
            <w:r>
              <w:rPr>
                <w:rFonts w:ascii="Calibri" w:eastAsia="Times New Roman" w:hAnsi="Calibri" w:cs="Times New Roman"/>
                <w:vertAlign w:val="superscript"/>
              </w:rPr>
              <w:t>-1</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r Molybdenum (in ground)</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9.92</w:t>
            </w:r>
            <w:r>
              <w:rPr>
                <w:rFonts w:ascii="Calibri" w:eastAsia="Times New Roman" w:hAnsi="Calibri" w:cs="Times New Roman"/>
              </w:rPr>
              <w:t>×10</w:t>
            </w:r>
            <w:r>
              <w:rPr>
                <w:rFonts w:ascii="Calibri" w:eastAsia="Times New Roman" w:hAnsi="Calibri" w:cs="Times New Roman"/>
                <w:vertAlign w:val="superscript"/>
              </w:rPr>
              <w:t>-1</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r Uranium (ore)</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4.80</w:t>
            </w:r>
            <w:r>
              <w:rPr>
                <w:rFonts w:ascii="Calibri" w:eastAsia="Times New Roman" w:hAnsi="Calibri" w:cs="Times New Roman"/>
              </w:rPr>
              <w:t>×10</w:t>
            </w:r>
            <w:r>
              <w:rPr>
                <w:rFonts w:ascii="Calibri" w:eastAsia="Times New Roman" w:hAnsi="Calibri" w:cs="Times New Roman"/>
                <w:vertAlign w:val="superscript"/>
              </w:rPr>
              <w:t>-3</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r Water used (total)</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litre</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4.33</w:t>
            </w:r>
            <w:r>
              <w:rPr>
                <w:rFonts w:ascii="Calibri" w:eastAsia="Times New Roman" w:hAnsi="Calibri" w:cs="Times New Roman"/>
              </w:rPr>
              <w:t>×10</w:t>
            </w:r>
            <w:r>
              <w:rPr>
                <w:rFonts w:ascii="Calibri" w:eastAsia="Times New Roman" w:hAnsi="Calibri" w:cs="Times New Roman"/>
                <w:vertAlign w:val="superscript"/>
              </w:rPr>
              <w:t>2</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a Carbon Dioxide (CO2, fossil)</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8.59</w:t>
            </w:r>
            <w:r>
              <w:rPr>
                <w:rFonts w:ascii="Calibri" w:eastAsia="Times New Roman" w:hAnsi="Calibri" w:cs="Times New Roman"/>
              </w:rPr>
              <w:t>×10</w:t>
            </w:r>
            <w:r>
              <w:rPr>
                <w:rFonts w:ascii="Calibri" w:eastAsia="Times New Roman" w:hAnsi="Calibri" w:cs="Times New Roman"/>
                <w:vertAlign w:val="superscript"/>
              </w:rPr>
              <w:t>0</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a Nitrogen Oxides (NOx, as NO2)</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3.60</w:t>
            </w:r>
            <w:r>
              <w:rPr>
                <w:rFonts w:ascii="Calibri" w:eastAsia="Times New Roman" w:hAnsi="Calibri" w:cs="Times New Roman"/>
              </w:rPr>
              <w:t>×10</w:t>
            </w:r>
            <w:r>
              <w:rPr>
                <w:rFonts w:ascii="Calibri" w:eastAsia="Times New Roman" w:hAnsi="Calibri" w:cs="Times New Roman"/>
                <w:vertAlign w:val="superscript"/>
              </w:rPr>
              <w:t>-2</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a Sulphur Oxides (</w:t>
            </w:r>
            <w:proofErr w:type="spellStart"/>
            <w:r w:rsidRPr="0054285D">
              <w:rPr>
                <w:rFonts w:ascii="Times New Roman" w:eastAsia="Calibri" w:hAnsi="Times New Roman" w:cs="Times New Roman"/>
              </w:rPr>
              <w:t>SOx</w:t>
            </w:r>
            <w:proofErr w:type="spellEnd"/>
            <w:r w:rsidRPr="0054285D">
              <w:rPr>
                <w:rFonts w:ascii="Times New Roman" w:eastAsia="Calibri" w:hAnsi="Times New Roman" w:cs="Times New Roman"/>
              </w:rPr>
              <w:t xml:space="preserve"> as SO2)</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2.17</w:t>
            </w:r>
            <w:r>
              <w:rPr>
                <w:rFonts w:ascii="Calibri" w:eastAsia="Times New Roman" w:hAnsi="Calibri" w:cs="Times New Roman"/>
              </w:rPr>
              <w:t>×10</w:t>
            </w:r>
            <w:r>
              <w:rPr>
                <w:rFonts w:ascii="Calibri" w:eastAsia="Times New Roman" w:hAnsi="Calibri" w:cs="Times New Roman"/>
                <w:vertAlign w:val="superscript"/>
              </w:rPr>
              <w:t>-1</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a Particulates</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2.00</w:t>
            </w:r>
            <w:r>
              <w:rPr>
                <w:rFonts w:ascii="Calibri" w:eastAsia="Times New Roman" w:hAnsi="Calibri" w:cs="Times New Roman"/>
              </w:rPr>
              <w:t>×10</w:t>
            </w:r>
            <w:r>
              <w:rPr>
                <w:rFonts w:ascii="Calibri" w:eastAsia="Times New Roman" w:hAnsi="Calibri" w:cs="Times New Roman"/>
                <w:vertAlign w:val="superscript"/>
              </w:rPr>
              <w:t>-2</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a Molybdenum (Mo)</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2.60</w:t>
            </w:r>
            <w:r>
              <w:rPr>
                <w:rFonts w:ascii="Calibri" w:eastAsia="Times New Roman" w:hAnsi="Calibri" w:cs="Times New Roman"/>
              </w:rPr>
              <w:t>×10</w:t>
            </w:r>
            <w:r>
              <w:rPr>
                <w:rFonts w:ascii="Calibri" w:eastAsia="Times New Roman" w:hAnsi="Calibri" w:cs="Times New Roman"/>
                <w:vertAlign w:val="superscript"/>
              </w:rPr>
              <w:t>-4</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a Hydrocarbons (except CH4)</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3.80</w:t>
            </w:r>
            <w:r>
              <w:rPr>
                <w:rFonts w:ascii="Calibri" w:eastAsia="Times New Roman" w:hAnsi="Calibri" w:cs="Times New Roman"/>
              </w:rPr>
              <w:t>×10</w:t>
            </w:r>
            <w:r>
              <w:rPr>
                <w:rFonts w:ascii="Calibri" w:eastAsia="Times New Roman" w:hAnsi="Calibri" w:cs="Times New Roman"/>
                <w:vertAlign w:val="superscript"/>
              </w:rPr>
              <w:t>-3</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a Carbon Monoxide (CO)</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3.00</w:t>
            </w:r>
            <w:r>
              <w:rPr>
                <w:rFonts w:ascii="Calibri" w:eastAsia="Times New Roman" w:hAnsi="Calibri" w:cs="Times New Roman"/>
              </w:rPr>
              <w:t>×10</w:t>
            </w:r>
            <w:r>
              <w:rPr>
                <w:rFonts w:ascii="Calibri" w:eastAsia="Times New Roman" w:hAnsi="Calibri" w:cs="Times New Roman"/>
                <w:vertAlign w:val="superscript"/>
              </w:rPr>
              <w:t>-2</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a Methane (CH4)</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2.00</w:t>
            </w:r>
            <w:r>
              <w:rPr>
                <w:rFonts w:ascii="Calibri" w:eastAsia="Times New Roman" w:hAnsi="Calibri" w:cs="Times New Roman"/>
              </w:rPr>
              <w:t>×10</w:t>
            </w:r>
            <w:r>
              <w:rPr>
                <w:rFonts w:ascii="Calibri" w:eastAsia="Times New Roman" w:hAnsi="Calibri" w:cs="Times New Roman"/>
                <w:vertAlign w:val="superscript"/>
              </w:rPr>
              <w:t>-2</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proofErr w:type="spellStart"/>
            <w:r w:rsidRPr="0054285D">
              <w:rPr>
                <w:rFonts w:ascii="Times New Roman" w:eastAsia="Calibri" w:hAnsi="Times New Roman" w:cs="Times New Roman"/>
              </w:rPr>
              <w:t>a</w:t>
            </w:r>
            <w:proofErr w:type="spellEnd"/>
            <w:r w:rsidRPr="0054285D">
              <w:rPr>
                <w:rFonts w:ascii="Times New Roman" w:eastAsia="Calibri" w:hAnsi="Times New Roman" w:cs="Times New Roman"/>
              </w:rPr>
              <w:t xml:space="preserve"> Ammonia (NH3)</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2.30</w:t>
            </w:r>
            <w:r>
              <w:rPr>
                <w:rFonts w:ascii="Calibri" w:eastAsia="Times New Roman" w:hAnsi="Calibri" w:cs="Times New Roman"/>
              </w:rPr>
              <w:t>×10</w:t>
            </w:r>
            <w:r>
              <w:rPr>
                <w:rFonts w:ascii="Calibri" w:eastAsia="Times New Roman" w:hAnsi="Calibri" w:cs="Times New Roman"/>
                <w:vertAlign w:val="superscript"/>
              </w:rPr>
              <w:t>-3</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a Hydrogen Chloride (</w:t>
            </w:r>
            <w:proofErr w:type="spellStart"/>
            <w:r w:rsidRPr="0054285D">
              <w:rPr>
                <w:rFonts w:ascii="Times New Roman" w:eastAsia="Calibri" w:hAnsi="Times New Roman" w:cs="Times New Roman"/>
              </w:rPr>
              <w:t>HCl</w:t>
            </w:r>
            <w:proofErr w:type="spellEnd"/>
            <w:r w:rsidRPr="0054285D">
              <w:rPr>
                <w:rFonts w:ascii="Times New Roman" w:eastAsia="Calibri" w:hAnsi="Times New Roman" w:cs="Times New Roman"/>
              </w:rPr>
              <w:t>)</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1.10</w:t>
            </w:r>
            <w:r>
              <w:rPr>
                <w:rFonts w:ascii="Calibri" w:eastAsia="Times New Roman" w:hAnsi="Calibri" w:cs="Times New Roman"/>
              </w:rPr>
              <w:t>×10</w:t>
            </w:r>
            <w:r>
              <w:rPr>
                <w:rFonts w:ascii="Calibri" w:eastAsia="Times New Roman" w:hAnsi="Calibri" w:cs="Times New Roman"/>
                <w:vertAlign w:val="superscript"/>
              </w:rPr>
              <w:t>-3</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a Hydrogen Cyanide (HCN)</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8.00</w:t>
            </w:r>
            <w:r>
              <w:rPr>
                <w:rFonts w:ascii="Calibri" w:eastAsia="Times New Roman" w:hAnsi="Calibri" w:cs="Times New Roman"/>
              </w:rPr>
              <w:t>×10</w:t>
            </w:r>
            <w:r>
              <w:rPr>
                <w:rFonts w:ascii="Calibri" w:eastAsia="Times New Roman" w:hAnsi="Calibri" w:cs="Times New Roman"/>
                <w:vertAlign w:val="superscript"/>
              </w:rPr>
              <w:t>-7</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a Hydrogen Sulphide (H2S)</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3.10</w:t>
            </w:r>
            <w:r>
              <w:rPr>
                <w:rFonts w:ascii="Calibri" w:eastAsia="Times New Roman" w:hAnsi="Calibri" w:cs="Times New Roman"/>
              </w:rPr>
              <w:t>×10</w:t>
            </w:r>
            <w:r>
              <w:rPr>
                <w:rFonts w:ascii="Calibri" w:eastAsia="Times New Roman" w:hAnsi="Calibri" w:cs="Times New Roman"/>
                <w:vertAlign w:val="superscript"/>
              </w:rPr>
              <w:t>-5</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a Lead (</w:t>
            </w:r>
            <w:proofErr w:type="spellStart"/>
            <w:r w:rsidRPr="0054285D">
              <w:rPr>
                <w:rFonts w:ascii="Times New Roman" w:eastAsia="Calibri" w:hAnsi="Times New Roman" w:cs="Times New Roman"/>
              </w:rPr>
              <w:t>Pb</w:t>
            </w:r>
            <w:proofErr w:type="spellEnd"/>
            <w:r w:rsidRPr="0054285D">
              <w:rPr>
                <w:rFonts w:ascii="Times New Roman" w:eastAsia="Calibri" w:hAnsi="Times New Roman" w:cs="Times New Roman"/>
              </w:rPr>
              <w:t>)</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3.00</w:t>
            </w:r>
            <w:r>
              <w:rPr>
                <w:rFonts w:ascii="Calibri" w:eastAsia="Times New Roman" w:hAnsi="Calibri" w:cs="Times New Roman"/>
              </w:rPr>
              <w:t>×10</w:t>
            </w:r>
            <w:r>
              <w:rPr>
                <w:rFonts w:ascii="Calibri" w:eastAsia="Times New Roman" w:hAnsi="Calibri" w:cs="Times New Roman"/>
                <w:vertAlign w:val="superscript"/>
              </w:rPr>
              <w:t>-6</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a Mercury (Hg)</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3.10</w:t>
            </w:r>
            <w:r>
              <w:rPr>
                <w:rFonts w:ascii="Calibri" w:eastAsia="Times New Roman" w:hAnsi="Calibri" w:cs="Times New Roman"/>
              </w:rPr>
              <w:t>×10</w:t>
            </w:r>
            <w:r>
              <w:rPr>
                <w:rFonts w:ascii="Calibri" w:eastAsia="Times New Roman" w:hAnsi="Calibri" w:cs="Times New Roman"/>
                <w:vertAlign w:val="superscript"/>
              </w:rPr>
              <w:t>-7</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a Zinc (Zn)</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9.10</w:t>
            </w:r>
            <w:r>
              <w:rPr>
                <w:rFonts w:ascii="Calibri" w:eastAsia="Times New Roman" w:hAnsi="Calibri" w:cs="Times New Roman"/>
              </w:rPr>
              <w:t>×10</w:t>
            </w:r>
            <w:r>
              <w:rPr>
                <w:rFonts w:ascii="Calibri" w:eastAsia="Times New Roman" w:hAnsi="Calibri" w:cs="Times New Roman"/>
                <w:vertAlign w:val="superscript"/>
              </w:rPr>
              <w:t>-6</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a Metals (unspecified)</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1.70</w:t>
            </w:r>
            <w:r>
              <w:rPr>
                <w:rFonts w:ascii="Calibri" w:eastAsia="Times New Roman" w:hAnsi="Calibri" w:cs="Times New Roman"/>
              </w:rPr>
              <w:t>×10</w:t>
            </w:r>
            <w:r>
              <w:rPr>
                <w:rFonts w:ascii="Calibri" w:eastAsia="Times New Roman" w:hAnsi="Calibri" w:cs="Times New Roman"/>
                <w:vertAlign w:val="superscript"/>
              </w:rPr>
              <w:t>-5</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Ammonia (NH4+, NH3, as N)</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4.1</w:t>
            </w:r>
            <w:r>
              <w:rPr>
                <w:rFonts w:ascii="Calibri" w:eastAsia="Times New Roman" w:hAnsi="Calibri" w:cs="Times New Roman"/>
              </w:rPr>
              <w:t>0×10</w:t>
            </w:r>
            <w:r>
              <w:rPr>
                <w:rFonts w:ascii="Calibri" w:eastAsia="Times New Roman" w:hAnsi="Calibri" w:cs="Times New Roman"/>
                <w:vertAlign w:val="superscript"/>
              </w:rPr>
              <w:t>-4</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BOD5</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1.30</w:t>
            </w:r>
            <w:r>
              <w:rPr>
                <w:rFonts w:ascii="Calibri" w:eastAsia="Times New Roman" w:hAnsi="Calibri" w:cs="Times New Roman"/>
              </w:rPr>
              <w:t>×10</w:t>
            </w:r>
            <w:r>
              <w:rPr>
                <w:rFonts w:ascii="Calibri" w:eastAsia="Times New Roman" w:hAnsi="Calibri" w:cs="Times New Roman"/>
                <w:vertAlign w:val="superscript"/>
              </w:rPr>
              <w:t>-3</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Chlorides (Cl-)</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2.00</w:t>
            </w:r>
            <w:r>
              <w:rPr>
                <w:rFonts w:ascii="Calibri" w:eastAsia="Times New Roman" w:hAnsi="Calibri" w:cs="Times New Roman"/>
              </w:rPr>
              <w:t>×10</w:t>
            </w:r>
            <w:r>
              <w:rPr>
                <w:rFonts w:ascii="Calibri" w:eastAsia="Times New Roman" w:hAnsi="Calibri" w:cs="Times New Roman"/>
                <w:vertAlign w:val="superscript"/>
              </w:rPr>
              <w:t>-1</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Fluorides (F-)</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1.70</w:t>
            </w:r>
            <w:r>
              <w:rPr>
                <w:rFonts w:ascii="Calibri" w:eastAsia="Times New Roman" w:hAnsi="Calibri" w:cs="Times New Roman"/>
              </w:rPr>
              <w:t>×10</w:t>
            </w:r>
            <w:r>
              <w:rPr>
                <w:rFonts w:ascii="Calibri" w:eastAsia="Times New Roman" w:hAnsi="Calibri" w:cs="Times New Roman"/>
                <w:vertAlign w:val="superscript"/>
              </w:rPr>
              <w:t>-4</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PAH, unspecified</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5.90</w:t>
            </w:r>
            <w:r>
              <w:rPr>
                <w:rFonts w:ascii="Calibri" w:eastAsia="Times New Roman" w:hAnsi="Calibri" w:cs="Times New Roman"/>
              </w:rPr>
              <w:t>×10</w:t>
            </w:r>
            <w:r>
              <w:rPr>
                <w:rFonts w:ascii="Calibri" w:eastAsia="Times New Roman" w:hAnsi="Calibri" w:cs="Times New Roman"/>
                <w:vertAlign w:val="superscript"/>
              </w:rPr>
              <w:t>-9</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Nitrate (NO3-)</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9.60</w:t>
            </w:r>
            <w:r>
              <w:rPr>
                <w:rFonts w:ascii="Calibri" w:eastAsia="Times New Roman" w:hAnsi="Calibri" w:cs="Times New Roman"/>
              </w:rPr>
              <w:t>×10</w:t>
            </w:r>
            <w:r>
              <w:rPr>
                <w:rFonts w:ascii="Calibri" w:eastAsia="Times New Roman" w:hAnsi="Calibri" w:cs="Times New Roman"/>
                <w:vertAlign w:val="superscript"/>
              </w:rPr>
              <w:t>-6</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Oils (unspecified)</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1.10</w:t>
            </w:r>
            <w:r>
              <w:rPr>
                <w:rFonts w:ascii="Calibri" w:eastAsia="Times New Roman" w:hAnsi="Calibri" w:cs="Times New Roman"/>
              </w:rPr>
              <w:t>×10</w:t>
            </w:r>
            <w:r>
              <w:rPr>
                <w:rFonts w:ascii="Calibri" w:eastAsia="Times New Roman" w:hAnsi="Calibri" w:cs="Times New Roman"/>
                <w:vertAlign w:val="superscript"/>
              </w:rPr>
              <w:t>-3</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Phosphates (as P)</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7.90</w:t>
            </w:r>
            <w:r>
              <w:rPr>
                <w:rFonts w:ascii="Calibri" w:eastAsia="Times New Roman" w:hAnsi="Calibri" w:cs="Times New Roman"/>
              </w:rPr>
              <w:t>×10</w:t>
            </w:r>
            <w:r>
              <w:rPr>
                <w:rFonts w:ascii="Calibri" w:eastAsia="Times New Roman" w:hAnsi="Calibri" w:cs="Times New Roman"/>
                <w:vertAlign w:val="superscript"/>
              </w:rPr>
              <w:t>-6</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Sulphate (SO4--)</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1.54</w:t>
            </w:r>
            <w:r>
              <w:rPr>
                <w:rFonts w:ascii="Calibri" w:eastAsia="Times New Roman" w:hAnsi="Calibri" w:cs="Times New Roman"/>
              </w:rPr>
              <w:t>×10</w:t>
            </w:r>
            <w:r>
              <w:rPr>
                <w:rFonts w:ascii="Calibri" w:eastAsia="Times New Roman" w:hAnsi="Calibri" w:cs="Times New Roman"/>
                <w:vertAlign w:val="superscript"/>
              </w:rPr>
              <w:t>-1</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lastRenderedPageBreak/>
              <w:t>w Total suspended solids</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1.70</w:t>
            </w:r>
            <w:r>
              <w:rPr>
                <w:rFonts w:ascii="Calibri" w:eastAsia="Times New Roman" w:hAnsi="Calibri" w:cs="Times New Roman"/>
              </w:rPr>
              <w:t>×10</w:t>
            </w:r>
            <w:r>
              <w:rPr>
                <w:rFonts w:ascii="Calibri" w:eastAsia="Times New Roman" w:hAnsi="Calibri" w:cs="Times New Roman"/>
                <w:vertAlign w:val="superscript"/>
              </w:rPr>
              <w:t>-2</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 xml:space="preserve">w Chromium (Cr III, </w:t>
            </w:r>
            <w:proofErr w:type="spellStart"/>
            <w:r w:rsidRPr="0054285D">
              <w:rPr>
                <w:rFonts w:ascii="Times New Roman" w:eastAsia="Calibri" w:hAnsi="Times New Roman" w:cs="Times New Roman"/>
              </w:rPr>
              <w:t>CrVI</w:t>
            </w:r>
            <w:proofErr w:type="spellEnd"/>
            <w:r w:rsidRPr="0054285D">
              <w:rPr>
                <w:rFonts w:ascii="Times New Roman" w:eastAsia="Calibri" w:hAnsi="Times New Roman" w:cs="Times New Roman"/>
              </w:rPr>
              <w:t>)</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5.30</w:t>
            </w:r>
            <w:r>
              <w:rPr>
                <w:rFonts w:ascii="Calibri" w:eastAsia="Times New Roman" w:hAnsi="Calibri" w:cs="Times New Roman"/>
              </w:rPr>
              <w:t>×10</w:t>
            </w:r>
            <w:r>
              <w:rPr>
                <w:rFonts w:ascii="Calibri" w:eastAsia="Times New Roman" w:hAnsi="Calibri" w:cs="Times New Roman"/>
                <w:vertAlign w:val="superscript"/>
              </w:rPr>
              <w:t>-4</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Copper (Cu++)</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7.60</w:t>
            </w:r>
            <w:r>
              <w:rPr>
                <w:rFonts w:ascii="Calibri" w:eastAsia="Times New Roman" w:hAnsi="Calibri" w:cs="Times New Roman"/>
              </w:rPr>
              <w:t>×10</w:t>
            </w:r>
            <w:r>
              <w:rPr>
                <w:rFonts w:ascii="Calibri" w:eastAsia="Times New Roman" w:hAnsi="Calibri" w:cs="Times New Roman"/>
                <w:vertAlign w:val="superscript"/>
              </w:rPr>
              <w:t>-4</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Cyanide (CN-)</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7.20</w:t>
            </w:r>
            <w:r>
              <w:rPr>
                <w:rFonts w:ascii="Calibri" w:eastAsia="Times New Roman" w:hAnsi="Calibri" w:cs="Times New Roman"/>
              </w:rPr>
              <w:t>×10</w:t>
            </w:r>
            <w:r>
              <w:rPr>
                <w:rFonts w:ascii="Calibri" w:eastAsia="Times New Roman" w:hAnsi="Calibri" w:cs="Times New Roman"/>
                <w:vertAlign w:val="superscript"/>
              </w:rPr>
              <w:t>-6</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Aluminium (Al3+)</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5.50</w:t>
            </w:r>
            <w:r>
              <w:rPr>
                <w:rFonts w:ascii="Calibri" w:eastAsia="Times New Roman" w:hAnsi="Calibri" w:cs="Times New Roman"/>
              </w:rPr>
              <w:t>×10</w:t>
            </w:r>
            <w:r>
              <w:rPr>
                <w:rFonts w:ascii="Calibri" w:eastAsia="Times New Roman" w:hAnsi="Calibri" w:cs="Times New Roman"/>
                <w:vertAlign w:val="superscript"/>
              </w:rPr>
              <w:t>-4</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Cadmium (Cd++)</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1.20</w:t>
            </w:r>
            <w:r>
              <w:rPr>
                <w:rFonts w:ascii="Calibri" w:eastAsia="Times New Roman" w:hAnsi="Calibri" w:cs="Times New Roman"/>
              </w:rPr>
              <w:t>×10</w:t>
            </w:r>
            <w:r>
              <w:rPr>
                <w:rFonts w:ascii="Calibri" w:eastAsia="Times New Roman" w:hAnsi="Calibri" w:cs="Times New Roman"/>
                <w:vertAlign w:val="superscript"/>
              </w:rPr>
              <w:t>-6</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Iron (Fe++, Fe3+)</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7.10</w:t>
            </w:r>
            <w:r>
              <w:rPr>
                <w:rFonts w:ascii="Calibri" w:eastAsia="Times New Roman" w:hAnsi="Calibri" w:cs="Times New Roman"/>
              </w:rPr>
              <w:t>×10</w:t>
            </w:r>
            <w:r>
              <w:rPr>
                <w:rFonts w:ascii="Calibri" w:eastAsia="Times New Roman" w:hAnsi="Calibri" w:cs="Times New Roman"/>
                <w:vertAlign w:val="superscript"/>
              </w:rPr>
              <w:t>-4</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Lead (</w:t>
            </w:r>
            <w:proofErr w:type="spellStart"/>
            <w:r w:rsidRPr="0054285D">
              <w:rPr>
                <w:rFonts w:ascii="Times New Roman" w:eastAsia="Calibri" w:hAnsi="Times New Roman" w:cs="Times New Roman"/>
              </w:rPr>
              <w:t>Pb</w:t>
            </w:r>
            <w:proofErr w:type="spellEnd"/>
            <w:r w:rsidRPr="0054285D">
              <w:rPr>
                <w:rFonts w:ascii="Times New Roman" w:eastAsia="Calibri" w:hAnsi="Times New Roman" w:cs="Times New Roman"/>
              </w:rPr>
              <w:t>++, Pb4+)</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5.80</w:t>
            </w:r>
            <w:r>
              <w:rPr>
                <w:rFonts w:ascii="Calibri" w:eastAsia="Times New Roman" w:hAnsi="Calibri" w:cs="Times New Roman"/>
              </w:rPr>
              <w:t>×10</w:t>
            </w:r>
            <w:r>
              <w:rPr>
                <w:rFonts w:ascii="Calibri" w:eastAsia="Times New Roman" w:hAnsi="Calibri" w:cs="Times New Roman"/>
                <w:vertAlign w:val="superscript"/>
              </w:rPr>
              <w:t>-6</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Manganese (Mn II, IV, VII)</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1.30</w:t>
            </w:r>
            <w:r>
              <w:rPr>
                <w:rFonts w:ascii="Calibri" w:eastAsia="Times New Roman" w:hAnsi="Calibri" w:cs="Times New Roman"/>
              </w:rPr>
              <w:t>×10</w:t>
            </w:r>
            <w:r>
              <w:rPr>
                <w:rFonts w:ascii="Calibri" w:eastAsia="Times New Roman" w:hAnsi="Calibri" w:cs="Times New Roman"/>
                <w:vertAlign w:val="superscript"/>
              </w:rPr>
              <w:t>-4</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Mercury (Hg+, Hg++)</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7.20</w:t>
            </w:r>
            <w:r>
              <w:rPr>
                <w:rFonts w:ascii="Calibri" w:eastAsia="Times New Roman" w:hAnsi="Calibri" w:cs="Times New Roman"/>
              </w:rPr>
              <w:t>×10</w:t>
            </w:r>
            <w:r>
              <w:rPr>
                <w:rFonts w:ascii="Calibri" w:eastAsia="Times New Roman" w:hAnsi="Calibri" w:cs="Times New Roman"/>
                <w:vertAlign w:val="superscript"/>
              </w:rPr>
              <w:t>-8</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Molybdenum (Mo II through VI)</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5.00</w:t>
            </w:r>
            <w:r>
              <w:rPr>
                <w:rFonts w:ascii="Calibri" w:eastAsia="Times New Roman" w:hAnsi="Calibri" w:cs="Times New Roman"/>
              </w:rPr>
              <w:t>×10</w:t>
            </w:r>
            <w:r>
              <w:rPr>
                <w:rFonts w:ascii="Calibri" w:eastAsia="Times New Roman" w:hAnsi="Calibri" w:cs="Times New Roman"/>
                <w:vertAlign w:val="superscript"/>
              </w:rPr>
              <w:t>-4</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Nickel (Ni++, Ni3+)</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7.20</w:t>
            </w:r>
            <w:r>
              <w:rPr>
                <w:rFonts w:ascii="Calibri" w:eastAsia="Times New Roman" w:hAnsi="Calibri" w:cs="Times New Roman"/>
              </w:rPr>
              <w:t>×10</w:t>
            </w:r>
            <w:r>
              <w:rPr>
                <w:rFonts w:ascii="Calibri" w:eastAsia="Times New Roman" w:hAnsi="Calibri" w:cs="Times New Roman"/>
                <w:vertAlign w:val="superscript"/>
              </w:rPr>
              <w:t>-5</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Silica (Si)</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5.40</w:t>
            </w:r>
            <w:r>
              <w:rPr>
                <w:rFonts w:ascii="Calibri" w:eastAsia="Times New Roman" w:hAnsi="Calibri" w:cs="Times New Roman"/>
              </w:rPr>
              <w:t>×10</w:t>
            </w:r>
            <w:r>
              <w:rPr>
                <w:rFonts w:ascii="Calibri" w:eastAsia="Times New Roman" w:hAnsi="Calibri" w:cs="Times New Roman"/>
                <w:vertAlign w:val="superscript"/>
              </w:rPr>
              <w:t>-8</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Zinc (Zn++)</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3.00</w:t>
            </w:r>
            <w:r>
              <w:rPr>
                <w:rFonts w:ascii="Calibri" w:eastAsia="Times New Roman" w:hAnsi="Calibri" w:cs="Times New Roman"/>
              </w:rPr>
              <w:t>×10</w:t>
            </w:r>
            <w:r>
              <w:rPr>
                <w:rFonts w:ascii="Calibri" w:eastAsia="Times New Roman" w:hAnsi="Calibri" w:cs="Times New Roman"/>
                <w:vertAlign w:val="superscript"/>
              </w:rPr>
              <w:t>-5</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 Metals (unspecified)</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3.20</w:t>
            </w:r>
            <w:r>
              <w:rPr>
                <w:rFonts w:ascii="Calibri" w:eastAsia="Times New Roman" w:hAnsi="Calibri" w:cs="Times New Roman"/>
              </w:rPr>
              <w:t>×10</w:t>
            </w:r>
            <w:r>
              <w:rPr>
                <w:rFonts w:ascii="Calibri" w:eastAsia="Times New Roman" w:hAnsi="Calibri" w:cs="Times New Roman"/>
                <w:vertAlign w:val="superscript"/>
              </w:rPr>
              <w:t>-3</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Waste rock</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2.08</w:t>
            </w:r>
            <w:r>
              <w:rPr>
                <w:rFonts w:ascii="Calibri" w:eastAsia="Times New Roman" w:hAnsi="Calibri" w:cs="Times New Roman"/>
              </w:rPr>
              <w:t>×10</w:t>
            </w:r>
            <w:r>
              <w:rPr>
                <w:rFonts w:ascii="Calibri" w:eastAsia="Times New Roman" w:hAnsi="Calibri" w:cs="Times New Roman"/>
                <w:vertAlign w:val="superscript"/>
              </w:rPr>
              <w:t>2</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Tailings</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2.74</w:t>
            </w:r>
            <w:r>
              <w:rPr>
                <w:rFonts w:ascii="Calibri" w:eastAsia="Times New Roman" w:hAnsi="Calibri" w:cs="Times New Roman"/>
              </w:rPr>
              <w:t>×10</w:t>
            </w:r>
            <w:r>
              <w:rPr>
                <w:rFonts w:ascii="Calibri" w:eastAsia="Times New Roman" w:hAnsi="Calibri" w:cs="Times New Roman"/>
                <w:vertAlign w:val="superscript"/>
              </w:rPr>
              <w:t>2</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Waste: non-hazardous, non-organic, to disposal</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8.78</w:t>
            </w:r>
            <w:r>
              <w:rPr>
                <w:rFonts w:ascii="Calibri" w:eastAsia="Times New Roman" w:hAnsi="Calibri" w:cs="Times New Roman"/>
              </w:rPr>
              <w:t>×10</w:t>
            </w:r>
            <w:r>
              <w:rPr>
                <w:rFonts w:ascii="Calibri" w:eastAsia="Times New Roman" w:hAnsi="Calibri" w:cs="Times New Roman"/>
                <w:vertAlign w:val="superscript"/>
              </w:rPr>
              <w:t>-1</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Waste: hazardous, non-organic, to disposal</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3.20</w:t>
            </w:r>
            <w:r>
              <w:rPr>
                <w:rFonts w:ascii="Calibri" w:eastAsia="Times New Roman" w:hAnsi="Calibri" w:cs="Times New Roman"/>
              </w:rPr>
              <w:t>×10</w:t>
            </w:r>
            <w:r>
              <w:rPr>
                <w:rFonts w:ascii="Calibri" w:eastAsia="Times New Roman" w:hAnsi="Calibri" w:cs="Times New Roman"/>
                <w:vertAlign w:val="superscript"/>
              </w:rPr>
              <w:t>-3</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Waste: hazardous, organic, to disposal</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1.90</w:t>
            </w:r>
            <w:r>
              <w:rPr>
                <w:rFonts w:ascii="Calibri" w:eastAsia="Times New Roman" w:hAnsi="Calibri" w:cs="Times New Roman"/>
              </w:rPr>
              <w:t>×10</w:t>
            </w:r>
            <w:r>
              <w:rPr>
                <w:rFonts w:ascii="Calibri" w:eastAsia="Times New Roman" w:hAnsi="Calibri" w:cs="Times New Roman"/>
                <w:vertAlign w:val="superscript"/>
              </w:rPr>
              <w:t>-5</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Waste: for incineration</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2.90</w:t>
            </w:r>
            <w:r>
              <w:rPr>
                <w:rFonts w:ascii="Calibri" w:eastAsia="Times New Roman" w:hAnsi="Calibri" w:cs="Times New Roman"/>
              </w:rPr>
              <w:t>×10</w:t>
            </w:r>
            <w:r>
              <w:rPr>
                <w:rFonts w:ascii="Calibri" w:eastAsia="Times New Roman" w:hAnsi="Calibri" w:cs="Times New Roman"/>
                <w:vertAlign w:val="superscript"/>
              </w:rPr>
              <w:t>-5</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Waste: oils</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6.10</w:t>
            </w:r>
            <w:r>
              <w:rPr>
                <w:rFonts w:ascii="Calibri" w:eastAsia="Times New Roman" w:hAnsi="Calibri" w:cs="Times New Roman"/>
              </w:rPr>
              <w:t>×10</w:t>
            </w:r>
            <w:r>
              <w:rPr>
                <w:rFonts w:ascii="Calibri" w:eastAsia="Times New Roman" w:hAnsi="Calibri" w:cs="Times New Roman"/>
                <w:vertAlign w:val="superscript"/>
              </w:rPr>
              <w:t>-4</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Waste: filters</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2.90</w:t>
            </w:r>
            <w:r>
              <w:rPr>
                <w:rFonts w:ascii="Calibri" w:eastAsia="Times New Roman" w:hAnsi="Calibri" w:cs="Times New Roman"/>
              </w:rPr>
              <w:t>×10</w:t>
            </w:r>
            <w:r>
              <w:rPr>
                <w:rFonts w:ascii="Calibri" w:eastAsia="Times New Roman" w:hAnsi="Calibri" w:cs="Times New Roman"/>
                <w:vertAlign w:val="superscript"/>
              </w:rPr>
              <w:t>-4</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Waste: slag</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1.11</w:t>
            </w:r>
            <w:r>
              <w:rPr>
                <w:rFonts w:ascii="Calibri" w:eastAsia="Times New Roman" w:hAnsi="Calibri" w:cs="Times New Roman"/>
              </w:rPr>
              <w:t>×10</w:t>
            </w:r>
            <w:r>
              <w:rPr>
                <w:rFonts w:ascii="Calibri" w:eastAsia="Times New Roman" w:hAnsi="Calibri" w:cs="Times New Roman"/>
                <w:vertAlign w:val="superscript"/>
              </w:rPr>
              <w:t>0</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Waste: sludge</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2.40</w:t>
            </w:r>
            <w:r>
              <w:rPr>
                <w:rFonts w:ascii="Calibri" w:eastAsia="Times New Roman" w:hAnsi="Calibri" w:cs="Times New Roman"/>
              </w:rPr>
              <w:t>×10</w:t>
            </w:r>
            <w:r>
              <w:rPr>
                <w:rFonts w:ascii="Calibri" w:eastAsia="Times New Roman" w:hAnsi="Calibri" w:cs="Times New Roman"/>
                <w:vertAlign w:val="superscript"/>
              </w:rPr>
              <w:t>-2</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Waste (other): sulphur</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7.20</w:t>
            </w:r>
            <w:r>
              <w:rPr>
                <w:rFonts w:ascii="Calibri" w:eastAsia="Times New Roman" w:hAnsi="Calibri" w:cs="Times New Roman"/>
              </w:rPr>
              <w:t>×10</w:t>
            </w:r>
            <w:r>
              <w:rPr>
                <w:rFonts w:ascii="Calibri" w:eastAsia="Times New Roman" w:hAnsi="Calibri" w:cs="Times New Roman"/>
                <w:vertAlign w:val="superscript"/>
              </w:rPr>
              <w:t>-5</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Waste (total, excl. waste rock &amp; tailings)</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2.01</w:t>
            </w:r>
            <w:r>
              <w:rPr>
                <w:rFonts w:ascii="Calibri" w:eastAsia="Times New Roman" w:hAnsi="Calibri" w:cs="Times New Roman"/>
              </w:rPr>
              <w:t>×10</w:t>
            </w:r>
            <w:r>
              <w:rPr>
                <w:rFonts w:ascii="Calibri" w:eastAsia="Times New Roman" w:hAnsi="Calibri" w:cs="Times New Roman"/>
                <w:vertAlign w:val="superscript"/>
              </w:rPr>
              <w:t>0</w:t>
            </w:r>
          </w:p>
        </w:tc>
      </w:tr>
      <w:tr w:rsidR="00E22FB6" w:rsidRPr="0054285D" w:rsidTr="00E22FB6">
        <w:trPr>
          <w:trHeight w:val="300"/>
        </w:trPr>
        <w:tc>
          <w:tcPr>
            <w:tcW w:w="4320" w:type="dxa"/>
            <w:tcBorders>
              <w:top w:val="nil"/>
              <w:left w:val="single" w:sz="4" w:space="0" w:color="auto"/>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Recovered Material</w:t>
            </w:r>
          </w:p>
        </w:tc>
        <w:tc>
          <w:tcPr>
            <w:tcW w:w="480" w:type="dxa"/>
            <w:tcBorders>
              <w:top w:val="nil"/>
              <w:left w:val="nil"/>
              <w:bottom w:val="single" w:sz="4" w:space="0" w:color="auto"/>
              <w:right w:val="single" w:sz="4" w:space="0" w:color="auto"/>
            </w:tcBorders>
            <w:shd w:val="clear" w:color="000000" w:fill="FFFFFF"/>
            <w:noWrap/>
            <w:vAlign w:val="center"/>
            <w:hideMark/>
          </w:tcPr>
          <w:p w:rsidR="00E22FB6" w:rsidRPr="0054285D" w:rsidRDefault="00E22FB6" w:rsidP="00E22FB6">
            <w:pPr>
              <w:spacing w:after="0" w:line="240" w:lineRule="auto"/>
              <w:jc w:val="center"/>
              <w:rPr>
                <w:rFonts w:ascii="Times New Roman" w:eastAsia="Times New Roman" w:hAnsi="Times New Roman" w:cs="Times New Roman"/>
              </w:rPr>
            </w:pPr>
            <w:r w:rsidRPr="0054285D">
              <w:rPr>
                <w:rFonts w:ascii="Times New Roman" w:eastAsia="Calibri" w:hAnsi="Times New Roman" w:cs="Times New Roman"/>
              </w:rPr>
              <w:t>kg</w:t>
            </w:r>
          </w:p>
        </w:tc>
        <w:tc>
          <w:tcPr>
            <w:tcW w:w="3280" w:type="dxa"/>
            <w:tcBorders>
              <w:top w:val="nil"/>
              <w:left w:val="nil"/>
              <w:bottom w:val="single" w:sz="4" w:space="0" w:color="auto"/>
              <w:right w:val="single" w:sz="4" w:space="0" w:color="auto"/>
            </w:tcBorders>
            <w:shd w:val="clear" w:color="000000" w:fill="FFFFFF"/>
            <w:noWrap/>
            <w:vAlign w:val="center"/>
            <w:hideMark/>
          </w:tcPr>
          <w:p w:rsidR="00E22FB6" w:rsidRPr="0054285D" w:rsidRDefault="000A62B5" w:rsidP="00E22FB6">
            <w:pPr>
              <w:spacing w:after="0" w:line="240" w:lineRule="auto"/>
              <w:jc w:val="center"/>
              <w:rPr>
                <w:rFonts w:ascii="Times New Roman" w:eastAsia="Times New Roman" w:hAnsi="Times New Roman" w:cs="Times New Roman"/>
              </w:rPr>
            </w:pPr>
            <w:r>
              <w:rPr>
                <w:rFonts w:ascii="Times New Roman" w:eastAsia="Arial" w:hAnsi="Times New Roman" w:cs="Times New Roman"/>
              </w:rPr>
              <w:t>5.90</w:t>
            </w:r>
            <w:r>
              <w:rPr>
                <w:rFonts w:ascii="Calibri" w:eastAsia="Times New Roman" w:hAnsi="Calibri" w:cs="Times New Roman"/>
              </w:rPr>
              <w:t>×10</w:t>
            </w:r>
            <w:r>
              <w:rPr>
                <w:rFonts w:ascii="Calibri" w:eastAsia="Times New Roman" w:hAnsi="Calibri" w:cs="Times New Roman"/>
                <w:vertAlign w:val="superscript"/>
              </w:rPr>
              <w:t>-2</w:t>
            </w:r>
          </w:p>
        </w:tc>
      </w:tr>
    </w:tbl>
    <w:p w:rsidR="00AE7A4C" w:rsidRPr="0054285D" w:rsidRDefault="00423BE9" w:rsidP="00AE7A4C">
      <w:pPr>
        <w:spacing w:line="360" w:lineRule="auto"/>
        <w:rPr>
          <w:rFonts w:ascii="Times New Roman" w:eastAsia="Calibri" w:hAnsi="Times New Roman" w:cs="Times New Roman"/>
        </w:rPr>
      </w:pPr>
      <w:r w:rsidRPr="0054285D">
        <w:rPr>
          <w:rFonts w:ascii="Times New Roman" w:eastAsia="Calibri" w:hAnsi="Times New Roman" w:cs="Times New Roman"/>
        </w:rPr>
        <w:t xml:space="preserve"> Key: r = resources, a = air emissions and w = water emissions.</w:t>
      </w:r>
    </w:p>
    <w:p w:rsidR="00AE7A4C" w:rsidRPr="0054285D" w:rsidRDefault="0064593E" w:rsidP="00AE7A4C">
      <w:pPr>
        <w:spacing w:line="360" w:lineRule="auto"/>
        <w:ind w:firstLine="720"/>
        <w:jc w:val="both"/>
        <w:rPr>
          <w:rFonts w:ascii="Times New Roman" w:eastAsia="Calibri" w:hAnsi="Times New Roman" w:cs="Times New Roman"/>
        </w:rPr>
      </w:pPr>
      <w:r w:rsidRPr="0054285D">
        <w:rPr>
          <w:rFonts w:ascii="Times New Roman" w:eastAsia="Calibri" w:hAnsi="Times New Roman" w:cs="Times New Roman"/>
        </w:rPr>
        <w:t>A number of modifications</w:t>
      </w:r>
      <w:r w:rsidR="00AE7A4C" w:rsidRPr="0054285D">
        <w:rPr>
          <w:rFonts w:ascii="Times New Roman" w:eastAsia="Calibri" w:hAnsi="Times New Roman" w:cs="Times New Roman"/>
        </w:rPr>
        <w:t xml:space="preserve"> were made for b</w:t>
      </w:r>
      <w:r w:rsidRPr="0054285D">
        <w:rPr>
          <w:rFonts w:ascii="Times New Roman" w:eastAsia="Calibri" w:hAnsi="Times New Roman" w:cs="Times New Roman"/>
        </w:rPr>
        <w:t>oth resources and emissions. In terms of</w:t>
      </w:r>
      <w:r w:rsidR="00AE7A4C" w:rsidRPr="0054285D">
        <w:rPr>
          <w:rFonts w:ascii="Times New Roman" w:eastAsia="Calibri" w:hAnsi="Times New Roman" w:cs="Times New Roman"/>
        </w:rPr>
        <w:t xml:space="preserve"> resources, iron ore and </w:t>
      </w:r>
      <w:r w:rsidRPr="0054285D">
        <w:rPr>
          <w:rFonts w:ascii="Times New Roman" w:eastAsia="Calibri" w:hAnsi="Times New Roman" w:cs="Times New Roman"/>
        </w:rPr>
        <w:t>‘</w:t>
      </w:r>
      <w:r w:rsidR="00AE7A4C" w:rsidRPr="0054285D">
        <w:rPr>
          <w:rFonts w:ascii="Times New Roman" w:eastAsia="Calibri" w:hAnsi="Times New Roman" w:cs="Times New Roman"/>
        </w:rPr>
        <w:t>iron in ground</w:t>
      </w:r>
      <w:r w:rsidRPr="0054285D">
        <w:rPr>
          <w:rFonts w:ascii="Times New Roman" w:eastAsia="Calibri" w:hAnsi="Times New Roman" w:cs="Times New Roman"/>
        </w:rPr>
        <w:t>’ flows were combined. Additionally</w:t>
      </w:r>
      <w:r w:rsidR="00AE7A4C" w:rsidRPr="0054285D">
        <w:rPr>
          <w:rFonts w:ascii="Times New Roman" w:eastAsia="Calibri" w:hAnsi="Times New Roman" w:cs="Times New Roman"/>
        </w:rPr>
        <w:t xml:space="preserve"> a new flow for ‘molybdenum in ground’ was created. For air and water emissions, emissions for water were specified as ‘fresh water emissions’. In addition four new flows were created for waste oils, waste filters, waste total and recovered material'. Hydrocarbons (except CH</w:t>
      </w:r>
      <w:r w:rsidR="00AE7A4C" w:rsidRPr="0054285D">
        <w:rPr>
          <w:rFonts w:ascii="Times New Roman" w:eastAsia="Calibri" w:hAnsi="Times New Roman" w:cs="Times New Roman"/>
          <w:vertAlign w:val="subscript"/>
        </w:rPr>
        <w:t>4</w:t>
      </w:r>
      <w:r w:rsidR="00AE7A4C" w:rsidRPr="0054285D">
        <w:rPr>
          <w:rFonts w:ascii="Times New Roman" w:eastAsia="Calibri" w:hAnsi="Times New Roman" w:cs="Times New Roman"/>
        </w:rPr>
        <w:t>) was not available and replaced with hydrocarbons unspecified. Additionally waste other sulphur was replaced with ‘other waste’, due to unavailability. The figure below illustrates how the dat</w:t>
      </w:r>
      <w:r w:rsidRPr="0054285D">
        <w:rPr>
          <w:rFonts w:ascii="Times New Roman" w:eastAsia="Calibri" w:hAnsi="Times New Roman" w:cs="Times New Roman"/>
        </w:rPr>
        <w:t>a was input with the final ferromolybdenum</w:t>
      </w:r>
      <w:r w:rsidR="00AE7A4C" w:rsidRPr="0054285D">
        <w:rPr>
          <w:rFonts w:ascii="Times New Roman" w:eastAsia="Calibri" w:hAnsi="Times New Roman" w:cs="Times New Roman"/>
        </w:rPr>
        <w:t xml:space="preserve"> process indicated on the left hand side.</w:t>
      </w:r>
    </w:p>
    <w:p w:rsidR="00AE7A4C" w:rsidRPr="0054285D" w:rsidRDefault="00AE7A4C" w:rsidP="00AE7A4C">
      <w:pPr>
        <w:spacing w:line="360" w:lineRule="auto"/>
        <w:rPr>
          <w:rFonts w:ascii="Times New Roman" w:eastAsia="Calibri" w:hAnsi="Times New Roman" w:cs="Times New Roman"/>
        </w:rPr>
      </w:pPr>
    </w:p>
    <w:p w:rsidR="00AE7A4C" w:rsidRPr="0054285D" w:rsidRDefault="003601AA" w:rsidP="00AE7A4C">
      <w:pPr>
        <w:spacing w:line="360" w:lineRule="auto"/>
        <w:jc w:val="center"/>
        <w:rPr>
          <w:rFonts w:ascii="Times New Roman" w:eastAsia="Calibri" w:hAnsi="Times New Roman" w:cs="Times New Roman"/>
        </w:rPr>
      </w:pPr>
      <w:r w:rsidRPr="0054285D">
        <w:rPr>
          <w:noProof/>
        </w:rPr>
        <w:lastRenderedPageBreak/>
        <w:drawing>
          <wp:inline distT="0" distB="0" distL="0" distR="0" wp14:anchorId="25E84B57" wp14:editId="5B9F1089">
            <wp:extent cx="5502303" cy="4243258"/>
            <wp:effectExtent l="0" t="0" r="3175" b="508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srcRect l="18930" t="8352" r="18333" b="8083"/>
                    <a:stretch/>
                  </pic:blipFill>
                  <pic:spPr bwMode="auto">
                    <a:xfrm>
                      <a:off x="0" y="0"/>
                      <a:ext cx="5507840" cy="4247528"/>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F34875" w:rsidP="00F34875">
      <w:pPr>
        <w:rPr>
          <w:rFonts w:ascii="Times New Roman" w:eastAsia="Calibri" w:hAnsi="Times New Roman" w:cs="Times New Roman"/>
        </w:rPr>
      </w:pPr>
      <w:bookmarkStart w:id="310" w:name="_Toc495848409"/>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76</w:t>
      </w:r>
      <w:r w:rsidR="009A0ED7" w:rsidRPr="0054285D">
        <w:rPr>
          <w:rFonts w:ascii="Times New Roman" w:hAnsi="Times New Roman" w:cs="Times New Roman"/>
        </w:rPr>
        <w:fldChar w:fldCharType="end"/>
      </w:r>
      <w:r w:rsidRPr="0054285D">
        <w:rPr>
          <w:rFonts w:ascii="Times New Roman" w:hAnsi="Times New Roman" w:cs="Times New Roman"/>
        </w:rPr>
        <w:t xml:space="preserve">. </w:t>
      </w:r>
      <w:r w:rsidR="00AE7A4C" w:rsidRPr="0054285D">
        <w:rPr>
          <w:rFonts w:ascii="Times New Roman" w:eastAsia="Calibri" w:hAnsi="Times New Roman" w:cs="Times New Roman"/>
        </w:rPr>
        <w:t>Illust</w:t>
      </w:r>
      <w:r w:rsidR="0064593E" w:rsidRPr="0054285D">
        <w:rPr>
          <w:rFonts w:ascii="Times New Roman" w:eastAsia="Calibri" w:hAnsi="Times New Roman" w:cs="Times New Roman"/>
        </w:rPr>
        <w:t>ration of inputs to create ferromolybdenum</w:t>
      </w:r>
      <w:r w:rsidR="00AE7A4C" w:rsidRPr="0054285D">
        <w:rPr>
          <w:rFonts w:ascii="Times New Roman" w:eastAsia="Calibri" w:hAnsi="Times New Roman" w:cs="Times New Roman"/>
        </w:rPr>
        <w:t xml:space="preserve"> from data source IMOA.</w:t>
      </w:r>
      <w:bookmarkEnd w:id="310"/>
    </w:p>
    <w:p w:rsidR="0064593E" w:rsidRDefault="00AE7A4C" w:rsidP="00F34875">
      <w:pPr>
        <w:spacing w:line="360" w:lineRule="auto"/>
        <w:ind w:firstLine="720"/>
        <w:jc w:val="both"/>
        <w:rPr>
          <w:rFonts w:ascii="Times New Roman" w:eastAsia="Calibri" w:hAnsi="Times New Roman" w:cs="Times New Roman"/>
        </w:rPr>
      </w:pPr>
      <w:r w:rsidRPr="0054285D">
        <w:rPr>
          <w:rFonts w:ascii="Times New Roman" w:eastAsia="Calibri" w:hAnsi="Times New Roman" w:cs="Times New Roman"/>
        </w:rPr>
        <w:t>Comparison against other</w:t>
      </w:r>
      <w:r w:rsidR="0064593E" w:rsidRPr="0054285D">
        <w:rPr>
          <w:rFonts w:ascii="Times New Roman" w:eastAsia="Calibri" w:hAnsi="Times New Roman" w:cs="Times New Roman"/>
        </w:rPr>
        <w:t xml:space="preserve"> models are</w:t>
      </w:r>
      <w:r w:rsidRPr="0054285D">
        <w:rPr>
          <w:rFonts w:ascii="Times New Roman" w:eastAsia="Calibri" w:hAnsi="Times New Roman" w:cs="Times New Roman"/>
        </w:rPr>
        <w:t xml:space="preserve"> diffic</w:t>
      </w:r>
      <w:r w:rsidR="0064593E" w:rsidRPr="0054285D">
        <w:rPr>
          <w:rFonts w:ascii="Times New Roman" w:eastAsia="Calibri" w:hAnsi="Times New Roman" w:cs="Times New Roman"/>
        </w:rPr>
        <w:t>ult due to limited data of ferromolybdenum</w:t>
      </w:r>
      <w:r w:rsidRPr="0054285D">
        <w:rPr>
          <w:rFonts w:ascii="Times New Roman" w:eastAsia="Calibri" w:hAnsi="Times New Roman" w:cs="Times New Roman"/>
        </w:rPr>
        <w:t xml:space="preserve"> to produce com</w:t>
      </w:r>
      <w:r w:rsidR="0064593E" w:rsidRPr="0054285D">
        <w:rPr>
          <w:rFonts w:ascii="Times New Roman" w:eastAsia="Calibri" w:hAnsi="Times New Roman" w:cs="Times New Roman"/>
        </w:rPr>
        <w:t>parable results. However a ferromolybdenum process</w:t>
      </w:r>
      <w:r w:rsidRPr="0054285D">
        <w:rPr>
          <w:rFonts w:ascii="Times New Roman" w:eastAsia="Calibri" w:hAnsi="Times New Roman" w:cs="Times New Roman"/>
        </w:rPr>
        <w:t xml:space="preserve"> in </w:t>
      </w:r>
      <w:r w:rsidR="004D2D91" w:rsidRPr="0054285D">
        <w:rPr>
          <w:rFonts w:ascii="Times New Roman" w:eastAsia="Calibri" w:hAnsi="Times New Roman" w:cs="Times New Roman"/>
        </w:rPr>
        <w:t>GaBi</w:t>
      </w:r>
      <w:r w:rsidR="0064593E" w:rsidRPr="0054285D">
        <w:rPr>
          <w:rFonts w:ascii="Times New Roman" w:eastAsia="Calibri" w:hAnsi="Times New Roman" w:cs="Times New Roman"/>
        </w:rPr>
        <w:t xml:space="preserve"> was located after creating the process using data from the IMOA. </w:t>
      </w:r>
      <w:r w:rsidRPr="0054285D">
        <w:rPr>
          <w:rFonts w:ascii="Times New Roman" w:eastAsia="Calibri" w:hAnsi="Times New Roman" w:cs="Times New Roman"/>
        </w:rPr>
        <w:t xml:space="preserve"> However</w:t>
      </w:r>
      <w:r w:rsidR="0064593E" w:rsidRPr="0054285D">
        <w:rPr>
          <w:rFonts w:ascii="Times New Roman" w:eastAsia="Calibri" w:hAnsi="Times New Roman" w:cs="Times New Roman"/>
        </w:rPr>
        <w:t>,</w:t>
      </w:r>
      <w:r w:rsidRPr="0054285D">
        <w:rPr>
          <w:rFonts w:ascii="Times New Roman" w:eastAsia="Calibri" w:hAnsi="Times New Roman" w:cs="Times New Roman"/>
        </w:rPr>
        <w:t xml:space="preserve"> the documentation surrounding this was very limited but did state that</w:t>
      </w:r>
      <w:r w:rsidR="0064593E" w:rsidRPr="0054285D">
        <w:rPr>
          <w:rFonts w:ascii="Times New Roman" w:eastAsia="Calibri" w:hAnsi="Times New Roman" w:cs="Times New Roman"/>
        </w:rPr>
        <w:t xml:space="preserve"> ferromolybdenum</w:t>
      </w:r>
      <w:r w:rsidRPr="0054285D">
        <w:rPr>
          <w:rFonts w:ascii="Times New Roman" w:eastAsia="Calibri" w:hAnsi="Times New Roman" w:cs="Times New Roman"/>
        </w:rPr>
        <w:t xml:space="preserve"> mining and roasting was based on mass balance (stoichiometric) while the smelting process was a representative furnace technology. The reference year </w:t>
      </w:r>
      <w:r w:rsidR="0064593E" w:rsidRPr="0054285D">
        <w:rPr>
          <w:rFonts w:ascii="Times New Roman" w:eastAsia="Calibri" w:hAnsi="Times New Roman" w:cs="Times New Roman"/>
        </w:rPr>
        <w:t xml:space="preserve">for the model was </w:t>
      </w:r>
      <w:r w:rsidRPr="0054285D">
        <w:rPr>
          <w:rFonts w:ascii="Times New Roman" w:eastAsia="Calibri" w:hAnsi="Times New Roman" w:cs="Times New Roman"/>
        </w:rPr>
        <w:t>2011.</w:t>
      </w:r>
    </w:p>
    <w:p w:rsidR="0054285D" w:rsidRDefault="0054285D" w:rsidP="0054285D">
      <w:pPr>
        <w:spacing w:line="360" w:lineRule="auto"/>
        <w:jc w:val="both"/>
        <w:rPr>
          <w:rFonts w:ascii="Times New Roman" w:eastAsia="Calibri" w:hAnsi="Times New Roman" w:cs="Times New Roman"/>
        </w:rPr>
      </w:pPr>
    </w:p>
    <w:p w:rsidR="0054285D" w:rsidRDefault="0054285D" w:rsidP="00F34875">
      <w:pPr>
        <w:spacing w:line="360" w:lineRule="auto"/>
        <w:ind w:firstLine="720"/>
        <w:jc w:val="both"/>
        <w:rPr>
          <w:rFonts w:ascii="Times New Roman" w:eastAsia="Calibri" w:hAnsi="Times New Roman" w:cs="Times New Roman"/>
        </w:rPr>
        <w:sectPr w:rsidR="0054285D" w:rsidSect="00C24042">
          <w:pgSz w:w="11906" w:h="16838"/>
          <w:pgMar w:top="1440" w:right="1440" w:bottom="1440" w:left="1440" w:header="708" w:footer="708" w:gutter="0"/>
          <w:cols w:space="708"/>
          <w:docGrid w:linePitch="360"/>
        </w:sectPr>
      </w:pPr>
    </w:p>
    <w:p w:rsidR="00AE7A4C" w:rsidRPr="0054285D" w:rsidRDefault="0054285D" w:rsidP="0054285D">
      <w:pPr>
        <w:pStyle w:val="Heading3"/>
      </w:pPr>
      <w:r w:rsidRPr="0054285D">
        <w:lastRenderedPageBreak/>
        <w:t xml:space="preserve">D5.Ferro-Nickel </w:t>
      </w:r>
    </w:p>
    <w:p w:rsidR="00AE7A4C" w:rsidRPr="0054285D" w:rsidRDefault="00AE7A4C" w:rsidP="00DB0A53">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The </w:t>
      </w:r>
      <w:r w:rsidR="00B63613" w:rsidRPr="0054285D">
        <w:rPr>
          <w:rFonts w:ascii="Times New Roman" w:eastAsia="Calibri" w:hAnsi="Times New Roman" w:cs="Times New Roman"/>
        </w:rPr>
        <w:t>ferronickel</w:t>
      </w:r>
      <w:r w:rsidRPr="0054285D">
        <w:rPr>
          <w:rFonts w:ascii="Times New Roman" w:eastAsia="Calibri" w:hAnsi="Times New Roman" w:cs="Times New Roman"/>
        </w:rPr>
        <w:t xml:space="preserve"> process was created primarily from data by</w:t>
      </w:r>
      <w:r w:rsidR="00533E9A" w:rsidRPr="0054285D">
        <w:rPr>
          <w:rFonts w:ascii="Times New Roman" w:eastAsia="Calibri" w:hAnsi="Times New Roman" w:cs="Times New Roman"/>
        </w:rPr>
        <w:t xml:space="preserve"> </w:t>
      </w:r>
      <w:r w:rsidR="00533E9A" w:rsidRPr="0054285D">
        <w:rPr>
          <w:rFonts w:ascii="Times New Roman" w:eastAsia="Calibri" w:hAnsi="Times New Roman" w:cs="Times New Roman"/>
          <w:noProof/>
        </w:rPr>
        <w:t>(Haque &amp; Norgate 2013)</w:t>
      </w:r>
      <w:r w:rsidRPr="0054285D">
        <w:rPr>
          <w:rFonts w:ascii="Times New Roman" w:eastAsia="Calibri" w:hAnsi="Times New Roman" w:cs="Times New Roman"/>
        </w:rPr>
        <w:t xml:space="preserve">. Alternative data sources </w:t>
      </w:r>
      <w:r w:rsidR="00533E9A" w:rsidRPr="0054285D">
        <w:rPr>
          <w:rFonts w:ascii="Times New Roman" w:eastAsia="Calibri" w:hAnsi="Times New Roman" w:cs="Times New Roman"/>
          <w:noProof/>
        </w:rPr>
        <w:t>(thinkStep 2015)</w:t>
      </w:r>
      <w:r w:rsidRPr="0054285D">
        <w:rPr>
          <w:rFonts w:ascii="Times New Roman" w:eastAsia="Calibri" w:hAnsi="Times New Roman" w:cs="Times New Roman"/>
        </w:rPr>
        <w:t xml:space="preserve"> and</w:t>
      </w:r>
      <w:r w:rsidR="00533E9A" w:rsidRPr="0054285D">
        <w:rPr>
          <w:rFonts w:ascii="Times New Roman" w:eastAsia="Calibri" w:hAnsi="Times New Roman" w:cs="Times New Roman"/>
        </w:rPr>
        <w:t xml:space="preserve"> </w:t>
      </w:r>
      <w:r w:rsidR="00533E9A" w:rsidRPr="0054285D">
        <w:rPr>
          <w:rFonts w:ascii="Times New Roman" w:eastAsia="Calibri" w:hAnsi="Times New Roman" w:cs="Times New Roman"/>
          <w:noProof/>
        </w:rPr>
        <w:t>(Eurometaux 2014)</w:t>
      </w:r>
      <w:r w:rsidRPr="0054285D">
        <w:rPr>
          <w:rFonts w:ascii="Times New Roman" w:eastAsia="Calibri" w:hAnsi="Times New Roman" w:cs="Times New Roman"/>
        </w:rPr>
        <w:t xml:space="preserve"> were utilised to compare and </w:t>
      </w:r>
      <w:r w:rsidR="00D2436E" w:rsidRPr="0054285D">
        <w:rPr>
          <w:rFonts w:ascii="Times New Roman" w:eastAsia="Calibri" w:hAnsi="Times New Roman" w:cs="Times New Roman"/>
        </w:rPr>
        <w:t>contrast against</w:t>
      </w:r>
      <w:r w:rsidR="00533E9A" w:rsidRPr="0054285D">
        <w:rPr>
          <w:rFonts w:ascii="Times New Roman" w:eastAsia="Calibri" w:hAnsi="Times New Roman" w:cs="Times New Roman"/>
        </w:rPr>
        <w:t xml:space="preserve"> </w:t>
      </w:r>
      <w:r w:rsidRPr="0054285D">
        <w:rPr>
          <w:rFonts w:ascii="Times New Roman" w:eastAsia="Calibri" w:hAnsi="Times New Roman" w:cs="Times New Roman"/>
        </w:rPr>
        <w:t>the</w:t>
      </w:r>
      <w:r w:rsidR="00533E9A" w:rsidRPr="0054285D">
        <w:rPr>
          <w:rFonts w:ascii="Times New Roman" w:eastAsia="Calibri" w:hAnsi="Times New Roman" w:cs="Times New Roman"/>
        </w:rPr>
        <w:t xml:space="preserve"> primary ferronickel model</w:t>
      </w:r>
      <w:r w:rsidRPr="0054285D">
        <w:rPr>
          <w:rFonts w:ascii="Times New Roman" w:eastAsia="Calibri" w:hAnsi="Times New Roman" w:cs="Times New Roman"/>
        </w:rPr>
        <w:t>. From all data sources, Haque was the most detailed both in docume</w:t>
      </w:r>
      <w:r w:rsidR="00533E9A" w:rsidRPr="0054285D">
        <w:rPr>
          <w:rFonts w:ascii="Times New Roman" w:eastAsia="Calibri" w:hAnsi="Times New Roman" w:cs="Times New Roman"/>
        </w:rPr>
        <w:t xml:space="preserve">ntation and quantitative data. </w:t>
      </w:r>
      <w:r w:rsidRPr="0054285D">
        <w:rPr>
          <w:rFonts w:ascii="Times New Roman" w:eastAsia="Calibri" w:hAnsi="Times New Roman" w:cs="Times New Roman"/>
        </w:rPr>
        <w:t>The inve</w:t>
      </w:r>
      <w:r w:rsidR="00533E9A" w:rsidRPr="0054285D">
        <w:rPr>
          <w:rFonts w:ascii="Times New Roman" w:eastAsia="Calibri" w:hAnsi="Times New Roman" w:cs="Times New Roman"/>
        </w:rPr>
        <w:t>ntory data used to model ferronickel</w:t>
      </w:r>
      <w:r w:rsidRPr="0054285D">
        <w:rPr>
          <w:rFonts w:ascii="Times New Roman" w:eastAsia="Calibri" w:hAnsi="Times New Roman" w:cs="Times New Roman"/>
        </w:rPr>
        <w:t xml:space="preserve"> is illustrated by </w:t>
      </w:r>
      <w:r w:rsidR="00A6415F" w:rsidRPr="0054285D">
        <w:fldChar w:fldCharType="begin"/>
      </w:r>
      <w:r w:rsidR="00A6415F" w:rsidRPr="0054285D">
        <w:instrText xml:space="preserve"> REF _Ref468621590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52</w:t>
      </w:r>
      <w:r w:rsidR="00A6415F" w:rsidRPr="0054285D">
        <w:fldChar w:fldCharType="end"/>
      </w:r>
      <w:r w:rsidRPr="0054285D">
        <w:rPr>
          <w:rFonts w:ascii="Times New Roman" w:eastAsia="Calibri" w:hAnsi="Times New Roman" w:cs="Times New Roman"/>
        </w:rPr>
        <w:t>.</w:t>
      </w:r>
    </w:p>
    <w:p w:rsidR="00AE7A4C" w:rsidRPr="0054285D" w:rsidRDefault="00DB0A53" w:rsidP="00DB0A53">
      <w:pPr>
        <w:rPr>
          <w:rFonts w:ascii="Times New Roman" w:eastAsia="Calibri" w:hAnsi="Times New Roman" w:cs="Times New Roman"/>
        </w:rPr>
      </w:pPr>
      <w:bookmarkStart w:id="311" w:name="_Ref468621590"/>
      <w:bookmarkStart w:id="312" w:name="_Toc474486559"/>
      <w:bookmarkStart w:id="313" w:name="_Toc495852730"/>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52</w:t>
      </w:r>
      <w:r w:rsidR="009A0ED7" w:rsidRPr="0054285D">
        <w:rPr>
          <w:rFonts w:ascii="Times New Roman" w:hAnsi="Times New Roman" w:cs="Times New Roman"/>
        </w:rPr>
        <w:fldChar w:fldCharType="end"/>
      </w:r>
      <w:bookmarkEnd w:id="311"/>
      <w:r w:rsidRPr="0054285D">
        <w:rPr>
          <w:rFonts w:ascii="Times New Roman" w:hAnsi="Times New Roman" w:cs="Times New Roman"/>
        </w:rPr>
        <w:t xml:space="preserve">. </w:t>
      </w:r>
      <w:r w:rsidR="00AE7A4C" w:rsidRPr="0054285D">
        <w:rPr>
          <w:rFonts w:ascii="Times New Roman" w:eastAsia="Calibri" w:hAnsi="Times New Roman" w:cs="Times New Roman"/>
        </w:rPr>
        <w:t>Inv</w:t>
      </w:r>
      <w:r w:rsidR="00B63613" w:rsidRPr="0054285D">
        <w:rPr>
          <w:rFonts w:ascii="Times New Roman" w:eastAsia="Calibri" w:hAnsi="Times New Roman" w:cs="Times New Roman"/>
        </w:rPr>
        <w:t xml:space="preserve">entory data from Haque for ferronickel production </w:t>
      </w:r>
      <w:r w:rsidR="00B63613" w:rsidRPr="0054285D">
        <w:rPr>
          <w:rFonts w:ascii="Times New Roman" w:eastAsia="Calibri" w:hAnsi="Times New Roman" w:cs="Times New Roman"/>
          <w:noProof/>
        </w:rPr>
        <w:t>(Haque &amp; Norgate 2013)</w:t>
      </w:r>
      <w:r w:rsidR="00B63613" w:rsidRPr="0054285D">
        <w:rPr>
          <w:rFonts w:ascii="Times New Roman" w:eastAsia="Calibri" w:hAnsi="Times New Roman" w:cs="Times New Roman"/>
        </w:rPr>
        <w:t>.</w:t>
      </w:r>
      <w:bookmarkEnd w:id="312"/>
      <w:bookmarkEnd w:id="313"/>
    </w:p>
    <w:tbl>
      <w:tblPr>
        <w:tblW w:w="6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126"/>
        <w:gridCol w:w="1078"/>
        <w:gridCol w:w="1474"/>
      </w:tblGrid>
      <w:tr w:rsidR="00C94B4E" w:rsidRPr="0054285D" w:rsidTr="00D2436E">
        <w:trPr>
          <w:trHeight w:val="300"/>
          <w:jc w:val="center"/>
        </w:trPr>
        <w:tc>
          <w:tcPr>
            <w:tcW w:w="1985"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Stage</w:t>
            </w:r>
          </w:p>
        </w:tc>
        <w:tc>
          <w:tcPr>
            <w:tcW w:w="2126" w:type="dxa"/>
            <w:shd w:val="clear" w:color="auto" w:fill="auto"/>
            <w:noWrap/>
            <w:vAlign w:val="center"/>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Input </w:t>
            </w:r>
          </w:p>
        </w:tc>
        <w:tc>
          <w:tcPr>
            <w:tcW w:w="1078" w:type="dxa"/>
            <w:shd w:val="clear" w:color="auto" w:fill="auto"/>
            <w:noWrap/>
            <w:vAlign w:val="center"/>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Inventory</w:t>
            </w:r>
          </w:p>
        </w:tc>
        <w:tc>
          <w:tcPr>
            <w:tcW w:w="1474" w:type="dxa"/>
            <w:shd w:val="clear" w:color="auto" w:fill="auto"/>
            <w:noWrap/>
            <w:vAlign w:val="center"/>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Units</w:t>
            </w:r>
          </w:p>
        </w:tc>
      </w:tr>
      <w:tr w:rsidR="00C94B4E" w:rsidRPr="0054285D" w:rsidTr="00D2436E">
        <w:trPr>
          <w:trHeight w:val="300"/>
          <w:jc w:val="center"/>
        </w:trPr>
        <w:tc>
          <w:tcPr>
            <w:tcW w:w="1985"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Mining</w:t>
            </w:r>
          </w:p>
        </w:tc>
        <w:tc>
          <w:tcPr>
            <w:tcW w:w="2126"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Electricity </w:t>
            </w:r>
          </w:p>
        </w:tc>
        <w:tc>
          <w:tcPr>
            <w:tcW w:w="1078"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11218.00</w:t>
            </w:r>
          </w:p>
        </w:tc>
        <w:tc>
          <w:tcPr>
            <w:tcW w:w="1474"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kWh / t Fe-Ni</w:t>
            </w:r>
          </w:p>
        </w:tc>
      </w:tr>
      <w:tr w:rsidR="00C94B4E" w:rsidRPr="0054285D" w:rsidTr="00D2436E">
        <w:trPr>
          <w:trHeight w:val="300"/>
          <w:jc w:val="center"/>
        </w:trPr>
        <w:tc>
          <w:tcPr>
            <w:tcW w:w="1985"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p>
        </w:tc>
        <w:tc>
          <w:tcPr>
            <w:tcW w:w="2126"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Diesel</w:t>
            </w:r>
          </w:p>
        </w:tc>
        <w:tc>
          <w:tcPr>
            <w:tcW w:w="1078"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59.00</w:t>
            </w:r>
          </w:p>
        </w:tc>
        <w:tc>
          <w:tcPr>
            <w:tcW w:w="1474"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 t Fe-Ni</w:t>
            </w:r>
          </w:p>
        </w:tc>
      </w:tr>
      <w:tr w:rsidR="00C94B4E" w:rsidRPr="0054285D" w:rsidTr="00D2436E">
        <w:trPr>
          <w:trHeight w:val="300"/>
          <w:jc w:val="center"/>
        </w:trPr>
        <w:tc>
          <w:tcPr>
            <w:tcW w:w="1985"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Metal Production</w:t>
            </w:r>
          </w:p>
        </w:tc>
        <w:tc>
          <w:tcPr>
            <w:tcW w:w="2126"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Coal</w:t>
            </w:r>
          </w:p>
        </w:tc>
        <w:tc>
          <w:tcPr>
            <w:tcW w:w="1078"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3900.00</w:t>
            </w:r>
          </w:p>
        </w:tc>
        <w:tc>
          <w:tcPr>
            <w:tcW w:w="1474"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 t Fe-Ni</w:t>
            </w:r>
          </w:p>
        </w:tc>
      </w:tr>
      <w:tr w:rsidR="00C94B4E" w:rsidRPr="0054285D" w:rsidTr="00D2436E">
        <w:trPr>
          <w:trHeight w:val="300"/>
          <w:jc w:val="center"/>
        </w:trPr>
        <w:tc>
          <w:tcPr>
            <w:tcW w:w="1985"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p>
        </w:tc>
        <w:tc>
          <w:tcPr>
            <w:tcW w:w="2126"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Carbon Electrodes</w:t>
            </w:r>
          </w:p>
        </w:tc>
        <w:tc>
          <w:tcPr>
            <w:tcW w:w="1078"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43.70</w:t>
            </w:r>
          </w:p>
        </w:tc>
        <w:tc>
          <w:tcPr>
            <w:tcW w:w="1474"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 t Fe-Ni</w:t>
            </w:r>
          </w:p>
        </w:tc>
      </w:tr>
      <w:tr w:rsidR="00C94B4E" w:rsidRPr="0054285D" w:rsidTr="00D2436E">
        <w:trPr>
          <w:trHeight w:val="300"/>
          <w:jc w:val="center"/>
        </w:trPr>
        <w:tc>
          <w:tcPr>
            <w:tcW w:w="1985"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p>
        </w:tc>
        <w:tc>
          <w:tcPr>
            <w:tcW w:w="2126"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Lime</w:t>
            </w:r>
          </w:p>
        </w:tc>
        <w:tc>
          <w:tcPr>
            <w:tcW w:w="1078"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71.00</w:t>
            </w:r>
          </w:p>
        </w:tc>
        <w:tc>
          <w:tcPr>
            <w:tcW w:w="1474"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 t Fe-Ni</w:t>
            </w:r>
          </w:p>
        </w:tc>
      </w:tr>
      <w:tr w:rsidR="00C94B4E" w:rsidRPr="0054285D" w:rsidTr="00D2436E">
        <w:trPr>
          <w:trHeight w:val="300"/>
          <w:jc w:val="center"/>
        </w:trPr>
        <w:tc>
          <w:tcPr>
            <w:tcW w:w="1985"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p>
        </w:tc>
        <w:tc>
          <w:tcPr>
            <w:tcW w:w="2126"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Oxygen</w:t>
            </w:r>
          </w:p>
        </w:tc>
        <w:tc>
          <w:tcPr>
            <w:tcW w:w="1078"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49.00</w:t>
            </w:r>
          </w:p>
        </w:tc>
        <w:tc>
          <w:tcPr>
            <w:tcW w:w="1474"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 t Fe-Ni</w:t>
            </w:r>
          </w:p>
        </w:tc>
      </w:tr>
      <w:tr w:rsidR="00C94B4E" w:rsidRPr="0054285D" w:rsidTr="00D2436E">
        <w:trPr>
          <w:trHeight w:val="300"/>
          <w:jc w:val="center"/>
        </w:trPr>
        <w:tc>
          <w:tcPr>
            <w:tcW w:w="1985"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p>
        </w:tc>
        <w:tc>
          <w:tcPr>
            <w:tcW w:w="2126"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Ferro-silicon</w:t>
            </w:r>
          </w:p>
        </w:tc>
        <w:tc>
          <w:tcPr>
            <w:tcW w:w="1078"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2.80</w:t>
            </w:r>
          </w:p>
        </w:tc>
        <w:tc>
          <w:tcPr>
            <w:tcW w:w="1474"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 t Fe-Ni</w:t>
            </w:r>
          </w:p>
        </w:tc>
      </w:tr>
      <w:tr w:rsidR="00C94B4E" w:rsidRPr="0054285D" w:rsidTr="00D2436E">
        <w:trPr>
          <w:trHeight w:val="300"/>
          <w:jc w:val="center"/>
        </w:trPr>
        <w:tc>
          <w:tcPr>
            <w:tcW w:w="1985"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p>
        </w:tc>
        <w:tc>
          <w:tcPr>
            <w:tcW w:w="2126"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Calcium Silicon</w:t>
            </w:r>
          </w:p>
        </w:tc>
        <w:tc>
          <w:tcPr>
            <w:tcW w:w="1078"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2.00</w:t>
            </w:r>
          </w:p>
        </w:tc>
        <w:tc>
          <w:tcPr>
            <w:tcW w:w="1474"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 t Fe-Ni</w:t>
            </w:r>
          </w:p>
        </w:tc>
      </w:tr>
      <w:tr w:rsidR="00C94B4E" w:rsidRPr="0054285D" w:rsidTr="00D2436E">
        <w:trPr>
          <w:trHeight w:val="300"/>
          <w:jc w:val="center"/>
        </w:trPr>
        <w:tc>
          <w:tcPr>
            <w:tcW w:w="1985"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p>
        </w:tc>
        <w:tc>
          <w:tcPr>
            <w:tcW w:w="2126"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Aluminium</w:t>
            </w:r>
          </w:p>
        </w:tc>
        <w:tc>
          <w:tcPr>
            <w:tcW w:w="1078"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6.00</w:t>
            </w:r>
          </w:p>
        </w:tc>
        <w:tc>
          <w:tcPr>
            <w:tcW w:w="1474"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 t Fe-Ni</w:t>
            </w:r>
          </w:p>
        </w:tc>
      </w:tr>
    </w:tbl>
    <w:p w:rsidR="00AE7A4C" w:rsidRPr="0054285D" w:rsidRDefault="00AE7A4C" w:rsidP="00AE7A4C">
      <w:pPr>
        <w:spacing w:line="360" w:lineRule="auto"/>
        <w:rPr>
          <w:rFonts w:ascii="Times New Roman" w:eastAsia="Calibri" w:hAnsi="Times New Roman" w:cs="Times New Roman"/>
        </w:rPr>
      </w:pPr>
    </w:p>
    <w:p w:rsidR="00AE7A4C" w:rsidRPr="0054285D" w:rsidRDefault="00EA6EB2" w:rsidP="00DB0A53">
      <w:pPr>
        <w:spacing w:after="0" w:line="360" w:lineRule="auto"/>
        <w:ind w:firstLine="720"/>
        <w:contextualSpacing/>
        <w:jc w:val="both"/>
        <w:rPr>
          <w:rFonts w:ascii="Times New Roman" w:eastAsia="Calibri" w:hAnsi="Times New Roman" w:cs="Times New Roman"/>
        </w:rPr>
      </w:pPr>
      <w:r w:rsidRPr="0054285D">
        <w:rPr>
          <w:rFonts w:ascii="Times New Roman" w:eastAsia="Calibri" w:hAnsi="Times New Roman" w:cs="Times New Roman"/>
        </w:rPr>
        <w:t>Corresponding to previously created ferro-alloys</w:t>
      </w:r>
      <w:r w:rsidR="00AE7A4C" w:rsidRPr="0054285D">
        <w:rPr>
          <w:rFonts w:ascii="Times New Roman" w:eastAsia="Calibri" w:hAnsi="Times New Roman" w:cs="Times New Roman"/>
        </w:rPr>
        <w:t xml:space="preserve">, a centralised process was created where all inputs from </w:t>
      </w:r>
      <w:r w:rsidR="00A6415F" w:rsidRPr="0054285D">
        <w:fldChar w:fldCharType="begin"/>
      </w:r>
      <w:r w:rsidR="00A6415F" w:rsidRPr="0054285D">
        <w:instrText xml:space="preserve"> REF _Ref468621590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52</w:t>
      </w:r>
      <w:r w:rsidR="00A6415F" w:rsidRPr="0054285D">
        <w:fldChar w:fldCharType="end"/>
      </w:r>
      <w:r w:rsidR="00AE7A4C" w:rsidRPr="0054285D">
        <w:rPr>
          <w:rFonts w:ascii="Times New Roman" w:eastAsia="Calibri" w:hAnsi="Times New Roman" w:cs="Times New Roman"/>
        </w:rPr>
        <w:t xml:space="preserve"> were inserted</w:t>
      </w:r>
      <w:r w:rsidRPr="0054285D">
        <w:rPr>
          <w:rFonts w:ascii="Times New Roman" w:eastAsia="Calibri" w:hAnsi="Times New Roman" w:cs="Times New Roman"/>
        </w:rPr>
        <w:t>,</w:t>
      </w:r>
      <w:r w:rsidR="00AE7A4C" w:rsidRPr="0054285D">
        <w:rPr>
          <w:rFonts w:ascii="Times New Roman" w:eastAsia="Calibri" w:hAnsi="Times New Roman" w:cs="Times New Roman"/>
        </w:rPr>
        <w:t xml:space="preserve"> and all units converted to kg/t Fe-Ni for mass and kWh/t Fe-Ni for energy. The output of the process was set to the fu</w:t>
      </w:r>
      <w:r w:rsidRPr="0054285D">
        <w:rPr>
          <w:rFonts w:ascii="Times New Roman" w:eastAsia="Calibri" w:hAnsi="Times New Roman" w:cs="Times New Roman"/>
        </w:rPr>
        <w:t>nctional unit of 1000kg of ferronickel</w:t>
      </w:r>
      <w:r w:rsidR="00AE7A4C" w:rsidRPr="0054285D">
        <w:rPr>
          <w:rFonts w:ascii="Times New Roman" w:eastAsia="Calibri" w:hAnsi="Times New Roman" w:cs="Times New Roman"/>
        </w:rPr>
        <w:t xml:space="preserve">. Related processes to the flows were located in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and connected to the central process as shown by </w:t>
      </w:r>
      <w:r w:rsidR="00A6415F" w:rsidRPr="0054285D">
        <w:fldChar w:fldCharType="begin"/>
      </w:r>
      <w:r w:rsidR="00A6415F" w:rsidRPr="0054285D">
        <w:instrText xml:space="preserve"> REF _Ref468621688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77</w:t>
      </w:r>
      <w:r w:rsidR="00A6415F" w:rsidRPr="0054285D">
        <w:fldChar w:fldCharType="end"/>
      </w:r>
      <w:r w:rsidR="00AE7A4C" w:rsidRPr="0054285D">
        <w:rPr>
          <w:rFonts w:ascii="Times New Roman" w:eastAsia="Calibri" w:hAnsi="Times New Roman" w:cs="Times New Roman"/>
        </w:rPr>
        <w:t>.</w:t>
      </w:r>
    </w:p>
    <w:p w:rsidR="00AE7A4C" w:rsidRPr="0054285D" w:rsidRDefault="00AE7A4C" w:rsidP="00DB0A53">
      <w:pPr>
        <w:spacing w:after="0" w:line="360" w:lineRule="auto"/>
        <w:ind w:firstLine="720"/>
        <w:contextualSpacing/>
        <w:jc w:val="both"/>
        <w:rPr>
          <w:rFonts w:ascii="Times New Roman" w:eastAsia="Calibri" w:hAnsi="Times New Roman" w:cs="Times New Roman"/>
        </w:rPr>
      </w:pPr>
      <w:r w:rsidRPr="0054285D">
        <w:rPr>
          <w:rFonts w:ascii="Times New Roman" w:eastAsia="Calibri" w:hAnsi="Times New Roman" w:cs="Times New Roman"/>
        </w:rPr>
        <w:t>The main input, in terms of energy, was electricity whilst the main input from mass, was from coal. For the modelling of the process the source of electricity was selected as Australia, initially to build the model, but then altered to average electricity based on</w:t>
      </w:r>
      <w:r w:rsidR="00EA6EB2" w:rsidRPr="0054285D">
        <w:rPr>
          <w:rFonts w:ascii="Times New Roman" w:eastAsia="Calibri" w:hAnsi="Times New Roman" w:cs="Times New Roman"/>
        </w:rPr>
        <w:t xml:space="preserve"> global ferronickel</w:t>
      </w:r>
      <w:r w:rsidRPr="0054285D">
        <w:rPr>
          <w:rFonts w:ascii="Times New Roman" w:eastAsia="Calibri" w:hAnsi="Times New Roman" w:cs="Times New Roman"/>
        </w:rPr>
        <w:t xml:space="preserve"> production. The mining and metal production stages were combined for ease of modelling. Combining the two steps would not make a significant difference to cause deviations in the results from the model. Due to the presence of carbon, carbon corrections were made for coal and carbon electrodes. Finally in terms of percentages of material, the following assumptions were made: 1.3% Ni in laterite ore, 95% overall nickel recovery, 30% Ni in Fe-Ni and an overall 95% nickel recovery. The </w:t>
      </w:r>
      <w:r w:rsidR="00EA6EB2" w:rsidRPr="0054285D">
        <w:rPr>
          <w:rFonts w:ascii="Times New Roman" w:eastAsia="Calibri" w:hAnsi="Times New Roman" w:cs="Times New Roman"/>
        </w:rPr>
        <w:t xml:space="preserve">complete </w:t>
      </w:r>
      <w:r w:rsidRPr="0054285D">
        <w:rPr>
          <w:rFonts w:ascii="Times New Roman" w:eastAsia="Calibri" w:hAnsi="Times New Roman" w:cs="Times New Roman"/>
        </w:rPr>
        <w:t xml:space="preserve">global </w:t>
      </w:r>
      <w:r w:rsidR="00EA6EB2" w:rsidRPr="0054285D">
        <w:rPr>
          <w:rFonts w:ascii="Times New Roman" w:eastAsia="Calibri" w:hAnsi="Times New Roman" w:cs="Times New Roman"/>
        </w:rPr>
        <w:t xml:space="preserve">ferronickel </w:t>
      </w:r>
      <w:r w:rsidRPr="0054285D">
        <w:rPr>
          <w:rFonts w:ascii="Times New Roman" w:eastAsia="Calibri" w:hAnsi="Times New Roman" w:cs="Times New Roman"/>
        </w:rPr>
        <w:t>model utilising</w:t>
      </w:r>
      <w:r w:rsidR="004678B9" w:rsidRPr="0054285D">
        <w:rPr>
          <w:rFonts w:ascii="Times New Roman" w:eastAsia="Calibri" w:hAnsi="Times New Roman" w:cs="Times New Roman"/>
        </w:rPr>
        <w:t xml:space="preserve"> data from Haque is shown by </w:t>
      </w:r>
      <w:r w:rsidR="00A6415F" w:rsidRPr="0054285D">
        <w:fldChar w:fldCharType="begin"/>
      </w:r>
      <w:r w:rsidR="00A6415F" w:rsidRPr="0054285D">
        <w:instrText xml:space="preserve"> REF _Ref468621688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77</w:t>
      </w:r>
      <w:r w:rsidR="00A6415F" w:rsidRPr="0054285D">
        <w:fldChar w:fldCharType="end"/>
      </w:r>
      <w:r w:rsidRPr="0054285D">
        <w:rPr>
          <w:rFonts w:ascii="Times New Roman" w:eastAsia="Calibri" w:hAnsi="Times New Roman" w:cs="Times New Roman"/>
        </w:rPr>
        <w:t>.</w:t>
      </w:r>
    </w:p>
    <w:p w:rsidR="00AE7A4C" w:rsidRPr="0054285D" w:rsidRDefault="00DB0A53" w:rsidP="00D2436E">
      <w:pPr>
        <w:jc w:val="center"/>
        <w:rPr>
          <w:rFonts w:ascii="Times New Roman" w:eastAsia="Calibri" w:hAnsi="Times New Roman" w:cs="Times New Roman"/>
        </w:rPr>
      </w:pPr>
      <w:r w:rsidRPr="0054285D">
        <w:rPr>
          <w:noProof/>
        </w:rPr>
        <w:lastRenderedPageBreak/>
        <w:drawing>
          <wp:inline distT="0" distB="0" distL="0" distR="0">
            <wp:extent cx="5231958" cy="3414999"/>
            <wp:effectExtent l="0" t="0" r="6985"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srcRect l="33168" t="38230" r="21756" b="9463"/>
                    <a:stretch/>
                  </pic:blipFill>
                  <pic:spPr bwMode="auto">
                    <a:xfrm>
                      <a:off x="0" y="0"/>
                      <a:ext cx="5247742" cy="3425302"/>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DB0A53" w:rsidP="00DB0A53">
      <w:pPr>
        <w:rPr>
          <w:rFonts w:ascii="Times New Roman" w:eastAsia="Calibri" w:hAnsi="Times New Roman" w:cs="Times New Roman"/>
        </w:rPr>
      </w:pPr>
      <w:bookmarkStart w:id="314" w:name="_Ref468621688"/>
      <w:bookmarkStart w:id="315" w:name="_Toc495848410"/>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77</w:t>
      </w:r>
      <w:r w:rsidR="009A0ED7" w:rsidRPr="0054285D">
        <w:rPr>
          <w:rFonts w:ascii="Times New Roman" w:hAnsi="Times New Roman" w:cs="Times New Roman"/>
        </w:rPr>
        <w:fldChar w:fldCharType="end"/>
      </w:r>
      <w:bookmarkEnd w:id="314"/>
      <w:r w:rsidRPr="0054285D">
        <w:rPr>
          <w:rFonts w:ascii="Times New Roman" w:hAnsi="Times New Roman" w:cs="Times New Roman"/>
        </w:rPr>
        <w:t xml:space="preserve">. </w:t>
      </w:r>
      <w:r w:rsidR="00EA6EB2" w:rsidRPr="0054285D">
        <w:rPr>
          <w:rFonts w:ascii="Times New Roman" w:eastAsia="Calibri" w:hAnsi="Times New Roman" w:cs="Times New Roman"/>
        </w:rPr>
        <w:t>Global ferronickel</w:t>
      </w:r>
      <w:r w:rsidR="00AE7A4C" w:rsidRPr="0054285D">
        <w:rPr>
          <w:rFonts w:ascii="Times New Roman" w:eastAsia="Calibri" w:hAnsi="Times New Roman" w:cs="Times New Roman"/>
        </w:rPr>
        <w:t xml:space="preserve"> model.</w:t>
      </w:r>
      <w:bookmarkEnd w:id="315"/>
    </w:p>
    <w:p w:rsidR="00AE7A4C" w:rsidRPr="0054285D" w:rsidRDefault="00AE7A4C" w:rsidP="004678B9">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Like the processes for </w:t>
      </w:r>
      <w:r w:rsidR="004678B9" w:rsidRPr="0054285D">
        <w:rPr>
          <w:rFonts w:ascii="Times New Roman" w:eastAsia="Calibri" w:hAnsi="Times New Roman" w:cs="Times New Roman"/>
        </w:rPr>
        <w:t>ferrochrome and ferromanganese, a ferronickel</w:t>
      </w:r>
      <w:r w:rsidRPr="0054285D">
        <w:rPr>
          <w:rFonts w:ascii="Times New Roman" w:eastAsia="Calibri" w:hAnsi="Times New Roman" w:cs="Times New Roman"/>
        </w:rPr>
        <w:t xml:space="preserve"> process was available from </w:t>
      </w:r>
      <w:r w:rsidR="004D2D91" w:rsidRPr="0054285D">
        <w:rPr>
          <w:rFonts w:ascii="Times New Roman" w:eastAsia="Calibri" w:hAnsi="Times New Roman" w:cs="Times New Roman"/>
        </w:rPr>
        <w:t>GaBi</w:t>
      </w:r>
      <w:r w:rsidRPr="0054285D">
        <w:rPr>
          <w:rFonts w:ascii="Times New Roman" w:eastAsia="Calibri" w:hAnsi="Times New Roman" w:cs="Times New Roman"/>
        </w:rPr>
        <w:t xml:space="preserve"> for comparison. </w:t>
      </w:r>
      <w:r w:rsidR="004678B9" w:rsidRPr="0054285D">
        <w:rPr>
          <w:rFonts w:ascii="Times New Roman" w:eastAsia="Calibri" w:hAnsi="Times New Roman" w:cs="Times New Roman"/>
        </w:rPr>
        <w:t xml:space="preserve">For </w:t>
      </w:r>
      <w:r w:rsidR="004D2D91" w:rsidRPr="0054285D">
        <w:rPr>
          <w:rFonts w:ascii="Times New Roman" w:eastAsia="Calibri" w:hAnsi="Times New Roman" w:cs="Times New Roman"/>
        </w:rPr>
        <w:t>GaBi</w:t>
      </w:r>
      <w:r w:rsidR="004678B9" w:rsidRPr="0054285D">
        <w:rPr>
          <w:rFonts w:ascii="Times New Roman" w:eastAsia="Calibri" w:hAnsi="Times New Roman" w:cs="Times New Roman"/>
        </w:rPr>
        <w:t xml:space="preserve"> ferronickel</w:t>
      </w:r>
      <w:r w:rsidRPr="0054285D">
        <w:rPr>
          <w:rFonts w:ascii="Times New Roman" w:eastAsia="Calibri" w:hAnsi="Times New Roman" w:cs="Times New Roman"/>
        </w:rPr>
        <w:t>, the geographic representativeness of the data was a mix of the Dominican Republic, Japan and New Caledonia. In terms of technology representa</w:t>
      </w:r>
      <w:r w:rsidR="004678B9" w:rsidRPr="0054285D">
        <w:rPr>
          <w:rFonts w:ascii="Times New Roman" w:eastAsia="Calibri" w:hAnsi="Times New Roman" w:cs="Times New Roman"/>
        </w:rPr>
        <w:t>tiveness, the data set described</w:t>
      </w:r>
      <w:r w:rsidRPr="0054285D">
        <w:rPr>
          <w:rFonts w:ascii="Times New Roman" w:eastAsia="Calibri" w:hAnsi="Times New Roman" w:cs="Times New Roman"/>
        </w:rPr>
        <w:t xml:space="preserve"> global</w:t>
      </w:r>
      <w:r w:rsidR="004678B9" w:rsidRPr="0054285D">
        <w:rPr>
          <w:rFonts w:ascii="Times New Roman" w:eastAsia="Calibri" w:hAnsi="Times New Roman" w:cs="Times New Roman"/>
        </w:rPr>
        <w:t xml:space="preserve"> ferronickel</w:t>
      </w:r>
      <w:r w:rsidRPr="0054285D">
        <w:rPr>
          <w:rFonts w:ascii="Times New Roman" w:eastAsia="Calibri" w:hAnsi="Times New Roman" w:cs="Times New Roman"/>
        </w:rPr>
        <w:t xml:space="preserve"> production as follows. Initial mining of nickel ore occurs via open cast and underground mines. Primary source of nickel ore is from copper ore, which must first be treated by grinding, flotation or magnetic separation to produce a copper-nickel concentrate. The copper and nickel are separated via the matte refining process after smelting and the concentrate is transported to the melting furnace. The smelter utilised is commonly an EAF. Secondary sources of nickel are also produced via nickel sulphides. The data set covers 95% of production and is for the year 2013. The inputs and ou</w:t>
      </w:r>
      <w:r w:rsidR="004678B9" w:rsidRPr="0054285D">
        <w:rPr>
          <w:rFonts w:ascii="Times New Roman" w:eastAsia="Calibri" w:hAnsi="Times New Roman" w:cs="Times New Roman"/>
        </w:rPr>
        <w:t xml:space="preserve">tputs associated with </w:t>
      </w:r>
      <w:r w:rsidR="004D2D91" w:rsidRPr="0054285D">
        <w:rPr>
          <w:rFonts w:ascii="Times New Roman" w:eastAsia="Calibri" w:hAnsi="Times New Roman" w:cs="Times New Roman"/>
        </w:rPr>
        <w:t>GaBi</w:t>
      </w:r>
      <w:r w:rsidR="004678B9" w:rsidRPr="0054285D">
        <w:rPr>
          <w:rFonts w:ascii="Times New Roman" w:eastAsia="Calibri" w:hAnsi="Times New Roman" w:cs="Times New Roman"/>
        </w:rPr>
        <w:t xml:space="preserve"> ferronickel</w:t>
      </w:r>
      <w:r w:rsidRPr="0054285D">
        <w:rPr>
          <w:rFonts w:ascii="Times New Roman" w:eastAsia="Calibri" w:hAnsi="Times New Roman" w:cs="Times New Roman"/>
        </w:rPr>
        <w:t xml:space="preserve"> production</w:t>
      </w:r>
      <w:r w:rsidR="004678B9" w:rsidRPr="0054285D">
        <w:rPr>
          <w:rFonts w:ascii="Times New Roman" w:eastAsia="Calibri" w:hAnsi="Times New Roman" w:cs="Times New Roman"/>
        </w:rPr>
        <w:t xml:space="preserve"> are shown by </w:t>
      </w:r>
      <w:r w:rsidR="00A6415F" w:rsidRPr="0054285D">
        <w:fldChar w:fldCharType="begin"/>
      </w:r>
      <w:r w:rsidR="00A6415F" w:rsidRPr="0054285D">
        <w:instrText xml:space="preserve"> REF _Ref473752515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78</w:t>
      </w:r>
      <w:r w:rsidR="00A6415F" w:rsidRPr="0054285D">
        <w:fldChar w:fldCharType="end"/>
      </w:r>
      <w:r w:rsidRPr="0054285D">
        <w:rPr>
          <w:rFonts w:ascii="Times New Roman" w:eastAsia="Calibri" w:hAnsi="Times New Roman" w:cs="Times New Roman"/>
        </w:rPr>
        <w:t>.</w:t>
      </w:r>
    </w:p>
    <w:p w:rsidR="00AE7A4C" w:rsidRPr="0054285D" w:rsidRDefault="003601AA" w:rsidP="00D2436E">
      <w:pPr>
        <w:jc w:val="center"/>
        <w:rPr>
          <w:rFonts w:ascii="Times New Roman" w:eastAsia="Calibri" w:hAnsi="Times New Roman" w:cs="Times New Roman"/>
        </w:rPr>
      </w:pPr>
      <w:r w:rsidRPr="0054285D">
        <w:rPr>
          <w:noProof/>
        </w:rPr>
        <w:lastRenderedPageBreak/>
        <w:drawing>
          <wp:inline distT="0" distB="0" distL="0" distR="0" wp14:anchorId="5A3BC4F0" wp14:editId="41FF0554">
            <wp:extent cx="5731510" cy="2948305"/>
            <wp:effectExtent l="0" t="0" r="254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srcRect l="9851" t="32063" r="47806" b="29206"/>
                    <a:stretch/>
                  </pic:blipFill>
                  <pic:spPr bwMode="auto">
                    <a:xfrm>
                      <a:off x="0" y="0"/>
                      <a:ext cx="5731510" cy="2948305"/>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DB0A53" w:rsidP="00DB0A53">
      <w:pPr>
        <w:rPr>
          <w:rFonts w:ascii="Times New Roman" w:eastAsia="Calibri" w:hAnsi="Times New Roman" w:cs="Times New Roman"/>
        </w:rPr>
      </w:pPr>
      <w:bookmarkStart w:id="316" w:name="_Ref473752515"/>
      <w:bookmarkStart w:id="317" w:name="_Toc495848411"/>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78</w:t>
      </w:r>
      <w:r w:rsidR="009A0ED7" w:rsidRPr="0054285D">
        <w:rPr>
          <w:rFonts w:ascii="Times New Roman" w:hAnsi="Times New Roman" w:cs="Times New Roman"/>
        </w:rPr>
        <w:fldChar w:fldCharType="end"/>
      </w:r>
      <w:bookmarkEnd w:id="316"/>
      <w:r w:rsidRPr="0054285D">
        <w:rPr>
          <w:rFonts w:ascii="Times New Roman" w:hAnsi="Times New Roman" w:cs="Times New Roman"/>
        </w:rPr>
        <w:t xml:space="preserve">. </w:t>
      </w:r>
      <w:r w:rsidR="004D2D91" w:rsidRPr="0054285D">
        <w:rPr>
          <w:rFonts w:ascii="Times New Roman" w:eastAsia="Calibri" w:hAnsi="Times New Roman" w:cs="Times New Roman"/>
        </w:rPr>
        <w:t>GaBi</w:t>
      </w:r>
      <w:r w:rsidR="00EA6EB2" w:rsidRPr="0054285D">
        <w:rPr>
          <w:rFonts w:ascii="Times New Roman" w:eastAsia="Calibri" w:hAnsi="Times New Roman" w:cs="Times New Roman"/>
        </w:rPr>
        <w:t xml:space="preserve"> ferronickel model </w:t>
      </w:r>
      <w:r w:rsidR="00EA6EB2" w:rsidRPr="0054285D">
        <w:rPr>
          <w:rFonts w:ascii="Times New Roman" w:eastAsia="Calibri" w:hAnsi="Times New Roman" w:cs="Times New Roman"/>
          <w:noProof/>
        </w:rPr>
        <w:t>(thinkStep 2015)</w:t>
      </w:r>
      <w:r w:rsidR="00EA6EB2" w:rsidRPr="0054285D">
        <w:rPr>
          <w:rFonts w:ascii="Times New Roman" w:eastAsia="Calibri" w:hAnsi="Times New Roman" w:cs="Times New Roman"/>
        </w:rPr>
        <w:t>.</w:t>
      </w:r>
      <w:bookmarkEnd w:id="317"/>
    </w:p>
    <w:p w:rsidR="00AE7A4C" w:rsidRPr="0054285D" w:rsidRDefault="00AE7A4C" w:rsidP="00DB0A53">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Al alternative data source, Eurometau</w:t>
      </w:r>
      <w:r w:rsidR="004678B9" w:rsidRPr="0054285D">
        <w:rPr>
          <w:rFonts w:ascii="Times New Roman" w:eastAsia="Calibri" w:hAnsi="Times New Roman" w:cs="Times New Roman"/>
        </w:rPr>
        <w:t>x, was available to create ferronickel</w:t>
      </w:r>
      <w:r w:rsidRPr="0054285D">
        <w:rPr>
          <w:rFonts w:ascii="Times New Roman" w:eastAsia="Calibri" w:hAnsi="Times New Roman" w:cs="Times New Roman"/>
        </w:rPr>
        <w:t>. However after an extensive literature source, no process or data to create the laterite ore process could be located. Due to the ore being the principal input of 20,000 kg/t Fe-Ni, the process was modelled and the results analysed to see if the presence or absence of the laterite ore would make any difference.</w:t>
      </w:r>
    </w:p>
    <w:p w:rsidR="00AE7A4C" w:rsidRPr="0054285D" w:rsidRDefault="003601AA" w:rsidP="00AE7A4C">
      <w:pPr>
        <w:spacing w:line="360" w:lineRule="auto"/>
        <w:jc w:val="center"/>
        <w:rPr>
          <w:rFonts w:ascii="Times New Roman" w:eastAsia="Calibri" w:hAnsi="Times New Roman" w:cs="Times New Roman"/>
        </w:rPr>
      </w:pPr>
      <w:r w:rsidRPr="0054285D">
        <w:rPr>
          <w:noProof/>
        </w:rPr>
        <w:drawing>
          <wp:inline distT="0" distB="0" distL="0" distR="0" wp14:anchorId="620C0D9F" wp14:editId="037377C3">
            <wp:extent cx="5706612" cy="3045125"/>
            <wp:effectExtent l="0" t="0" r="8890" b="3175"/>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print"/>
                    <a:srcRect l="34471" t="42285" r="24897" b="19167"/>
                    <a:stretch/>
                  </pic:blipFill>
                  <pic:spPr bwMode="auto">
                    <a:xfrm>
                      <a:off x="0" y="0"/>
                      <a:ext cx="5731132" cy="3058209"/>
                    </a:xfrm>
                    <a:prstGeom prst="rect">
                      <a:avLst/>
                    </a:prstGeom>
                    <a:ln>
                      <a:noFill/>
                    </a:ln>
                    <a:extLst>
                      <a:ext uri="{53640926-AAD7-44D8-BBD7-CCE9431645EC}">
                        <a14:shadowObscured xmlns:a14="http://schemas.microsoft.com/office/drawing/2010/main"/>
                      </a:ext>
                    </a:extLst>
                  </pic:spPr>
                </pic:pic>
              </a:graphicData>
            </a:graphic>
          </wp:inline>
        </w:drawing>
      </w:r>
    </w:p>
    <w:p w:rsidR="00AE7A4C" w:rsidRDefault="00DB0A53" w:rsidP="00DB0A53">
      <w:pPr>
        <w:rPr>
          <w:rFonts w:ascii="Times New Roman" w:eastAsia="Calibri" w:hAnsi="Times New Roman" w:cs="Times New Roman"/>
        </w:rPr>
      </w:pPr>
      <w:bookmarkStart w:id="318" w:name="_Toc495848412"/>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79</w:t>
      </w:r>
      <w:r w:rsidR="009A0ED7" w:rsidRPr="0054285D">
        <w:rPr>
          <w:rFonts w:ascii="Times New Roman" w:hAnsi="Times New Roman" w:cs="Times New Roman"/>
        </w:rPr>
        <w:fldChar w:fldCharType="end"/>
      </w:r>
      <w:r w:rsidRPr="0054285D">
        <w:rPr>
          <w:rFonts w:ascii="Times New Roman" w:hAnsi="Times New Roman" w:cs="Times New Roman"/>
        </w:rPr>
        <w:t xml:space="preserve">. </w:t>
      </w:r>
      <w:r w:rsidR="00EA6EB2" w:rsidRPr="0054285D">
        <w:rPr>
          <w:rFonts w:ascii="Times New Roman" w:eastAsia="Calibri" w:hAnsi="Times New Roman" w:cs="Times New Roman"/>
        </w:rPr>
        <w:t>Ferronickel model based on Eurometaux data.</w:t>
      </w:r>
      <w:bookmarkEnd w:id="318"/>
    </w:p>
    <w:p w:rsidR="0054285D" w:rsidRDefault="0054285D" w:rsidP="00DB0A53">
      <w:pPr>
        <w:rPr>
          <w:rFonts w:ascii="Times New Roman" w:eastAsia="Calibri" w:hAnsi="Times New Roman" w:cs="Times New Roman"/>
        </w:rPr>
      </w:pPr>
    </w:p>
    <w:p w:rsidR="0054285D" w:rsidRDefault="0054285D" w:rsidP="00DB0A53">
      <w:pPr>
        <w:sectPr w:rsidR="0054285D" w:rsidSect="00C24042">
          <w:pgSz w:w="11906" w:h="16838"/>
          <w:pgMar w:top="1440" w:right="1440" w:bottom="1440" w:left="1440" w:header="708" w:footer="708" w:gutter="0"/>
          <w:cols w:space="708"/>
          <w:docGrid w:linePitch="360"/>
        </w:sectPr>
      </w:pPr>
    </w:p>
    <w:p w:rsidR="00AE7A4C" w:rsidRPr="0054285D" w:rsidRDefault="00C95582" w:rsidP="0054285D">
      <w:pPr>
        <w:pStyle w:val="Heading3"/>
      </w:pPr>
      <w:r w:rsidRPr="0054285D">
        <w:lastRenderedPageBreak/>
        <w:t>D6.Ferro</w:t>
      </w:r>
      <w:r w:rsidR="0054285D" w:rsidRPr="0054285D">
        <w:t xml:space="preserve">-Niobium </w:t>
      </w:r>
    </w:p>
    <w:p w:rsidR="00AE7A4C" w:rsidRPr="0054285D" w:rsidRDefault="0021435B" w:rsidP="00A34349">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Data</w:t>
      </w:r>
      <w:r w:rsidR="006B53B6" w:rsidRPr="0054285D">
        <w:rPr>
          <w:rFonts w:ascii="Times New Roman" w:eastAsia="Calibri" w:hAnsi="Times New Roman" w:cs="Times New Roman"/>
        </w:rPr>
        <w:t xml:space="preserve"> for</w:t>
      </w:r>
      <w:r w:rsidRPr="0054285D">
        <w:rPr>
          <w:rFonts w:ascii="Times New Roman" w:eastAsia="Calibri" w:hAnsi="Times New Roman" w:cs="Times New Roman"/>
        </w:rPr>
        <w:t xml:space="preserve"> ferroniobium </w:t>
      </w:r>
      <w:r w:rsidR="00AE7A4C" w:rsidRPr="0054285D">
        <w:rPr>
          <w:rFonts w:ascii="Times New Roman" w:eastAsia="Calibri" w:hAnsi="Times New Roman" w:cs="Times New Roman"/>
        </w:rPr>
        <w:t xml:space="preserve">production was from two literature sources, </w:t>
      </w:r>
      <w:r w:rsidRPr="0054285D">
        <w:rPr>
          <w:rFonts w:ascii="Times New Roman" w:eastAsia="Calibri" w:hAnsi="Times New Roman" w:cs="Times New Roman"/>
          <w:noProof/>
        </w:rPr>
        <w:t>(Nuss &amp; Eckelman 2014)</w:t>
      </w:r>
      <w:r w:rsidR="00AE7A4C" w:rsidRPr="0054285D">
        <w:rPr>
          <w:rFonts w:ascii="Times New Roman" w:eastAsia="Calibri" w:hAnsi="Times New Roman" w:cs="Times New Roman"/>
        </w:rPr>
        <w:t xml:space="preserve"> and </w:t>
      </w:r>
      <w:r w:rsidRPr="0054285D">
        <w:rPr>
          <w:rFonts w:ascii="Times New Roman" w:eastAsia="Calibri" w:hAnsi="Times New Roman" w:cs="Times New Roman"/>
          <w:noProof/>
        </w:rPr>
        <w:t>(Gasik.M 2013)</w:t>
      </w:r>
      <w:r w:rsidR="006B53B6" w:rsidRPr="0054285D">
        <w:rPr>
          <w:rFonts w:ascii="Times New Roman" w:eastAsia="Calibri" w:hAnsi="Times New Roman" w:cs="Times New Roman"/>
        </w:rPr>
        <w:t>. The selection of both of these</w:t>
      </w:r>
      <w:r w:rsidR="00AE7A4C" w:rsidRPr="0054285D">
        <w:rPr>
          <w:rFonts w:ascii="Times New Roman" w:eastAsia="Calibri" w:hAnsi="Times New Roman" w:cs="Times New Roman"/>
        </w:rPr>
        <w:t xml:space="preserve"> sources was based on availability of quantitative data</w:t>
      </w:r>
      <w:r w:rsidR="00CE1B72" w:rsidRPr="0054285D">
        <w:rPr>
          <w:rFonts w:ascii="Times New Roman" w:eastAsia="Calibri" w:hAnsi="Times New Roman" w:cs="Times New Roman"/>
        </w:rPr>
        <w:t xml:space="preserve">. Data for the production of ferroniobium from </w:t>
      </w:r>
      <w:r w:rsidR="00CE1B72" w:rsidRPr="0054285D">
        <w:rPr>
          <w:rFonts w:ascii="Times New Roman" w:eastAsia="Calibri" w:hAnsi="Times New Roman" w:cs="Times New Roman"/>
          <w:noProof/>
        </w:rPr>
        <w:t>(Gasik.M 2013)</w:t>
      </w:r>
      <w:r w:rsidR="00CE1B72" w:rsidRPr="0054285D">
        <w:rPr>
          <w:rFonts w:ascii="Times New Roman" w:eastAsia="Calibri" w:hAnsi="Times New Roman" w:cs="Times New Roman"/>
        </w:rPr>
        <w:t xml:space="preserve"> is</w:t>
      </w:r>
      <w:r w:rsidR="00AE7A4C" w:rsidRPr="0054285D">
        <w:rPr>
          <w:rFonts w:ascii="Times New Roman" w:eastAsia="Calibri" w:hAnsi="Times New Roman" w:cs="Times New Roman"/>
        </w:rPr>
        <w:t xml:space="preserve"> </w:t>
      </w:r>
      <w:r w:rsidR="00CE1B72" w:rsidRPr="0054285D">
        <w:rPr>
          <w:rFonts w:ascii="Times New Roman" w:eastAsia="Calibri" w:hAnsi="Times New Roman" w:cs="Times New Roman"/>
        </w:rPr>
        <w:t>represented</w:t>
      </w:r>
      <w:r w:rsidR="00AE7A4C" w:rsidRPr="0054285D">
        <w:rPr>
          <w:rFonts w:ascii="Times New Roman" w:eastAsia="Calibri" w:hAnsi="Times New Roman" w:cs="Times New Roman"/>
        </w:rPr>
        <w:t xml:space="preserve"> by </w:t>
      </w:r>
      <w:r w:rsidR="00A6415F" w:rsidRPr="0054285D">
        <w:fldChar w:fldCharType="begin"/>
      </w:r>
      <w:r w:rsidR="00A6415F" w:rsidRPr="0054285D">
        <w:instrText xml:space="preserve"> REF _Ref468622144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53</w:t>
      </w:r>
      <w:r w:rsidR="00A6415F" w:rsidRPr="0054285D">
        <w:fldChar w:fldCharType="end"/>
      </w:r>
      <w:r w:rsidRPr="0054285D">
        <w:rPr>
          <w:rFonts w:ascii="Times New Roman" w:eastAsia="Calibri" w:hAnsi="Times New Roman" w:cs="Times New Roman"/>
        </w:rPr>
        <w:t>.</w:t>
      </w:r>
    </w:p>
    <w:p w:rsidR="00AE7A4C" w:rsidRPr="0054285D" w:rsidRDefault="00A34349" w:rsidP="00A34349">
      <w:pPr>
        <w:rPr>
          <w:rFonts w:ascii="Times New Roman" w:eastAsia="Calibri" w:hAnsi="Times New Roman" w:cs="Times New Roman"/>
        </w:rPr>
      </w:pPr>
      <w:bookmarkStart w:id="319" w:name="_Ref468622144"/>
      <w:bookmarkStart w:id="320" w:name="_Toc474486560"/>
      <w:bookmarkStart w:id="321" w:name="_Toc495852731"/>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53</w:t>
      </w:r>
      <w:r w:rsidR="009A0ED7" w:rsidRPr="0054285D">
        <w:rPr>
          <w:rFonts w:ascii="Times New Roman" w:hAnsi="Times New Roman" w:cs="Times New Roman"/>
        </w:rPr>
        <w:fldChar w:fldCharType="end"/>
      </w:r>
      <w:bookmarkEnd w:id="319"/>
      <w:r w:rsidRPr="0054285D">
        <w:rPr>
          <w:rFonts w:ascii="Times New Roman" w:hAnsi="Times New Roman" w:cs="Times New Roman"/>
        </w:rPr>
        <w:t xml:space="preserve">. </w:t>
      </w:r>
      <w:r w:rsidR="0021435B" w:rsidRPr="0054285D">
        <w:rPr>
          <w:rFonts w:ascii="Times New Roman" w:eastAsia="Calibri" w:hAnsi="Times New Roman" w:cs="Times New Roman"/>
        </w:rPr>
        <w:t>Inventory data for ferroniobium</w:t>
      </w:r>
      <w:r w:rsidR="00AE7A4C" w:rsidRPr="0054285D">
        <w:rPr>
          <w:rFonts w:ascii="Times New Roman" w:eastAsia="Calibri" w:hAnsi="Times New Roman" w:cs="Times New Roman"/>
        </w:rPr>
        <w:t xml:space="preserve"> production from </w:t>
      </w:r>
      <w:r w:rsidR="0021435B" w:rsidRPr="0054285D">
        <w:rPr>
          <w:rFonts w:ascii="Times New Roman" w:eastAsia="Calibri" w:hAnsi="Times New Roman" w:cs="Times New Roman"/>
          <w:noProof/>
        </w:rPr>
        <w:t>(Gasik.M 2013)</w:t>
      </w:r>
      <w:r w:rsidR="0021435B" w:rsidRPr="0054285D">
        <w:rPr>
          <w:rFonts w:ascii="Times New Roman" w:eastAsia="Calibri" w:hAnsi="Times New Roman" w:cs="Times New Roman"/>
        </w:rPr>
        <w:t>.</w:t>
      </w:r>
      <w:bookmarkEnd w:id="320"/>
      <w:bookmarkEnd w:id="321"/>
    </w:p>
    <w:tbl>
      <w:tblPr>
        <w:tblW w:w="9218" w:type="dxa"/>
        <w:jc w:val="center"/>
        <w:tblLook w:val="04A0" w:firstRow="1" w:lastRow="0" w:firstColumn="1" w:lastColumn="0" w:noHBand="0" w:noVBand="1"/>
      </w:tblPr>
      <w:tblGrid>
        <w:gridCol w:w="3880"/>
        <w:gridCol w:w="999"/>
        <w:gridCol w:w="800"/>
        <w:gridCol w:w="1687"/>
        <w:gridCol w:w="999"/>
        <w:gridCol w:w="960"/>
      </w:tblGrid>
      <w:tr w:rsidR="00C94B4E" w:rsidRPr="0054285D" w:rsidTr="00D2436E">
        <w:trPr>
          <w:trHeight w:val="300"/>
          <w:jc w:val="center"/>
        </w:trPr>
        <w:tc>
          <w:tcPr>
            <w:tcW w:w="3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Input Stream </w:t>
            </w:r>
          </w:p>
        </w:tc>
        <w:tc>
          <w:tcPr>
            <w:tcW w:w="999" w:type="dxa"/>
            <w:tcBorders>
              <w:top w:val="single" w:sz="4" w:space="0" w:color="auto"/>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Quantity</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Units</w:t>
            </w:r>
          </w:p>
        </w:tc>
        <w:tc>
          <w:tcPr>
            <w:tcW w:w="1687" w:type="dxa"/>
            <w:tcBorders>
              <w:top w:val="single" w:sz="4" w:space="0" w:color="auto"/>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Output Stream </w:t>
            </w:r>
          </w:p>
        </w:tc>
        <w:tc>
          <w:tcPr>
            <w:tcW w:w="892" w:type="dxa"/>
            <w:tcBorders>
              <w:top w:val="single" w:sz="4" w:space="0" w:color="auto"/>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Quantity</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Units </w:t>
            </w:r>
          </w:p>
        </w:tc>
      </w:tr>
      <w:tr w:rsidR="00C94B4E" w:rsidRPr="0054285D" w:rsidTr="00D2436E">
        <w:trPr>
          <w:trHeight w:val="300"/>
          <w:jc w:val="center"/>
        </w:trPr>
        <w:tc>
          <w:tcPr>
            <w:tcW w:w="3880" w:type="dxa"/>
            <w:tcBorders>
              <w:top w:val="nil"/>
              <w:left w:val="single" w:sz="4" w:space="0" w:color="auto"/>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Niobium Pentoxide (Base 100% Nb</w:t>
            </w:r>
            <w:r w:rsidRPr="0054285D">
              <w:rPr>
                <w:rFonts w:ascii="Calibri" w:eastAsia="Times New Roman" w:hAnsi="Calibri" w:cs="Times New Roman"/>
                <w:vertAlign w:val="subscript"/>
              </w:rPr>
              <w:t>2</w:t>
            </w:r>
            <w:r w:rsidRPr="0054285D">
              <w:rPr>
                <w:rFonts w:ascii="Calibri" w:eastAsia="Times New Roman" w:hAnsi="Calibri" w:cs="Times New Roman"/>
              </w:rPr>
              <w:t>O</w:t>
            </w:r>
            <w:r w:rsidRPr="0054285D">
              <w:rPr>
                <w:rFonts w:ascii="Calibri" w:eastAsia="Times New Roman" w:hAnsi="Calibri" w:cs="Times New Roman"/>
                <w:vertAlign w:val="subscript"/>
              </w:rPr>
              <w:t>5</w:t>
            </w:r>
            <w:r w:rsidRPr="0054285D">
              <w:rPr>
                <w:rFonts w:ascii="Calibri" w:eastAsia="Times New Roman" w:hAnsi="Calibri" w:cs="Times New Roman"/>
              </w:rPr>
              <w:t>)</w:t>
            </w:r>
          </w:p>
        </w:tc>
        <w:tc>
          <w:tcPr>
            <w:tcW w:w="999"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758.00</w:t>
            </w:r>
          </w:p>
        </w:tc>
        <w:tc>
          <w:tcPr>
            <w:tcW w:w="800"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 kg</w:t>
            </w:r>
          </w:p>
        </w:tc>
        <w:tc>
          <w:tcPr>
            <w:tcW w:w="1687"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Fe-Nb (50% Nb)</w:t>
            </w:r>
          </w:p>
        </w:tc>
        <w:tc>
          <w:tcPr>
            <w:tcW w:w="892"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1000.00</w:t>
            </w:r>
          </w:p>
        </w:tc>
        <w:tc>
          <w:tcPr>
            <w:tcW w:w="960"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C94B4E" w:rsidRPr="0054285D" w:rsidTr="00D2436E">
        <w:trPr>
          <w:trHeight w:val="300"/>
          <w:jc w:val="center"/>
        </w:trPr>
        <w:tc>
          <w:tcPr>
            <w:tcW w:w="3880" w:type="dxa"/>
            <w:tcBorders>
              <w:top w:val="nil"/>
              <w:left w:val="single" w:sz="4" w:space="0" w:color="auto"/>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Aluminium Powder</w:t>
            </w:r>
          </w:p>
        </w:tc>
        <w:tc>
          <w:tcPr>
            <w:tcW w:w="999"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385.00</w:t>
            </w:r>
          </w:p>
        </w:tc>
        <w:tc>
          <w:tcPr>
            <w:tcW w:w="800"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c>
          <w:tcPr>
            <w:tcW w:w="1687"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892"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960"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rPr>
                <w:rFonts w:ascii="Calibri" w:eastAsia="Times New Roman" w:hAnsi="Calibri" w:cs="Times New Roman"/>
              </w:rPr>
            </w:pPr>
            <w:r w:rsidRPr="0054285D">
              <w:rPr>
                <w:rFonts w:ascii="Calibri" w:eastAsia="Times New Roman" w:hAnsi="Calibri" w:cs="Times New Roman"/>
              </w:rPr>
              <w:t> </w:t>
            </w:r>
          </w:p>
        </w:tc>
      </w:tr>
      <w:tr w:rsidR="00C94B4E" w:rsidRPr="0054285D" w:rsidTr="00D2436E">
        <w:trPr>
          <w:trHeight w:val="300"/>
          <w:jc w:val="center"/>
        </w:trPr>
        <w:tc>
          <w:tcPr>
            <w:tcW w:w="3880" w:type="dxa"/>
            <w:tcBorders>
              <w:top w:val="nil"/>
              <w:left w:val="single" w:sz="4" w:space="0" w:color="auto"/>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Iron Ore Pellets</w:t>
            </w:r>
          </w:p>
        </w:tc>
        <w:tc>
          <w:tcPr>
            <w:tcW w:w="999"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275.00</w:t>
            </w:r>
          </w:p>
        </w:tc>
        <w:tc>
          <w:tcPr>
            <w:tcW w:w="800"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c>
          <w:tcPr>
            <w:tcW w:w="1687"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892"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960"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rPr>
                <w:rFonts w:ascii="Calibri" w:eastAsia="Times New Roman" w:hAnsi="Calibri" w:cs="Times New Roman"/>
              </w:rPr>
            </w:pPr>
            <w:r w:rsidRPr="0054285D">
              <w:rPr>
                <w:rFonts w:ascii="Calibri" w:eastAsia="Times New Roman" w:hAnsi="Calibri" w:cs="Times New Roman"/>
              </w:rPr>
              <w:t> </w:t>
            </w:r>
          </w:p>
        </w:tc>
      </w:tr>
      <w:tr w:rsidR="00C94B4E" w:rsidRPr="0054285D" w:rsidTr="00D2436E">
        <w:trPr>
          <w:trHeight w:val="300"/>
          <w:jc w:val="center"/>
        </w:trPr>
        <w:tc>
          <w:tcPr>
            <w:tcW w:w="3880" w:type="dxa"/>
            <w:tcBorders>
              <w:top w:val="nil"/>
              <w:left w:val="single" w:sz="4" w:space="0" w:color="auto"/>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Lime</w:t>
            </w:r>
          </w:p>
        </w:tc>
        <w:tc>
          <w:tcPr>
            <w:tcW w:w="999"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86.00</w:t>
            </w:r>
          </w:p>
        </w:tc>
        <w:tc>
          <w:tcPr>
            <w:tcW w:w="800"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c>
          <w:tcPr>
            <w:tcW w:w="1687"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892"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960"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rPr>
                <w:rFonts w:ascii="Calibri" w:eastAsia="Times New Roman" w:hAnsi="Calibri" w:cs="Times New Roman"/>
              </w:rPr>
            </w:pPr>
            <w:r w:rsidRPr="0054285D">
              <w:rPr>
                <w:rFonts w:ascii="Calibri" w:eastAsia="Times New Roman" w:hAnsi="Calibri" w:cs="Times New Roman"/>
              </w:rPr>
              <w:t> </w:t>
            </w:r>
          </w:p>
        </w:tc>
      </w:tr>
      <w:tr w:rsidR="00C94B4E" w:rsidRPr="0054285D" w:rsidTr="00D2436E">
        <w:trPr>
          <w:trHeight w:val="300"/>
          <w:jc w:val="center"/>
        </w:trPr>
        <w:tc>
          <w:tcPr>
            <w:tcW w:w="3880" w:type="dxa"/>
            <w:tcBorders>
              <w:top w:val="nil"/>
              <w:left w:val="single" w:sz="4" w:space="0" w:color="auto"/>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Magnesite Powder</w:t>
            </w:r>
          </w:p>
        </w:tc>
        <w:tc>
          <w:tcPr>
            <w:tcW w:w="999"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31.00</w:t>
            </w:r>
          </w:p>
        </w:tc>
        <w:tc>
          <w:tcPr>
            <w:tcW w:w="800"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c>
          <w:tcPr>
            <w:tcW w:w="1687"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892"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960"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rPr>
                <w:rFonts w:ascii="Calibri" w:eastAsia="Times New Roman" w:hAnsi="Calibri" w:cs="Times New Roman"/>
              </w:rPr>
            </w:pPr>
            <w:r w:rsidRPr="0054285D">
              <w:rPr>
                <w:rFonts w:ascii="Calibri" w:eastAsia="Times New Roman" w:hAnsi="Calibri" w:cs="Times New Roman"/>
              </w:rPr>
              <w:t> </w:t>
            </w:r>
          </w:p>
        </w:tc>
      </w:tr>
      <w:tr w:rsidR="00C94B4E" w:rsidRPr="0054285D" w:rsidTr="00D2436E">
        <w:trPr>
          <w:trHeight w:val="300"/>
          <w:jc w:val="center"/>
        </w:trPr>
        <w:tc>
          <w:tcPr>
            <w:tcW w:w="3880" w:type="dxa"/>
            <w:tcBorders>
              <w:top w:val="nil"/>
              <w:left w:val="single" w:sz="4" w:space="0" w:color="auto"/>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Total</w:t>
            </w:r>
          </w:p>
        </w:tc>
        <w:tc>
          <w:tcPr>
            <w:tcW w:w="999"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1535.00</w:t>
            </w:r>
          </w:p>
        </w:tc>
        <w:tc>
          <w:tcPr>
            <w:tcW w:w="800"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1687"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892"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960" w:type="dxa"/>
            <w:tcBorders>
              <w:top w:val="nil"/>
              <w:left w:val="nil"/>
              <w:bottom w:val="single" w:sz="4" w:space="0" w:color="auto"/>
              <w:right w:val="single" w:sz="4" w:space="0" w:color="auto"/>
            </w:tcBorders>
            <w:shd w:val="clear" w:color="auto" w:fill="auto"/>
            <w:noWrap/>
            <w:vAlign w:val="bottom"/>
            <w:hideMark/>
          </w:tcPr>
          <w:p w:rsidR="00C94B4E" w:rsidRPr="0054285D" w:rsidRDefault="00C94B4E" w:rsidP="007D3D7D">
            <w:pPr>
              <w:spacing w:after="0" w:line="240" w:lineRule="auto"/>
              <w:rPr>
                <w:rFonts w:ascii="Calibri" w:eastAsia="Times New Roman" w:hAnsi="Calibri" w:cs="Times New Roman"/>
              </w:rPr>
            </w:pPr>
            <w:r w:rsidRPr="0054285D">
              <w:rPr>
                <w:rFonts w:ascii="Calibri" w:eastAsia="Times New Roman" w:hAnsi="Calibri" w:cs="Times New Roman"/>
              </w:rPr>
              <w:t> </w:t>
            </w:r>
          </w:p>
        </w:tc>
      </w:tr>
    </w:tbl>
    <w:p w:rsidR="00AE7A4C" w:rsidRPr="0054285D" w:rsidRDefault="00AE7A4C" w:rsidP="00AE7A4C">
      <w:pPr>
        <w:spacing w:after="0" w:line="360" w:lineRule="auto"/>
        <w:rPr>
          <w:rFonts w:ascii="Times New Roman" w:eastAsia="Calibri" w:hAnsi="Times New Roman" w:cs="Times New Roman"/>
          <w:b/>
        </w:rPr>
      </w:pPr>
    </w:p>
    <w:p w:rsidR="006B53B6" w:rsidRPr="0054285D" w:rsidRDefault="0021435B" w:rsidP="00D2436E">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The ferroniobium</w:t>
      </w:r>
      <w:r w:rsidR="00C5487C" w:rsidRPr="0054285D">
        <w:rPr>
          <w:rFonts w:ascii="Times New Roman" w:eastAsia="Calibri" w:hAnsi="Times New Roman" w:cs="Times New Roman"/>
        </w:rPr>
        <w:t xml:space="preserve"> model was created in a similar manner</w:t>
      </w:r>
      <w:r w:rsidR="00AE7A4C" w:rsidRPr="0054285D">
        <w:rPr>
          <w:rFonts w:ascii="Times New Roman" w:eastAsia="Calibri" w:hAnsi="Times New Roman" w:cs="Times New Roman"/>
        </w:rPr>
        <w:t xml:space="preserve"> to</w:t>
      </w:r>
      <w:r w:rsidRPr="0054285D">
        <w:rPr>
          <w:rFonts w:ascii="Times New Roman" w:eastAsia="Calibri" w:hAnsi="Times New Roman" w:cs="Times New Roman"/>
        </w:rPr>
        <w:t xml:space="preserve"> the</w:t>
      </w:r>
      <w:r w:rsidR="00AE7A4C" w:rsidRPr="0054285D">
        <w:rPr>
          <w:rFonts w:ascii="Times New Roman" w:eastAsia="Calibri" w:hAnsi="Times New Roman" w:cs="Times New Roman"/>
        </w:rPr>
        <w:t xml:space="preserve"> other ferroalloy models. A primary process</w:t>
      </w:r>
      <w:r w:rsidR="00C5487C" w:rsidRPr="0054285D">
        <w:rPr>
          <w:rFonts w:ascii="Times New Roman" w:eastAsia="Calibri" w:hAnsi="Times New Roman" w:cs="Times New Roman"/>
        </w:rPr>
        <w:t xml:space="preserve"> (i.e. ferroniobium)</w:t>
      </w:r>
      <w:r w:rsidR="00AE7A4C" w:rsidRPr="0054285D">
        <w:rPr>
          <w:rFonts w:ascii="Times New Roman" w:eastAsia="Calibri" w:hAnsi="Times New Roman" w:cs="Times New Roman"/>
        </w:rPr>
        <w:t xml:space="preserve"> was created</w:t>
      </w:r>
      <w:r w:rsidR="00A34349" w:rsidRPr="0054285D">
        <w:rPr>
          <w:rFonts w:ascii="Times New Roman" w:eastAsia="Calibri" w:hAnsi="Times New Roman" w:cs="Times New Roman"/>
        </w:rPr>
        <w:t xml:space="preserve"> and the data from </w:t>
      </w:r>
      <w:r w:rsidR="00A6415F" w:rsidRPr="0054285D">
        <w:fldChar w:fldCharType="begin"/>
      </w:r>
      <w:r w:rsidR="00A6415F" w:rsidRPr="0054285D">
        <w:instrText xml:space="preserve"> REF _Ref468622144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53</w:t>
      </w:r>
      <w:r w:rsidR="00A6415F" w:rsidRPr="0054285D">
        <w:fldChar w:fldCharType="end"/>
      </w:r>
      <w:r w:rsidR="00AE7A4C" w:rsidRPr="0054285D">
        <w:rPr>
          <w:rFonts w:ascii="Times New Roman" w:eastAsia="Calibri" w:hAnsi="Times New Roman" w:cs="Times New Roman"/>
        </w:rPr>
        <w:t xml:space="preserve"> input and the associated processes in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located and connected. The only exception being magnesite p</w:t>
      </w:r>
      <w:r w:rsidR="00C5487C" w:rsidRPr="0054285D">
        <w:rPr>
          <w:rFonts w:ascii="Times New Roman" w:eastAsia="Calibri" w:hAnsi="Times New Roman" w:cs="Times New Roman"/>
        </w:rPr>
        <w:t>owder and niobium pentoxide. In the case of</w:t>
      </w:r>
      <w:r w:rsidR="00AE7A4C" w:rsidRPr="0054285D">
        <w:rPr>
          <w:rFonts w:ascii="Times New Roman" w:eastAsia="Calibri" w:hAnsi="Times New Roman" w:cs="Times New Roman"/>
        </w:rPr>
        <w:t xml:space="preserve"> magnesite</w:t>
      </w:r>
      <w:r w:rsidR="00C5487C" w:rsidRPr="0054285D">
        <w:rPr>
          <w:rFonts w:ascii="Times New Roman" w:eastAsia="Calibri" w:hAnsi="Times New Roman" w:cs="Times New Roman"/>
        </w:rPr>
        <w:t>, this process</w:t>
      </w:r>
      <w:r w:rsidR="00AE7A4C" w:rsidRPr="0054285D">
        <w:rPr>
          <w:rFonts w:ascii="Times New Roman" w:eastAsia="Calibri" w:hAnsi="Times New Roman" w:cs="Times New Roman"/>
        </w:rPr>
        <w:t xml:space="preserve"> was not available and so magnesium was used as a suitable alternative. </w:t>
      </w:r>
      <w:r w:rsidR="00C5487C" w:rsidRPr="0054285D">
        <w:rPr>
          <w:rFonts w:ascii="Times New Roman" w:eastAsia="Calibri" w:hAnsi="Times New Roman" w:cs="Times New Roman"/>
        </w:rPr>
        <w:t xml:space="preserve">For niobium pentoxide, no process was located in </w:t>
      </w:r>
      <w:r w:rsidR="004D2D91" w:rsidRPr="0054285D">
        <w:rPr>
          <w:rFonts w:ascii="Times New Roman" w:eastAsia="Calibri" w:hAnsi="Times New Roman" w:cs="Times New Roman"/>
        </w:rPr>
        <w:t>GaBi</w:t>
      </w:r>
      <w:r w:rsidR="00C5487C" w:rsidRPr="0054285D">
        <w:rPr>
          <w:rFonts w:ascii="Times New Roman" w:eastAsia="Calibri" w:hAnsi="Times New Roman" w:cs="Times New Roman"/>
        </w:rPr>
        <w:t xml:space="preserve"> or available in literature to model from. Instead an alternative ‘pyrochlore’ process was created using </w:t>
      </w:r>
      <w:r w:rsidRPr="0054285D">
        <w:rPr>
          <w:rFonts w:ascii="Times New Roman" w:eastAsia="Calibri" w:hAnsi="Times New Roman" w:cs="Times New Roman"/>
        </w:rPr>
        <w:t>data from</w:t>
      </w:r>
      <w:r w:rsidR="00CE1B72" w:rsidRPr="0054285D">
        <w:rPr>
          <w:rFonts w:ascii="Times New Roman" w:eastAsia="Calibri" w:hAnsi="Times New Roman" w:cs="Times New Roman"/>
        </w:rPr>
        <w:t xml:space="preserve"> </w:t>
      </w:r>
      <w:r w:rsidR="00CE1B72" w:rsidRPr="0054285D">
        <w:rPr>
          <w:rFonts w:ascii="Times New Roman" w:eastAsia="Calibri" w:hAnsi="Times New Roman" w:cs="Times New Roman"/>
          <w:noProof/>
        </w:rPr>
        <w:t>(Probas 2004)</w:t>
      </w:r>
      <w:r w:rsidR="00AE7A4C" w:rsidRPr="0054285D">
        <w:rPr>
          <w:rFonts w:ascii="Times New Roman" w:eastAsia="Calibri" w:hAnsi="Times New Roman" w:cs="Times New Roman"/>
        </w:rPr>
        <w:t xml:space="preserve">. </w:t>
      </w:r>
      <w:r w:rsidR="00C5487C" w:rsidRPr="0054285D">
        <w:rPr>
          <w:rFonts w:ascii="Times New Roman" w:eastAsia="Calibri" w:hAnsi="Times New Roman" w:cs="Times New Roman"/>
        </w:rPr>
        <w:t xml:space="preserve">In a similar manner to the borates and ferromolybdenum processes, the pyrochlore process was created using  input data resources and emissions (air and water) as represented by </w:t>
      </w:r>
      <w:r w:rsidR="00A6415F" w:rsidRPr="0054285D">
        <w:fldChar w:fldCharType="begin"/>
      </w:r>
      <w:r w:rsidR="00A6415F" w:rsidRPr="0054285D">
        <w:instrText xml:space="preserve"> REF _Ref468622184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54</w:t>
      </w:r>
      <w:r w:rsidR="00A6415F" w:rsidRPr="0054285D">
        <w:fldChar w:fldCharType="end"/>
      </w:r>
      <w:r w:rsidR="00AE7A4C" w:rsidRPr="0054285D">
        <w:rPr>
          <w:rFonts w:ascii="Times New Roman" w:eastAsia="Calibri" w:hAnsi="Times New Roman" w:cs="Times New Roman"/>
        </w:rPr>
        <w:t xml:space="preserve"> and </w:t>
      </w:r>
      <w:r w:rsidR="00A6415F" w:rsidRPr="0054285D">
        <w:fldChar w:fldCharType="begin"/>
      </w:r>
      <w:r w:rsidR="00A6415F" w:rsidRPr="0054285D">
        <w:instrText xml:space="preserve"> REF _Ref468622194 \h  \* MERGEFORMAT </w:instrText>
      </w:r>
      <w:r w:rsidR="00A6415F" w:rsidRPr="0054285D">
        <w:fldChar w:fldCharType="separate"/>
      </w:r>
      <w:r w:rsidR="009F5483" w:rsidRPr="0054285D">
        <w:rPr>
          <w:rFonts w:ascii="Times New Roman" w:hAnsi="Times New Roman" w:cs="Times New Roman"/>
          <w:noProof/>
        </w:rPr>
        <w:t>Table</w:t>
      </w:r>
      <w:r w:rsidR="009F5483" w:rsidRPr="0054285D">
        <w:rPr>
          <w:rFonts w:ascii="Times New Roman" w:hAnsi="Times New Roman" w:cs="Times New Roman"/>
        </w:rPr>
        <w:t xml:space="preserve"> </w:t>
      </w:r>
      <w:r w:rsidR="009F5483">
        <w:rPr>
          <w:rFonts w:ascii="Times New Roman" w:hAnsi="Times New Roman" w:cs="Times New Roman"/>
          <w:noProof/>
        </w:rPr>
        <w:t>55</w:t>
      </w:r>
      <w:r w:rsidR="00A6415F" w:rsidRPr="0054285D">
        <w:fldChar w:fldCharType="end"/>
      </w:r>
      <w:r w:rsidR="00C5487C" w:rsidRPr="0054285D">
        <w:rPr>
          <w:rFonts w:ascii="Times New Roman" w:eastAsia="Calibri" w:hAnsi="Times New Roman" w:cs="Times New Roman"/>
        </w:rPr>
        <w:t>.</w:t>
      </w:r>
    </w:p>
    <w:p w:rsidR="00AE7A4C" w:rsidRPr="0054285D" w:rsidRDefault="00A34349" w:rsidP="00A34349">
      <w:pPr>
        <w:rPr>
          <w:rFonts w:ascii="Times New Roman" w:eastAsia="Calibri" w:hAnsi="Times New Roman" w:cs="Times New Roman"/>
        </w:rPr>
      </w:pPr>
      <w:bookmarkStart w:id="322" w:name="_Ref468622184"/>
      <w:bookmarkStart w:id="323" w:name="_Toc474486561"/>
      <w:bookmarkStart w:id="324" w:name="_Toc495852732"/>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54</w:t>
      </w:r>
      <w:r w:rsidR="009A0ED7" w:rsidRPr="0054285D">
        <w:rPr>
          <w:rFonts w:ascii="Times New Roman" w:hAnsi="Times New Roman" w:cs="Times New Roman"/>
        </w:rPr>
        <w:fldChar w:fldCharType="end"/>
      </w:r>
      <w:bookmarkEnd w:id="322"/>
      <w:r w:rsidRPr="0054285D">
        <w:rPr>
          <w:rFonts w:ascii="Times New Roman" w:hAnsi="Times New Roman" w:cs="Times New Roman"/>
        </w:rPr>
        <w:t xml:space="preserve">. </w:t>
      </w:r>
      <w:r w:rsidR="00AE7A4C" w:rsidRPr="0054285D">
        <w:rPr>
          <w:rFonts w:ascii="Times New Roman" w:eastAsia="Calibri" w:hAnsi="Times New Roman" w:cs="Times New Roman"/>
        </w:rPr>
        <w:t>Inventory d</w:t>
      </w:r>
      <w:r w:rsidR="006B53B6" w:rsidRPr="0054285D">
        <w:rPr>
          <w:rFonts w:ascii="Times New Roman" w:eastAsia="Calibri" w:hAnsi="Times New Roman" w:cs="Times New Roman"/>
        </w:rPr>
        <w:t xml:space="preserve">ata for pyrochlore (resources) </w:t>
      </w:r>
      <w:r w:rsidR="006B53B6" w:rsidRPr="0054285D">
        <w:rPr>
          <w:rFonts w:ascii="Times New Roman" w:eastAsia="Calibri" w:hAnsi="Times New Roman" w:cs="Times New Roman"/>
          <w:noProof/>
        </w:rPr>
        <w:t>(Probas 2004)</w:t>
      </w:r>
      <w:r w:rsidR="006B53B6" w:rsidRPr="0054285D">
        <w:rPr>
          <w:rFonts w:ascii="Times New Roman" w:eastAsia="Calibri" w:hAnsi="Times New Roman" w:cs="Times New Roman"/>
        </w:rPr>
        <w:t>.</w:t>
      </w:r>
      <w:bookmarkEnd w:id="323"/>
      <w:bookmarkEnd w:id="324"/>
    </w:p>
    <w:tbl>
      <w:tblPr>
        <w:tblW w:w="5265" w:type="pct"/>
        <w:tblLayout w:type="fixed"/>
        <w:tblLook w:val="04A0" w:firstRow="1" w:lastRow="0" w:firstColumn="1" w:lastColumn="0" w:noHBand="0" w:noVBand="1"/>
      </w:tblPr>
      <w:tblGrid>
        <w:gridCol w:w="6279"/>
        <w:gridCol w:w="1130"/>
        <w:gridCol w:w="1234"/>
        <w:gridCol w:w="851"/>
      </w:tblGrid>
      <w:tr w:rsidR="00B66783" w:rsidRPr="0054285D" w:rsidTr="00B66783">
        <w:trPr>
          <w:trHeight w:val="300"/>
        </w:trPr>
        <w:tc>
          <w:tcPr>
            <w:tcW w:w="3307"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Flow</w:t>
            </w:r>
          </w:p>
        </w:tc>
        <w:tc>
          <w:tcPr>
            <w:tcW w:w="595" w:type="pct"/>
            <w:tcBorders>
              <w:top w:val="single" w:sz="4" w:space="0" w:color="auto"/>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Quantity</w:t>
            </w:r>
          </w:p>
        </w:tc>
        <w:tc>
          <w:tcPr>
            <w:tcW w:w="650" w:type="pct"/>
            <w:tcBorders>
              <w:top w:val="single" w:sz="4" w:space="0" w:color="auto"/>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Amount</w:t>
            </w:r>
          </w:p>
        </w:tc>
        <w:tc>
          <w:tcPr>
            <w:tcW w:w="448" w:type="pct"/>
            <w:tcBorders>
              <w:top w:val="single" w:sz="4" w:space="0" w:color="auto"/>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Unit</w:t>
            </w:r>
          </w:p>
        </w:tc>
      </w:tr>
      <w:tr w:rsidR="00B66783" w:rsidRPr="0054285D" w:rsidTr="00B66783">
        <w:trPr>
          <w:trHeight w:val="300"/>
        </w:trPr>
        <w:tc>
          <w:tcPr>
            <w:tcW w:w="3307" w:type="pct"/>
            <w:tcBorders>
              <w:top w:val="nil"/>
              <w:left w:val="single" w:sz="4" w:space="0" w:color="auto"/>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Biomass (solid) [Biomass fuels]</w:t>
            </w:r>
          </w:p>
        </w:tc>
        <w:tc>
          <w:tcPr>
            <w:tcW w:w="595"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50"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2.790</w:t>
            </w:r>
          </w:p>
        </w:tc>
        <w:tc>
          <w:tcPr>
            <w:tcW w:w="448"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B66783" w:rsidRPr="0054285D" w:rsidTr="00B66783">
        <w:trPr>
          <w:trHeight w:val="300"/>
        </w:trPr>
        <w:tc>
          <w:tcPr>
            <w:tcW w:w="3307" w:type="pct"/>
            <w:tcBorders>
              <w:top w:val="nil"/>
              <w:left w:val="single" w:sz="4" w:space="0" w:color="auto"/>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Energy unspecific [Energy Resources]</w:t>
            </w:r>
          </w:p>
        </w:tc>
        <w:tc>
          <w:tcPr>
            <w:tcW w:w="595"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Energy (NCV)</w:t>
            </w:r>
          </w:p>
        </w:tc>
        <w:tc>
          <w:tcPr>
            <w:tcW w:w="650"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0.055</w:t>
            </w:r>
          </w:p>
        </w:tc>
        <w:tc>
          <w:tcPr>
            <w:tcW w:w="448"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MJ</w:t>
            </w:r>
          </w:p>
        </w:tc>
      </w:tr>
      <w:tr w:rsidR="00B66783" w:rsidRPr="0054285D" w:rsidTr="00B66783">
        <w:trPr>
          <w:trHeight w:val="300"/>
        </w:trPr>
        <w:tc>
          <w:tcPr>
            <w:tcW w:w="3307" w:type="pct"/>
            <w:tcBorders>
              <w:top w:val="nil"/>
              <w:left w:val="single" w:sz="4" w:space="0" w:color="auto"/>
              <w:bottom w:val="single" w:sz="4" w:space="0" w:color="auto"/>
              <w:right w:val="single" w:sz="4" w:space="0" w:color="auto"/>
            </w:tcBorders>
            <w:shd w:val="clear" w:color="auto" w:fill="auto"/>
            <w:noWrap/>
            <w:vAlign w:val="center"/>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Energy, potential (incl. hydropower reservoir), converted [Renewable energy resources]</w:t>
            </w:r>
          </w:p>
        </w:tc>
        <w:tc>
          <w:tcPr>
            <w:tcW w:w="595" w:type="pct"/>
            <w:tcBorders>
              <w:top w:val="nil"/>
              <w:left w:val="nil"/>
              <w:bottom w:val="single" w:sz="4" w:space="0" w:color="auto"/>
              <w:right w:val="single" w:sz="4" w:space="0" w:color="auto"/>
            </w:tcBorders>
            <w:shd w:val="clear" w:color="auto" w:fill="auto"/>
            <w:noWrap/>
            <w:vAlign w:val="center"/>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Energy (NCV)</w:t>
            </w:r>
          </w:p>
        </w:tc>
        <w:tc>
          <w:tcPr>
            <w:tcW w:w="650"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878.000</w:t>
            </w:r>
          </w:p>
        </w:tc>
        <w:tc>
          <w:tcPr>
            <w:tcW w:w="448"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MJ</w:t>
            </w:r>
          </w:p>
        </w:tc>
      </w:tr>
      <w:tr w:rsidR="00B66783" w:rsidRPr="0054285D" w:rsidTr="00B66783">
        <w:trPr>
          <w:trHeight w:val="300"/>
        </w:trPr>
        <w:tc>
          <w:tcPr>
            <w:tcW w:w="3307" w:type="pct"/>
            <w:tcBorders>
              <w:top w:val="nil"/>
              <w:left w:val="single" w:sz="4" w:space="0" w:color="auto"/>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Hard coal (in MJ) [Hard coal (resource)]</w:t>
            </w:r>
          </w:p>
        </w:tc>
        <w:tc>
          <w:tcPr>
            <w:tcW w:w="595"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Energy (NCV)</w:t>
            </w:r>
          </w:p>
        </w:tc>
        <w:tc>
          <w:tcPr>
            <w:tcW w:w="650"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1929.000</w:t>
            </w:r>
          </w:p>
        </w:tc>
        <w:tc>
          <w:tcPr>
            <w:tcW w:w="448"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MJ</w:t>
            </w:r>
          </w:p>
        </w:tc>
      </w:tr>
      <w:tr w:rsidR="00B66783" w:rsidRPr="0054285D" w:rsidTr="00B66783">
        <w:trPr>
          <w:trHeight w:val="300"/>
        </w:trPr>
        <w:tc>
          <w:tcPr>
            <w:tcW w:w="3307" w:type="pct"/>
            <w:tcBorders>
              <w:top w:val="nil"/>
              <w:left w:val="single" w:sz="4" w:space="0" w:color="auto"/>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Metals n.e.c related unused extraction [Valuable substances]</w:t>
            </w:r>
          </w:p>
        </w:tc>
        <w:tc>
          <w:tcPr>
            <w:tcW w:w="595"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50"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24.500</w:t>
            </w:r>
          </w:p>
        </w:tc>
        <w:tc>
          <w:tcPr>
            <w:tcW w:w="448"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B66783" w:rsidRPr="0054285D" w:rsidTr="00B66783">
        <w:trPr>
          <w:trHeight w:val="300"/>
        </w:trPr>
        <w:tc>
          <w:tcPr>
            <w:tcW w:w="3307" w:type="pct"/>
            <w:tcBorders>
              <w:top w:val="nil"/>
              <w:left w:val="single" w:sz="4" w:space="0" w:color="auto"/>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Metals n.e.c Extracted for use [Valuable substances]</w:t>
            </w:r>
          </w:p>
        </w:tc>
        <w:tc>
          <w:tcPr>
            <w:tcW w:w="595"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50"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32.800</w:t>
            </w:r>
          </w:p>
        </w:tc>
        <w:tc>
          <w:tcPr>
            <w:tcW w:w="448"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B66783" w:rsidRPr="0054285D" w:rsidTr="00B66783">
        <w:trPr>
          <w:trHeight w:val="300"/>
        </w:trPr>
        <w:tc>
          <w:tcPr>
            <w:tcW w:w="3307" w:type="pct"/>
            <w:tcBorders>
              <w:top w:val="nil"/>
              <w:left w:val="single" w:sz="4" w:space="0" w:color="auto"/>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Niobium [Non-renewable elements]</w:t>
            </w:r>
          </w:p>
        </w:tc>
        <w:tc>
          <w:tcPr>
            <w:tcW w:w="595"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50"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13400.000</w:t>
            </w:r>
          </w:p>
        </w:tc>
        <w:tc>
          <w:tcPr>
            <w:tcW w:w="448"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B66783" w:rsidRPr="0054285D" w:rsidTr="00B66783">
        <w:trPr>
          <w:trHeight w:val="300"/>
        </w:trPr>
        <w:tc>
          <w:tcPr>
            <w:tcW w:w="3307" w:type="pct"/>
            <w:tcBorders>
              <w:top w:val="nil"/>
              <w:left w:val="single" w:sz="4" w:space="0" w:color="auto"/>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Nuclear energy [Uranium (resource)]</w:t>
            </w:r>
          </w:p>
        </w:tc>
        <w:tc>
          <w:tcPr>
            <w:tcW w:w="595"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Energy (NCV)</w:t>
            </w:r>
          </w:p>
        </w:tc>
        <w:tc>
          <w:tcPr>
            <w:tcW w:w="650"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773.000</w:t>
            </w:r>
          </w:p>
        </w:tc>
        <w:tc>
          <w:tcPr>
            <w:tcW w:w="448"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MJ</w:t>
            </w:r>
          </w:p>
        </w:tc>
      </w:tr>
      <w:tr w:rsidR="00B66783" w:rsidRPr="0054285D" w:rsidTr="00B66783">
        <w:trPr>
          <w:trHeight w:val="300"/>
        </w:trPr>
        <w:tc>
          <w:tcPr>
            <w:tcW w:w="3307" w:type="pct"/>
            <w:tcBorders>
              <w:top w:val="nil"/>
              <w:left w:val="single" w:sz="4" w:space="0" w:color="auto"/>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Occupation, arable [</w:t>
            </w:r>
            <w:proofErr w:type="spellStart"/>
            <w:r w:rsidRPr="0054285D">
              <w:rPr>
                <w:rFonts w:ascii="Calibri" w:eastAsia="Times New Roman" w:hAnsi="Calibri" w:cs="Times New Roman"/>
              </w:rPr>
              <w:t>Hemerobie</w:t>
            </w:r>
            <w:proofErr w:type="spellEnd"/>
            <w:r w:rsidRPr="0054285D">
              <w:rPr>
                <w:rFonts w:ascii="Calibri" w:eastAsia="Times New Roman" w:hAnsi="Calibri" w:cs="Times New Roman"/>
              </w:rPr>
              <w:t xml:space="preserve"> </w:t>
            </w:r>
            <w:proofErr w:type="spellStart"/>
            <w:r w:rsidRPr="0054285D">
              <w:rPr>
                <w:rFonts w:ascii="Calibri" w:eastAsia="Times New Roman" w:hAnsi="Calibri" w:cs="Times New Roman"/>
              </w:rPr>
              <w:t>ecoinvent</w:t>
            </w:r>
            <w:proofErr w:type="spellEnd"/>
            <w:r w:rsidRPr="0054285D">
              <w:rPr>
                <w:rFonts w:ascii="Calibri" w:eastAsia="Times New Roman" w:hAnsi="Calibri" w:cs="Times New Roman"/>
              </w:rPr>
              <w:t>]</w:t>
            </w:r>
          </w:p>
        </w:tc>
        <w:tc>
          <w:tcPr>
            <w:tcW w:w="595"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Areatime</w:t>
            </w:r>
            <w:proofErr w:type="spellEnd"/>
          </w:p>
        </w:tc>
        <w:tc>
          <w:tcPr>
            <w:tcW w:w="650"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3.030</w:t>
            </w:r>
          </w:p>
        </w:tc>
        <w:tc>
          <w:tcPr>
            <w:tcW w:w="448"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m2*</w:t>
            </w:r>
            <w:proofErr w:type="spellStart"/>
            <w:r w:rsidRPr="0054285D">
              <w:rPr>
                <w:rFonts w:ascii="Calibri" w:eastAsia="Times New Roman" w:hAnsi="Calibri" w:cs="Times New Roman"/>
              </w:rPr>
              <w:t>yr</w:t>
            </w:r>
            <w:proofErr w:type="spellEnd"/>
          </w:p>
        </w:tc>
      </w:tr>
      <w:tr w:rsidR="00B66783" w:rsidRPr="0054285D" w:rsidTr="00B66783">
        <w:trPr>
          <w:trHeight w:val="300"/>
        </w:trPr>
        <w:tc>
          <w:tcPr>
            <w:tcW w:w="3307" w:type="pct"/>
            <w:tcBorders>
              <w:top w:val="nil"/>
              <w:left w:val="single" w:sz="4" w:space="0" w:color="auto"/>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Occupation, industrial area [</w:t>
            </w:r>
            <w:proofErr w:type="spellStart"/>
            <w:r w:rsidRPr="0054285D">
              <w:rPr>
                <w:rFonts w:ascii="Calibri" w:eastAsia="Times New Roman" w:hAnsi="Calibri" w:cs="Times New Roman"/>
              </w:rPr>
              <w:t>Hemerobie</w:t>
            </w:r>
            <w:proofErr w:type="spellEnd"/>
            <w:r w:rsidRPr="0054285D">
              <w:rPr>
                <w:rFonts w:ascii="Calibri" w:eastAsia="Times New Roman" w:hAnsi="Calibri" w:cs="Times New Roman"/>
              </w:rPr>
              <w:t xml:space="preserve"> </w:t>
            </w:r>
            <w:proofErr w:type="spellStart"/>
            <w:r w:rsidRPr="0054285D">
              <w:rPr>
                <w:rFonts w:ascii="Calibri" w:eastAsia="Times New Roman" w:hAnsi="Calibri" w:cs="Times New Roman"/>
              </w:rPr>
              <w:t>ecoinvent</w:t>
            </w:r>
            <w:proofErr w:type="spellEnd"/>
            <w:r w:rsidRPr="0054285D">
              <w:rPr>
                <w:rFonts w:ascii="Calibri" w:eastAsia="Times New Roman" w:hAnsi="Calibri" w:cs="Times New Roman"/>
              </w:rPr>
              <w:t>]</w:t>
            </w:r>
          </w:p>
        </w:tc>
        <w:tc>
          <w:tcPr>
            <w:tcW w:w="595"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Areatime</w:t>
            </w:r>
            <w:proofErr w:type="spellEnd"/>
          </w:p>
        </w:tc>
        <w:tc>
          <w:tcPr>
            <w:tcW w:w="650"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90.700</w:t>
            </w:r>
          </w:p>
        </w:tc>
        <w:tc>
          <w:tcPr>
            <w:tcW w:w="448"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m2*</w:t>
            </w:r>
            <w:proofErr w:type="spellStart"/>
            <w:r w:rsidRPr="0054285D">
              <w:rPr>
                <w:rFonts w:ascii="Calibri" w:eastAsia="Times New Roman" w:hAnsi="Calibri" w:cs="Times New Roman"/>
              </w:rPr>
              <w:t>yr</w:t>
            </w:r>
            <w:proofErr w:type="spellEnd"/>
          </w:p>
        </w:tc>
      </w:tr>
      <w:tr w:rsidR="00B66783" w:rsidRPr="0054285D" w:rsidTr="00B66783">
        <w:trPr>
          <w:trHeight w:val="300"/>
        </w:trPr>
        <w:tc>
          <w:tcPr>
            <w:tcW w:w="3307" w:type="pct"/>
            <w:tcBorders>
              <w:top w:val="nil"/>
              <w:left w:val="single" w:sz="4" w:space="0" w:color="auto"/>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Process and cooling water [Operating materials]</w:t>
            </w:r>
          </w:p>
        </w:tc>
        <w:tc>
          <w:tcPr>
            <w:tcW w:w="595"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50"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10192.000</w:t>
            </w:r>
          </w:p>
        </w:tc>
        <w:tc>
          <w:tcPr>
            <w:tcW w:w="448"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B66783" w:rsidRPr="0054285D" w:rsidTr="00B66783">
        <w:trPr>
          <w:trHeight w:val="300"/>
        </w:trPr>
        <w:tc>
          <w:tcPr>
            <w:tcW w:w="3307" w:type="pct"/>
            <w:tcBorders>
              <w:top w:val="nil"/>
              <w:left w:val="single" w:sz="4" w:space="0" w:color="auto"/>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Transformation, from unknown [</w:t>
            </w:r>
            <w:proofErr w:type="spellStart"/>
            <w:r w:rsidRPr="0054285D">
              <w:rPr>
                <w:rFonts w:ascii="Calibri" w:eastAsia="Times New Roman" w:hAnsi="Calibri" w:cs="Times New Roman"/>
              </w:rPr>
              <w:t>Hemerobie</w:t>
            </w:r>
            <w:proofErr w:type="spellEnd"/>
            <w:r w:rsidRPr="0054285D">
              <w:rPr>
                <w:rFonts w:ascii="Calibri" w:eastAsia="Times New Roman" w:hAnsi="Calibri" w:cs="Times New Roman"/>
              </w:rPr>
              <w:t xml:space="preserve"> </w:t>
            </w:r>
            <w:proofErr w:type="spellStart"/>
            <w:r w:rsidRPr="0054285D">
              <w:rPr>
                <w:rFonts w:ascii="Calibri" w:eastAsia="Times New Roman" w:hAnsi="Calibri" w:cs="Times New Roman"/>
              </w:rPr>
              <w:t>ecoinvent</w:t>
            </w:r>
            <w:proofErr w:type="spellEnd"/>
            <w:r w:rsidRPr="0054285D">
              <w:rPr>
                <w:rFonts w:ascii="Calibri" w:eastAsia="Times New Roman" w:hAnsi="Calibri" w:cs="Times New Roman"/>
              </w:rPr>
              <w:t>]</w:t>
            </w:r>
          </w:p>
        </w:tc>
        <w:tc>
          <w:tcPr>
            <w:tcW w:w="595"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Area</w:t>
            </w:r>
          </w:p>
        </w:tc>
        <w:tc>
          <w:tcPr>
            <w:tcW w:w="650"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r w:rsidRPr="0054285D">
              <w:rPr>
                <w:rFonts w:ascii="Calibri" w:eastAsia="Times New Roman" w:hAnsi="Calibri" w:cs="Times New Roman"/>
              </w:rPr>
              <w:t>0.713</w:t>
            </w:r>
          </w:p>
        </w:tc>
        <w:tc>
          <w:tcPr>
            <w:tcW w:w="448" w:type="pct"/>
            <w:tcBorders>
              <w:top w:val="nil"/>
              <w:left w:val="nil"/>
              <w:bottom w:val="single" w:sz="4" w:space="0" w:color="auto"/>
              <w:right w:val="single" w:sz="4" w:space="0" w:color="auto"/>
            </w:tcBorders>
            <w:shd w:val="clear" w:color="auto" w:fill="auto"/>
            <w:vAlign w:val="bottom"/>
            <w:hideMark/>
          </w:tcPr>
          <w:p w:rsidR="00B66783" w:rsidRPr="0054285D" w:rsidRDefault="00B66783" w:rsidP="00B66783">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sqm</w:t>
            </w:r>
            <w:proofErr w:type="spellEnd"/>
          </w:p>
        </w:tc>
      </w:tr>
    </w:tbl>
    <w:p w:rsidR="00AE7A4C" w:rsidRDefault="00B66783" w:rsidP="00B66783">
      <w:pPr>
        <w:pStyle w:val="Caption"/>
        <w:rPr>
          <w:rFonts w:ascii="Times New Roman" w:hAnsi="Times New Roman" w:cs="Times New Roman"/>
          <w:i w:val="0"/>
          <w:color w:val="auto"/>
          <w:sz w:val="22"/>
          <w:szCs w:val="22"/>
        </w:rPr>
      </w:pPr>
      <w:r w:rsidRPr="0054285D">
        <w:rPr>
          <w:rFonts w:ascii="Times New Roman" w:hAnsi="Times New Roman" w:cs="Times New Roman"/>
          <w:i w:val="0"/>
          <w:color w:val="auto"/>
          <w:sz w:val="22"/>
          <w:szCs w:val="22"/>
        </w:rPr>
        <w:t>Note NCV = Net Calorific Value.</w:t>
      </w:r>
    </w:p>
    <w:p w:rsidR="00D2436E" w:rsidRPr="00D2436E" w:rsidRDefault="00D2436E" w:rsidP="00D2436E"/>
    <w:p w:rsidR="00AE7A4C" w:rsidRPr="0054285D" w:rsidRDefault="00A34349" w:rsidP="00A34349">
      <w:pPr>
        <w:rPr>
          <w:rFonts w:ascii="Times New Roman" w:eastAsia="Calibri" w:hAnsi="Times New Roman" w:cs="Times New Roman"/>
        </w:rPr>
      </w:pPr>
      <w:bookmarkStart w:id="325" w:name="_Ref468622194"/>
      <w:bookmarkStart w:id="326" w:name="_Toc474486562"/>
      <w:bookmarkStart w:id="327" w:name="_Toc495852733"/>
      <w:r w:rsidRPr="0054285D">
        <w:rPr>
          <w:rFonts w:ascii="Times New Roman" w:hAnsi="Times New Roman" w:cs="Times New Roman"/>
        </w:rPr>
        <w:lastRenderedPageBreak/>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55</w:t>
      </w:r>
      <w:r w:rsidR="009A0ED7" w:rsidRPr="0054285D">
        <w:rPr>
          <w:rFonts w:ascii="Times New Roman" w:hAnsi="Times New Roman" w:cs="Times New Roman"/>
        </w:rPr>
        <w:fldChar w:fldCharType="end"/>
      </w:r>
      <w:bookmarkEnd w:id="325"/>
      <w:r w:rsidRPr="0054285D">
        <w:rPr>
          <w:rFonts w:ascii="Times New Roman" w:hAnsi="Times New Roman" w:cs="Times New Roman"/>
        </w:rPr>
        <w:t xml:space="preserve">. </w:t>
      </w:r>
      <w:r w:rsidR="00AE7A4C" w:rsidRPr="0054285D">
        <w:rPr>
          <w:rFonts w:ascii="Times New Roman" w:eastAsia="Calibri" w:hAnsi="Times New Roman" w:cs="Times New Roman"/>
        </w:rPr>
        <w:t>Inventory data for pyro</w:t>
      </w:r>
      <w:r w:rsidR="006B53B6" w:rsidRPr="0054285D">
        <w:rPr>
          <w:rFonts w:ascii="Times New Roman" w:eastAsia="Calibri" w:hAnsi="Times New Roman" w:cs="Times New Roman"/>
        </w:rPr>
        <w:t xml:space="preserve">chlore (air &amp; water emissions) </w:t>
      </w:r>
      <w:r w:rsidR="006B53B6" w:rsidRPr="0054285D">
        <w:rPr>
          <w:rFonts w:ascii="Times New Roman" w:eastAsia="Calibri" w:hAnsi="Times New Roman" w:cs="Times New Roman"/>
          <w:noProof/>
        </w:rPr>
        <w:t>(Probas 2004)</w:t>
      </w:r>
      <w:r w:rsidR="006B53B6" w:rsidRPr="0054285D">
        <w:rPr>
          <w:rFonts w:ascii="Times New Roman" w:eastAsia="Calibri" w:hAnsi="Times New Roman" w:cs="Times New Roman"/>
        </w:rPr>
        <w:t>.</w:t>
      </w:r>
      <w:bookmarkEnd w:id="326"/>
      <w:bookmarkEnd w:id="327"/>
    </w:p>
    <w:tbl>
      <w:tblPr>
        <w:tblW w:w="5103" w:type="pct"/>
        <w:tblLook w:val="04A0" w:firstRow="1" w:lastRow="0" w:firstColumn="1" w:lastColumn="0" w:noHBand="0" w:noVBand="1"/>
      </w:tblPr>
      <w:tblGrid>
        <w:gridCol w:w="6373"/>
        <w:gridCol w:w="999"/>
        <w:gridCol w:w="1233"/>
        <w:gridCol w:w="597"/>
      </w:tblGrid>
      <w:tr w:rsidR="002E0DA2" w:rsidRPr="0054285D" w:rsidTr="004D0DCA">
        <w:trPr>
          <w:trHeight w:val="300"/>
        </w:trPr>
        <w:tc>
          <w:tcPr>
            <w:tcW w:w="3463"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Flow</w:t>
            </w:r>
          </w:p>
        </w:tc>
        <w:tc>
          <w:tcPr>
            <w:tcW w:w="543" w:type="pct"/>
            <w:tcBorders>
              <w:top w:val="single" w:sz="4" w:space="0" w:color="auto"/>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Quantity</w:t>
            </w:r>
          </w:p>
        </w:tc>
        <w:tc>
          <w:tcPr>
            <w:tcW w:w="670" w:type="pct"/>
            <w:tcBorders>
              <w:top w:val="single" w:sz="4" w:space="0" w:color="auto"/>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Amount</w:t>
            </w:r>
          </w:p>
        </w:tc>
        <w:tc>
          <w:tcPr>
            <w:tcW w:w="324" w:type="pct"/>
            <w:tcBorders>
              <w:top w:val="single" w:sz="4" w:space="0" w:color="auto"/>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Unit</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Niobium Oxide (57.6% Nb2O5,1.88% Ta2O5) [Valuable Substance]</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4D0DCA">
            <w:pPr>
              <w:spacing w:after="0" w:line="240" w:lineRule="auto"/>
              <w:jc w:val="center"/>
              <w:rPr>
                <w:rFonts w:ascii="Calibri" w:eastAsia="Times New Roman" w:hAnsi="Calibri" w:cs="Times New Roman"/>
              </w:rPr>
            </w:pPr>
            <w:r w:rsidRPr="0054285D">
              <w:rPr>
                <w:rFonts w:ascii="Calibri" w:eastAsia="Times New Roman" w:hAnsi="Calibri" w:cs="Times New Roman"/>
              </w:rPr>
              <w:t>1.00</w:t>
            </w:r>
            <w:r w:rsidR="004D0DCA">
              <w:rPr>
                <w:rFonts w:ascii="Calibri" w:eastAsia="Times New Roman" w:hAnsi="Calibri" w:cs="Times New Roman"/>
              </w:rPr>
              <w:t>×10</w:t>
            </w:r>
            <w:r w:rsidR="004D0DCA">
              <w:rPr>
                <w:rFonts w:ascii="Calibri" w:eastAsia="Times New Roman" w:hAnsi="Calibri" w:cs="Times New Roman"/>
                <w:vertAlign w:val="superscript"/>
              </w:rPr>
              <w:t>3</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1,11-Trichloroethane [Halogenated organic emissions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4D0DCA">
            <w:pPr>
              <w:spacing w:after="0" w:line="240" w:lineRule="auto"/>
              <w:jc w:val="center"/>
              <w:rPr>
                <w:rFonts w:ascii="Calibri" w:eastAsia="Times New Roman" w:hAnsi="Calibri" w:cs="Times New Roman"/>
              </w:rPr>
            </w:pPr>
            <w:r w:rsidRPr="0054285D">
              <w:rPr>
                <w:rFonts w:ascii="Calibri" w:eastAsia="Times New Roman" w:hAnsi="Calibri" w:cs="Times New Roman"/>
              </w:rPr>
              <w:t>2.23</w:t>
            </w:r>
            <w:r w:rsidR="004D0DCA">
              <w:rPr>
                <w:rFonts w:ascii="Calibri" w:eastAsia="Times New Roman" w:hAnsi="Calibri" w:cs="Times New Roman"/>
              </w:rPr>
              <w:t>×10</w:t>
            </w:r>
            <w:r w:rsidR="004D0DCA">
              <w:rPr>
                <w:rFonts w:ascii="Calibri" w:eastAsia="Times New Roman" w:hAnsi="Calibri" w:cs="Times New Roman"/>
                <w:vertAlign w:val="superscript"/>
              </w:rPr>
              <w:t>-10</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Adsorbable organic halogen compounds (AOX) [Analytical measures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1.24×10</w:t>
            </w:r>
            <w:r>
              <w:rPr>
                <w:rFonts w:ascii="Calibri" w:eastAsia="Times New Roman" w:hAnsi="Calibri" w:cs="Times New Roman"/>
                <w:vertAlign w:val="superscript"/>
              </w:rPr>
              <w:t>-5</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Ammonia [Inorganic emissions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3.28×10</w:t>
            </w:r>
            <w:r>
              <w:rPr>
                <w:rFonts w:ascii="Calibri" w:eastAsia="Times New Roman" w:hAnsi="Calibri" w:cs="Times New Roman"/>
                <w:vertAlign w:val="superscript"/>
              </w:rPr>
              <w:t>-3</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Ammonia [Inorganic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7.29×10</w:t>
            </w:r>
            <w:r>
              <w:rPr>
                <w:rFonts w:ascii="Calibri" w:eastAsia="Times New Roman" w:hAnsi="Calibri" w:cs="Times New Roman"/>
                <w:vertAlign w:val="superscript"/>
              </w:rPr>
              <w:t>-1</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Arsenic [Heavy metals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2.03×10</w:t>
            </w:r>
            <w:r>
              <w:rPr>
                <w:rFonts w:ascii="Calibri" w:eastAsia="Times New Roman" w:hAnsi="Calibri" w:cs="Times New Roman"/>
                <w:vertAlign w:val="superscript"/>
              </w:rPr>
              <w:t>-4</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Arsenic [Heavy metals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6.90×10</w:t>
            </w:r>
            <w:r>
              <w:rPr>
                <w:rFonts w:ascii="Calibri" w:eastAsia="Times New Roman" w:hAnsi="Calibri" w:cs="Times New Roman"/>
                <w:vertAlign w:val="superscript"/>
              </w:rPr>
              <w:t>-5</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Benzene [Hydrocarbons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1.04×10</w:t>
            </w:r>
            <w:r>
              <w:rPr>
                <w:rFonts w:ascii="Calibri" w:eastAsia="Times New Roman" w:hAnsi="Calibri" w:cs="Times New Roman"/>
                <w:vertAlign w:val="superscript"/>
              </w:rPr>
              <w:t>-3</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Benzene [Group NMVOC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1.20×10</w:t>
            </w:r>
            <w:r>
              <w:rPr>
                <w:rFonts w:ascii="Calibri" w:eastAsia="Times New Roman" w:hAnsi="Calibri" w:cs="Times New Roman"/>
                <w:vertAlign w:val="superscript"/>
              </w:rPr>
              <w:t>-3</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Benzo{a}pyrene [Group PAH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1.20×10</w:t>
            </w:r>
            <w:r>
              <w:rPr>
                <w:rFonts w:ascii="Calibri" w:eastAsia="Times New Roman" w:hAnsi="Calibri" w:cs="Times New Roman"/>
                <w:vertAlign w:val="superscript"/>
              </w:rPr>
              <w:t>-3</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Biological oxygen demand (BOD) [Analytical measures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2.99×10</w:t>
            </w:r>
            <w:r>
              <w:rPr>
                <w:rFonts w:ascii="Calibri" w:eastAsia="Times New Roman" w:hAnsi="Calibri" w:cs="Times New Roman"/>
                <w:vertAlign w:val="superscript"/>
              </w:rPr>
              <w:t>-1</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Cadmium [Heavy metals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1.86×10</w:t>
            </w:r>
            <w:r>
              <w:rPr>
                <w:rFonts w:ascii="Calibri" w:eastAsia="Times New Roman" w:hAnsi="Calibri" w:cs="Times New Roman"/>
                <w:vertAlign w:val="superscript"/>
              </w:rPr>
              <w:t>-5</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Cadmium [Heavy metals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4.30×10</w:t>
            </w:r>
            <w:r>
              <w:rPr>
                <w:rFonts w:ascii="Calibri" w:eastAsia="Times New Roman" w:hAnsi="Calibri" w:cs="Times New Roman"/>
                <w:vertAlign w:val="superscript"/>
              </w:rPr>
              <w:t>-6</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Carbon Dioxide [Inorganic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1.53×10</w:t>
            </w:r>
            <w:r>
              <w:rPr>
                <w:rFonts w:ascii="Calibri" w:eastAsia="Times New Roman" w:hAnsi="Calibri" w:cs="Times New Roman"/>
                <w:vertAlign w:val="superscript"/>
              </w:rPr>
              <w:t>2</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Carbon Dioxide (biotic) [Inorganic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3.35×10</w:t>
            </w:r>
            <w:r>
              <w:rPr>
                <w:rFonts w:ascii="Calibri" w:eastAsia="Times New Roman" w:hAnsi="Calibri" w:cs="Times New Roman"/>
                <w:vertAlign w:val="superscript"/>
              </w:rPr>
              <w:t>0</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Carbon Monoxide [Inorganic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1.23×10</w:t>
            </w:r>
            <w:r>
              <w:rPr>
                <w:rFonts w:ascii="Calibri" w:eastAsia="Times New Roman" w:hAnsi="Calibri" w:cs="Times New Roman"/>
                <w:vertAlign w:val="superscript"/>
              </w:rPr>
              <w:t>0</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Carbon tetrachloride (</w:t>
            </w:r>
            <w:proofErr w:type="spellStart"/>
            <w:r w:rsidRPr="0054285D">
              <w:rPr>
                <w:rFonts w:ascii="Calibri" w:eastAsia="Times New Roman" w:hAnsi="Calibri" w:cs="Times New Roman"/>
              </w:rPr>
              <w:t>tetrachloromethane</w:t>
            </w:r>
            <w:proofErr w:type="spellEnd"/>
            <w:r w:rsidRPr="0054285D">
              <w:rPr>
                <w:rFonts w:ascii="Calibri" w:eastAsia="Times New Roman" w:hAnsi="Calibri" w:cs="Times New Roman"/>
              </w:rPr>
              <w:t>) [Halogenated 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 xml:space="preserve"> 1.98×10</w:t>
            </w:r>
            <w:r>
              <w:rPr>
                <w:rFonts w:ascii="Calibri" w:eastAsia="Times New Roman" w:hAnsi="Calibri" w:cs="Times New Roman"/>
                <w:vertAlign w:val="superscript"/>
              </w:rPr>
              <w:t>-6</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Chemical oxygen demand (COD) [Analytical measures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5.67×10</w:t>
            </w:r>
            <w:r>
              <w:rPr>
                <w:rFonts w:ascii="Calibri" w:eastAsia="Times New Roman" w:hAnsi="Calibri" w:cs="Times New Roman"/>
                <w:vertAlign w:val="superscript"/>
              </w:rPr>
              <w:t>-1</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Chloride [Inorganic emissions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7.11×10</w:t>
            </w:r>
            <w:r>
              <w:rPr>
                <w:rFonts w:ascii="Calibri" w:eastAsia="Times New Roman" w:hAnsi="Calibri" w:cs="Times New Roman"/>
                <w:vertAlign w:val="superscript"/>
              </w:rPr>
              <w:t>-1</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Chlorinated hydrocarbons (unspecified) [Halogenated 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2E0DA2">
            <w:pPr>
              <w:spacing w:after="0" w:line="240" w:lineRule="auto"/>
              <w:jc w:val="center"/>
              <w:rPr>
                <w:rFonts w:ascii="Calibri" w:eastAsia="Times New Roman" w:hAnsi="Calibri" w:cs="Times New Roman"/>
              </w:rPr>
            </w:pPr>
            <w:r>
              <w:rPr>
                <w:rFonts w:ascii="Calibri" w:eastAsia="Times New Roman" w:hAnsi="Calibri" w:cs="Times New Roman"/>
              </w:rPr>
              <w:t>4.74×10</w:t>
            </w:r>
            <w:r>
              <w:rPr>
                <w:rFonts w:ascii="Calibri" w:eastAsia="Times New Roman" w:hAnsi="Calibri" w:cs="Times New Roman"/>
                <w:vertAlign w:val="superscript"/>
              </w:rPr>
              <w:t>-5</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Chromium (unspecified) [Heavy metals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4D0DCA">
            <w:pPr>
              <w:spacing w:after="0" w:line="240" w:lineRule="auto"/>
              <w:jc w:val="center"/>
              <w:rPr>
                <w:rFonts w:ascii="Calibri" w:eastAsia="Times New Roman" w:hAnsi="Calibri" w:cs="Times New Roman"/>
              </w:rPr>
            </w:pPr>
            <w:r w:rsidRPr="0054285D">
              <w:rPr>
                <w:rFonts w:ascii="Calibri" w:eastAsia="Times New Roman" w:hAnsi="Calibri" w:cs="Times New Roman"/>
              </w:rPr>
              <w:t>2.30</w:t>
            </w:r>
            <w:r w:rsidR="004D0DCA">
              <w:rPr>
                <w:rFonts w:ascii="Calibri" w:eastAsia="Times New Roman" w:hAnsi="Calibri" w:cs="Times New Roman"/>
              </w:rPr>
              <w:t>×10</w:t>
            </w:r>
            <w:r w:rsidR="004D0DCA">
              <w:rPr>
                <w:rFonts w:ascii="Calibri" w:eastAsia="Times New Roman" w:hAnsi="Calibri" w:cs="Times New Roman"/>
                <w:vertAlign w:val="superscript"/>
              </w:rPr>
              <w:t>-3</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Chromium (unspecified) [Heavy metals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1.01×10</w:t>
            </w:r>
            <w:r>
              <w:rPr>
                <w:rFonts w:ascii="Calibri" w:eastAsia="Times New Roman" w:hAnsi="Calibri" w:cs="Times New Roman"/>
                <w:vertAlign w:val="superscript"/>
              </w:rPr>
              <w:t>-2</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Copper [Heavy metals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1.86×10</w:t>
            </w:r>
            <w:r>
              <w:rPr>
                <w:rFonts w:ascii="Calibri" w:eastAsia="Times New Roman" w:hAnsi="Calibri" w:cs="Times New Roman"/>
                <w:vertAlign w:val="superscript"/>
              </w:rPr>
              <w:t>-3</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Copper [Heavy metals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6.60×10</w:t>
            </w:r>
            <w:r>
              <w:rPr>
                <w:rFonts w:ascii="Calibri" w:eastAsia="Times New Roman" w:hAnsi="Calibri" w:cs="Times New Roman"/>
                <w:vertAlign w:val="superscript"/>
              </w:rPr>
              <w:t>-4</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Cyanide [Inorganic emissions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4.78×10</w:t>
            </w:r>
            <w:r>
              <w:rPr>
                <w:rFonts w:ascii="Calibri" w:eastAsia="Times New Roman" w:hAnsi="Calibri" w:cs="Times New Roman"/>
                <w:vertAlign w:val="superscript"/>
              </w:rPr>
              <w:t>-2</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Dichloroethane</w:t>
            </w:r>
            <w:proofErr w:type="spellEnd"/>
            <w:r w:rsidRPr="0054285D">
              <w:rPr>
                <w:rFonts w:ascii="Calibri" w:eastAsia="Times New Roman" w:hAnsi="Calibri" w:cs="Times New Roman"/>
              </w:rPr>
              <w:t xml:space="preserve"> (ethylene dichloride)  [Halogenated organic emissions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2.40×10</w:t>
            </w:r>
            <w:r>
              <w:rPr>
                <w:rFonts w:ascii="Calibri" w:eastAsia="Times New Roman" w:hAnsi="Calibri" w:cs="Times New Roman"/>
                <w:vertAlign w:val="superscript"/>
              </w:rPr>
              <w:t>-5</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Dichloromethane (methylene dichloride)  [Halogenated 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9.00×10</w:t>
            </w:r>
            <w:r>
              <w:rPr>
                <w:rFonts w:ascii="Calibri" w:eastAsia="Times New Roman" w:hAnsi="Calibri" w:cs="Times New Roman"/>
                <w:vertAlign w:val="superscript"/>
              </w:rPr>
              <w:t>-9</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Dioxins (unspecified) [Halogenated organic emissions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4D0DCA">
            <w:pPr>
              <w:spacing w:after="0" w:line="240" w:lineRule="auto"/>
              <w:jc w:val="center"/>
              <w:rPr>
                <w:rFonts w:ascii="Calibri" w:eastAsia="Times New Roman" w:hAnsi="Calibri" w:cs="Times New Roman"/>
              </w:rPr>
            </w:pPr>
            <w:r w:rsidRPr="0054285D">
              <w:rPr>
                <w:rFonts w:ascii="Calibri" w:eastAsia="Times New Roman" w:hAnsi="Calibri" w:cs="Times New Roman"/>
              </w:rPr>
              <w:t>1</w:t>
            </w:r>
            <w:r w:rsidR="004D0DCA">
              <w:rPr>
                <w:rFonts w:ascii="Calibri" w:eastAsia="Times New Roman" w:hAnsi="Calibri" w:cs="Times New Roman"/>
              </w:rPr>
              <w:t>.00×10</w:t>
            </w:r>
            <w:r w:rsidR="004D0DCA">
              <w:rPr>
                <w:rFonts w:ascii="Calibri" w:eastAsia="Times New Roman" w:hAnsi="Calibri" w:cs="Times New Roman"/>
                <w:vertAlign w:val="superscript"/>
              </w:rPr>
              <w:t>-10</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Ethene</w:t>
            </w:r>
            <w:proofErr w:type="spellEnd"/>
            <w:r w:rsidRPr="0054285D">
              <w:rPr>
                <w:rFonts w:ascii="Calibri" w:eastAsia="Times New Roman" w:hAnsi="Calibri" w:cs="Times New Roman"/>
              </w:rPr>
              <w:t xml:space="preserve"> (ethylene) [Group NMVOC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9.10×10</w:t>
            </w:r>
            <w:r>
              <w:rPr>
                <w:rFonts w:ascii="Calibri" w:eastAsia="Times New Roman" w:hAnsi="Calibri" w:cs="Times New Roman"/>
                <w:vertAlign w:val="superscript"/>
              </w:rPr>
              <w:t>-4</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Fluoride [Inorganic emissions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1.33×10</w:t>
            </w:r>
            <w:r>
              <w:rPr>
                <w:rFonts w:ascii="Calibri" w:eastAsia="Times New Roman" w:hAnsi="Calibri" w:cs="Times New Roman"/>
                <w:vertAlign w:val="superscript"/>
              </w:rPr>
              <w:t>-2</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Formaldehyde (</w:t>
            </w:r>
            <w:proofErr w:type="spellStart"/>
            <w:r w:rsidRPr="0054285D">
              <w:rPr>
                <w:rFonts w:ascii="Calibri" w:eastAsia="Times New Roman" w:hAnsi="Calibri" w:cs="Times New Roman"/>
              </w:rPr>
              <w:t>methanal</w:t>
            </w:r>
            <w:proofErr w:type="spellEnd"/>
            <w:r w:rsidRPr="0054285D">
              <w:rPr>
                <w:rFonts w:ascii="Calibri" w:eastAsia="Times New Roman" w:hAnsi="Calibri" w:cs="Times New Roman"/>
              </w:rPr>
              <w:t>) [Group NMVOC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2.10×10</w:t>
            </w:r>
            <w:r>
              <w:rPr>
                <w:rFonts w:ascii="Calibri" w:eastAsia="Times New Roman" w:hAnsi="Calibri" w:cs="Times New Roman"/>
                <w:vertAlign w:val="superscript"/>
              </w:rPr>
              <w:t>-4</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Hexachlorobenzene</w:t>
            </w:r>
            <w:proofErr w:type="spellEnd"/>
            <w:r w:rsidRPr="0054285D">
              <w:rPr>
                <w:rFonts w:ascii="Calibri" w:eastAsia="Times New Roman" w:hAnsi="Calibri" w:cs="Times New Roman"/>
              </w:rPr>
              <w:t xml:space="preserve"> (</w:t>
            </w:r>
            <w:proofErr w:type="spellStart"/>
            <w:r w:rsidRPr="0054285D">
              <w:rPr>
                <w:rFonts w:ascii="Calibri" w:eastAsia="Times New Roman" w:hAnsi="Calibri" w:cs="Times New Roman"/>
              </w:rPr>
              <w:t>Perchlorobenzene</w:t>
            </w:r>
            <w:proofErr w:type="spellEnd"/>
            <w:r w:rsidRPr="0054285D">
              <w:rPr>
                <w:rFonts w:ascii="Calibri" w:eastAsia="Times New Roman" w:hAnsi="Calibri" w:cs="Times New Roman"/>
              </w:rPr>
              <w:t>) [Halogenated 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8.30×10</w:t>
            </w:r>
            <w:r>
              <w:rPr>
                <w:rFonts w:ascii="Calibri" w:eastAsia="Times New Roman" w:hAnsi="Calibri" w:cs="Times New Roman"/>
                <w:vertAlign w:val="superscript"/>
              </w:rPr>
              <w:t>-8</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Hydrocarbons, </w:t>
            </w:r>
            <w:proofErr w:type="spellStart"/>
            <w:r w:rsidRPr="0054285D">
              <w:rPr>
                <w:rFonts w:ascii="Calibri" w:eastAsia="Times New Roman" w:hAnsi="Calibri" w:cs="Times New Roman"/>
              </w:rPr>
              <w:t>chloro</w:t>
            </w:r>
            <w:proofErr w:type="spellEnd"/>
            <w:r w:rsidRPr="0054285D">
              <w:rPr>
                <w:rFonts w:ascii="Calibri" w:eastAsia="Times New Roman" w:hAnsi="Calibri" w:cs="Times New Roman"/>
              </w:rPr>
              <w:t>-/</w:t>
            </w:r>
            <w:proofErr w:type="spellStart"/>
            <w:r w:rsidRPr="0054285D">
              <w:rPr>
                <w:rFonts w:ascii="Calibri" w:eastAsia="Times New Roman" w:hAnsi="Calibri" w:cs="Times New Roman"/>
              </w:rPr>
              <w:t>fluoro</w:t>
            </w:r>
            <w:proofErr w:type="spellEnd"/>
            <w:r w:rsidRPr="0054285D">
              <w:rPr>
                <w:rFonts w:ascii="Calibri" w:eastAsia="Times New Roman" w:hAnsi="Calibri" w:cs="Times New Roman"/>
              </w:rPr>
              <w:t>- [Halogenated 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5.80×10</w:t>
            </w:r>
            <w:r>
              <w:rPr>
                <w:rFonts w:ascii="Calibri" w:eastAsia="Times New Roman" w:hAnsi="Calibri" w:cs="Times New Roman"/>
                <w:vertAlign w:val="superscript"/>
              </w:rPr>
              <w:t>-8</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Hydrogen chloride [Inorganic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1.36×10</w:t>
            </w:r>
            <w:r>
              <w:rPr>
                <w:rFonts w:ascii="Calibri" w:eastAsia="Times New Roman" w:hAnsi="Calibri" w:cs="Times New Roman"/>
                <w:vertAlign w:val="superscript"/>
              </w:rPr>
              <w:t>-2</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lastRenderedPageBreak/>
              <w:t>Hydrogen fluoride [Inorganic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2.05×10</w:t>
            </w:r>
            <w:r>
              <w:rPr>
                <w:rFonts w:ascii="Calibri" w:eastAsia="Times New Roman" w:hAnsi="Calibri" w:cs="Times New Roman"/>
                <w:vertAlign w:val="superscript"/>
              </w:rPr>
              <w:t>-3</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Hydrogen sulphide [Inorganic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5.50×10</w:t>
            </w:r>
            <w:r>
              <w:rPr>
                <w:rFonts w:ascii="Calibri" w:eastAsia="Times New Roman" w:hAnsi="Calibri" w:cs="Times New Roman"/>
                <w:vertAlign w:val="superscript"/>
              </w:rPr>
              <w:t>-4</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Lead [Heavy metals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1.81×10</w:t>
            </w:r>
            <w:r>
              <w:rPr>
                <w:rFonts w:ascii="Calibri" w:eastAsia="Times New Roman" w:hAnsi="Calibri" w:cs="Times New Roman"/>
                <w:vertAlign w:val="superscript"/>
              </w:rPr>
              <w:t>-4</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Lead [Heavy metals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4.10×10</w:t>
            </w:r>
            <w:r>
              <w:rPr>
                <w:rFonts w:ascii="Calibri" w:eastAsia="Times New Roman" w:hAnsi="Calibri" w:cs="Times New Roman"/>
                <w:vertAlign w:val="superscript"/>
              </w:rPr>
              <w:t>-4</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Mercury [Heavy metals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3.55×10</w:t>
            </w:r>
            <w:r>
              <w:rPr>
                <w:rFonts w:ascii="Calibri" w:eastAsia="Times New Roman" w:hAnsi="Calibri" w:cs="Times New Roman"/>
                <w:vertAlign w:val="superscript"/>
              </w:rPr>
              <w:t>-6</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Mercury [Heavy metals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1.80×10</w:t>
            </w:r>
            <w:r>
              <w:rPr>
                <w:rFonts w:ascii="Calibri" w:eastAsia="Times New Roman" w:hAnsi="Calibri" w:cs="Times New Roman"/>
                <w:vertAlign w:val="superscript"/>
              </w:rPr>
              <w:t>-5</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Methane [Organic emissions to air (group VOC)]</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3.36×10</w:t>
            </w:r>
            <w:r>
              <w:rPr>
                <w:rFonts w:ascii="Calibri" w:eastAsia="Times New Roman" w:hAnsi="Calibri" w:cs="Times New Roman"/>
                <w:vertAlign w:val="superscript"/>
              </w:rPr>
              <w:t>-1</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Methane (biotic) [Organic emissions to air (group VOC)]</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8.53×10</w:t>
            </w:r>
            <w:r>
              <w:rPr>
                <w:rFonts w:ascii="Calibri" w:eastAsia="Times New Roman" w:hAnsi="Calibri" w:cs="Times New Roman"/>
                <w:vertAlign w:val="superscript"/>
              </w:rPr>
              <w:t>-3</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Nickel [Heavy metals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3.26×10</w:t>
            </w:r>
            <w:r>
              <w:rPr>
                <w:rFonts w:ascii="Calibri" w:eastAsia="Times New Roman" w:hAnsi="Calibri" w:cs="Times New Roman"/>
                <w:vertAlign w:val="superscript"/>
              </w:rPr>
              <w:t>-2</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Nickel [Heavy metals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6.60×10</w:t>
            </w:r>
            <w:r>
              <w:rPr>
                <w:rFonts w:ascii="Calibri" w:eastAsia="Times New Roman" w:hAnsi="Calibri" w:cs="Times New Roman"/>
                <w:vertAlign w:val="superscript"/>
              </w:rPr>
              <w:t>-4</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Nitrate [Inorganic emissions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1.66×10</w:t>
            </w:r>
            <w:r>
              <w:rPr>
                <w:rFonts w:ascii="Calibri" w:eastAsia="Times New Roman" w:hAnsi="Calibri" w:cs="Times New Roman"/>
                <w:vertAlign w:val="superscript"/>
              </w:rPr>
              <w:t>-2</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Nitrogen [Inorganic emissions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2.33×10</w:t>
            </w:r>
            <w:r>
              <w:rPr>
                <w:rFonts w:ascii="Calibri" w:eastAsia="Times New Roman" w:hAnsi="Calibri" w:cs="Times New Roman"/>
                <w:vertAlign w:val="superscript"/>
              </w:rPr>
              <w:t>-1</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Nitrogen monoxide [Inorganic emissions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5.27×10</w:t>
            </w:r>
            <w:r>
              <w:rPr>
                <w:rFonts w:ascii="Calibri" w:eastAsia="Times New Roman" w:hAnsi="Calibri" w:cs="Times New Roman"/>
                <w:vertAlign w:val="superscript"/>
              </w:rPr>
              <w:t>-2</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Nitrogen oxides [Inorganic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4.30×10</w:t>
            </w:r>
            <w:r>
              <w:rPr>
                <w:rFonts w:ascii="Calibri" w:eastAsia="Times New Roman" w:hAnsi="Calibri" w:cs="Times New Roman"/>
                <w:vertAlign w:val="superscript"/>
              </w:rPr>
              <w:t>0</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NMVOC (unspecified) [Group NMVOC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1.58×10</w:t>
            </w:r>
            <w:r>
              <w:rPr>
                <w:rFonts w:ascii="Calibri" w:eastAsia="Times New Roman" w:hAnsi="Calibri" w:cs="Times New Roman"/>
                <w:vertAlign w:val="superscript"/>
              </w:rPr>
              <w:t>0</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Organic compounds (unspecified) [Organic emissions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8.75×10</w:t>
            </w:r>
            <w:r>
              <w:rPr>
                <w:rFonts w:ascii="Calibri" w:eastAsia="Times New Roman" w:hAnsi="Calibri" w:cs="Times New Roman"/>
                <w:vertAlign w:val="superscript"/>
              </w:rPr>
              <w:t>-7</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Particulates&lt;10um [Particles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5.55×10</w:t>
            </w:r>
            <w:r>
              <w:rPr>
                <w:rFonts w:ascii="Calibri" w:eastAsia="Times New Roman" w:hAnsi="Calibri" w:cs="Times New Roman"/>
                <w:vertAlign w:val="superscript"/>
              </w:rPr>
              <w:t>0</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Pentachlorophenol (PCP) [Halogenated organic emissions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4.09×10</w:t>
            </w:r>
            <w:r>
              <w:rPr>
                <w:rFonts w:ascii="Calibri" w:eastAsia="Times New Roman" w:hAnsi="Calibri" w:cs="Times New Roman"/>
                <w:vertAlign w:val="superscript"/>
              </w:rPr>
              <w:t>-5</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Pentachlorophenol (PCP) [Halogenated 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6.60×10</w:t>
            </w:r>
            <w:r>
              <w:rPr>
                <w:rFonts w:ascii="Calibri" w:eastAsia="Times New Roman" w:hAnsi="Calibri" w:cs="Times New Roman"/>
                <w:vertAlign w:val="superscript"/>
              </w:rPr>
              <w:t>-7</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Phosphorus [Inorganic emissions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5.93×10</w:t>
            </w:r>
            <w:r>
              <w:rPr>
                <w:rFonts w:ascii="Calibri" w:eastAsia="Times New Roman" w:hAnsi="Calibri" w:cs="Times New Roman"/>
                <w:vertAlign w:val="superscript"/>
              </w:rPr>
              <w:t>-3</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Polycycliaromatic</w:t>
            </w:r>
            <w:proofErr w:type="spellEnd"/>
            <w:r w:rsidRPr="0054285D">
              <w:rPr>
                <w:rFonts w:ascii="Calibri" w:eastAsia="Times New Roman" w:hAnsi="Calibri" w:cs="Times New Roman"/>
              </w:rPr>
              <w:t xml:space="preserve"> hydrocarbons (PAH, unspecified) [Hydrocarbons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2.64×10</w:t>
            </w:r>
            <w:r>
              <w:rPr>
                <w:rFonts w:ascii="Calibri" w:eastAsia="Times New Roman" w:hAnsi="Calibri" w:cs="Times New Roman"/>
                <w:vertAlign w:val="superscript"/>
              </w:rPr>
              <w:t>-6</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Polycycliaromatic</w:t>
            </w:r>
            <w:proofErr w:type="spellEnd"/>
            <w:r w:rsidRPr="0054285D">
              <w:rPr>
                <w:rFonts w:ascii="Calibri" w:eastAsia="Times New Roman" w:hAnsi="Calibri" w:cs="Times New Roman"/>
              </w:rPr>
              <w:t xml:space="preserve"> hydrocarbons (PAH, unspecified) [Group PAH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7.53×10</w:t>
            </w:r>
            <w:r>
              <w:rPr>
                <w:rFonts w:ascii="Calibri" w:eastAsia="Times New Roman" w:hAnsi="Calibri" w:cs="Times New Roman"/>
                <w:vertAlign w:val="superscript"/>
              </w:rPr>
              <w:t>-5</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Solids (suspended) [Particles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1.66×10</w:t>
            </w:r>
            <w:r>
              <w:rPr>
                <w:rFonts w:ascii="Calibri" w:eastAsia="Times New Roman" w:hAnsi="Calibri" w:cs="Times New Roman"/>
                <w:vertAlign w:val="superscript"/>
              </w:rPr>
              <w:t>-2</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Sulphate [Inorganic emissions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2.17×10</w:t>
            </w:r>
            <w:r>
              <w:rPr>
                <w:rFonts w:ascii="Calibri" w:eastAsia="Times New Roman" w:hAnsi="Calibri" w:cs="Times New Roman"/>
                <w:vertAlign w:val="superscript"/>
              </w:rPr>
              <w:t>1</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Sulphur dioxide [Inorganic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5.34×10</w:t>
            </w:r>
            <w:r>
              <w:rPr>
                <w:rFonts w:ascii="Calibri" w:eastAsia="Times New Roman" w:hAnsi="Calibri" w:cs="Times New Roman"/>
                <w:vertAlign w:val="superscript"/>
              </w:rPr>
              <w:t>-1</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Sulphur hexafluoride [Inorganic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1.00×10</w:t>
            </w:r>
            <w:r>
              <w:rPr>
                <w:rFonts w:ascii="Calibri" w:eastAsia="Times New Roman" w:hAnsi="Calibri" w:cs="Times New Roman"/>
                <w:vertAlign w:val="superscript"/>
              </w:rPr>
              <w:t>-5</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Tetrachloroethene</w:t>
            </w:r>
            <w:proofErr w:type="spellEnd"/>
            <w:r w:rsidRPr="0054285D">
              <w:rPr>
                <w:rFonts w:ascii="Calibri" w:eastAsia="Times New Roman" w:hAnsi="Calibri" w:cs="Times New Roman"/>
              </w:rPr>
              <w:t xml:space="preserve"> (</w:t>
            </w:r>
            <w:proofErr w:type="spellStart"/>
            <w:r w:rsidRPr="0054285D">
              <w:rPr>
                <w:rFonts w:ascii="Calibri" w:eastAsia="Times New Roman" w:hAnsi="Calibri" w:cs="Times New Roman"/>
              </w:rPr>
              <w:t>perchloroethylene</w:t>
            </w:r>
            <w:proofErr w:type="spellEnd"/>
            <w:r w:rsidRPr="0054285D">
              <w:rPr>
                <w:rFonts w:ascii="Calibri" w:eastAsia="Times New Roman" w:hAnsi="Calibri" w:cs="Times New Roman"/>
              </w:rPr>
              <w:t>) [Halogenated 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4.78×10</w:t>
            </w:r>
            <w:r>
              <w:rPr>
                <w:rFonts w:ascii="Calibri" w:eastAsia="Times New Roman" w:hAnsi="Calibri" w:cs="Times New Roman"/>
                <w:vertAlign w:val="superscript"/>
              </w:rPr>
              <w:t>-10</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Total dust [Resources]</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5.95×10</w:t>
            </w:r>
            <w:r>
              <w:rPr>
                <w:rFonts w:ascii="Calibri" w:eastAsia="Times New Roman" w:hAnsi="Calibri" w:cs="Times New Roman"/>
                <w:vertAlign w:val="superscript"/>
              </w:rPr>
              <w:t>0</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Total organic bounded carbon  [Analytical measures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2.00×10</w:t>
            </w:r>
            <w:r>
              <w:rPr>
                <w:rFonts w:ascii="Calibri" w:eastAsia="Times New Roman" w:hAnsi="Calibri" w:cs="Times New Roman"/>
                <w:vertAlign w:val="superscript"/>
              </w:rPr>
              <w:t>-1</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proofErr w:type="spellStart"/>
            <w:r w:rsidRPr="0054285D">
              <w:rPr>
                <w:rFonts w:ascii="Calibri" w:eastAsia="Times New Roman" w:hAnsi="Calibri" w:cs="Times New Roman"/>
              </w:rPr>
              <w:t>Trichloromethane</w:t>
            </w:r>
            <w:proofErr w:type="spellEnd"/>
            <w:r w:rsidRPr="0054285D">
              <w:rPr>
                <w:rFonts w:ascii="Calibri" w:eastAsia="Times New Roman" w:hAnsi="Calibri" w:cs="Times New Roman"/>
              </w:rPr>
              <w:t xml:space="preserve"> (chloroform)  [Halogenated organic emissions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2.63×10</w:t>
            </w:r>
            <w:r>
              <w:rPr>
                <w:rFonts w:ascii="Calibri" w:eastAsia="Times New Roman" w:hAnsi="Calibri" w:cs="Times New Roman"/>
                <w:vertAlign w:val="superscript"/>
              </w:rPr>
              <w:t>-8</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Zinc [Heavy metals to fresh water]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1.26×10</w:t>
            </w:r>
            <w:r>
              <w:rPr>
                <w:rFonts w:ascii="Calibri" w:eastAsia="Times New Roman" w:hAnsi="Calibri" w:cs="Times New Roman"/>
                <w:vertAlign w:val="superscript"/>
              </w:rPr>
              <w:t>-3</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2E0DA2" w:rsidRPr="0054285D" w:rsidTr="004D0DCA">
        <w:trPr>
          <w:trHeight w:val="300"/>
        </w:trPr>
        <w:tc>
          <w:tcPr>
            <w:tcW w:w="3463" w:type="pct"/>
            <w:tcBorders>
              <w:top w:val="nil"/>
              <w:left w:val="single" w:sz="4" w:space="0" w:color="auto"/>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Zinc [Heavy metals to air]</w:t>
            </w:r>
          </w:p>
        </w:tc>
        <w:tc>
          <w:tcPr>
            <w:tcW w:w="543"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Mass</w:t>
            </w:r>
          </w:p>
        </w:tc>
        <w:tc>
          <w:tcPr>
            <w:tcW w:w="670" w:type="pct"/>
            <w:tcBorders>
              <w:top w:val="nil"/>
              <w:left w:val="nil"/>
              <w:bottom w:val="single" w:sz="4" w:space="0" w:color="auto"/>
              <w:right w:val="single" w:sz="4" w:space="0" w:color="auto"/>
            </w:tcBorders>
            <w:shd w:val="clear" w:color="000000" w:fill="FFFFFF"/>
            <w:vAlign w:val="bottom"/>
            <w:hideMark/>
          </w:tcPr>
          <w:p w:rsidR="002E0DA2" w:rsidRPr="0054285D" w:rsidRDefault="004D0DCA" w:rsidP="004D0DCA">
            <w:pPr>
              <w:spacing w:after="0" w:line="240" w:lineRule="auto"/>
              <w:jc w:val="center"/>
              <w:rPr>
                <w:rFonts w:ascii="Calibri" w:eastAsia="Times New Roman" w:hAnsi="Calibri" w:cs="Times New Roman"/>
              </w:rPr>
            </w:pPr>
            <w:r>
              <w:rPr>
                <w:rFonts w:ascii="Calibri" w:eastAsia="Times New Roman" w:hAnsi="Calibri" w:cs="Times New Roman"/>
              </w:rPr>
              <w:t>2.10×10</w:t>
            </w:r>
            <w:r>
              <w:rPr>
                <w:rFonts w:ascii="Calibri" w:eastAsia="Times New Roman" w:hAnsi="Calibri" w:cs="Times New Roman"/>
                <w:vertAlign w:val="superscript"/>
              </w:rPr>
              <w:t>-3</w:t>
            </w:r>
          </w:p>
        </w:tc>
        <w:tc>
          <w:tcPr>
            <w:tcW w:w="324" w:type="pct"/>
            <w:tcBorders>
              <w:top w:val="nil"/>
              <w:left w:val="nil"/>
              <w:bottom w:val="single" w:sz="4" w:space="0" w:color="auto"/>
              <w:right w:val="single" w:sz="4" w:space="0" w:color="auto"/>
            </w:tcBorders>
            <w:shd w:val="clear" w:color="000000" w:fill="FFFFFF"/>
            <w:vAlign w:val="bottom"/>
            <w:hideMark/>
          </w:tcPr>
          <w:p w:rsidR="002E0DA2" w:rsidRPr="0054285D" w:rsidRDefault="002E0DA2" w:rsidP="002E0DA2">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bl>
    <w:p w:rsidR="00AE7A4C" w:rsidRPr="0054285D" w:rsidRDefault="00AE7A4C" w:rsidP="00AE7A4C">
      <w:pPr>
        <w:spacing w:line="360" w:lineRule="auto"/>
        <w:rPr>
          <w:rFonts w:ascii="Times New Roman" w:eastAsia="Calibri" w:hAnsi="Times New Roman" w:cs="Times New Roman"/>
          <w:b/>
        </w:rPr>
      </w:pPr>
    </w:p>
    <w:p w:rsidR="006B53B6" w:rsidRPr="0054285D" w:rsidRDefault="006B53B6" w:rsidP="00C95582">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For pyrochlore, no electricity process was required as it was assumed the electrical energy from each input was already included, and that the main reaction was exothermic with the heat being used as energy source for the process. However the enthalpy between the niobium concentrate and aluminium is slightly lower than the threshold value for self-sustaining aluminothermic reactions, therefore oxygen-releasing lime is required in the inputs. </w:t>
      </w:r>
    </w:p>
    <w:p w:rsidR="006B53B6" w:rsidRPr="0054285D" w:rsidRDefault="006B53B6" w:rsidP="00A34349">
      <w:pPr>
        <w:spacing w:after="0" w:line="360" w:lineRule="auto"/>
        <w:ind w:firstLine="720"/>
        <w:jc w:val="both"/>
        <w:rPr>
          <w:rFonts w:ascii="Times New Roman" w:eastAsia="Calibri" w:hAnsi="Times New Roman" w:cs="Times New Roman"/>
        </w:rPr>
      </w:pPr>
    </w:p>
    <w:p w:rsidR="00AE7A4C" w:rsidRPr="0054285D" w:rsidRDefault="00C95582" w:rsidP="00A34349">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lastRenderedPageBreak/>
        <w:t>Likewise to the modelling technique</w:t>
      </w:r>
      <w:r w:rsidR="00AE7A4C" w:rsidRPr="0054285D">
        <w:rPr>
          <w:rFonts w:ascii="Times New Roman" w:eastAsia="Calibri" w:hAnsi="Times New Roman" w:cs="Times New Roman"/>
        </w:rPr>
        <w:t xml:space="preserve"> for borate</w:t>
      </w:r>
      <w:r w:rsidRPr="0054285D">
        <w:rPr>
          <w:rFonts w:ascii="Times New Roman" w:eastAsia="Calibri" w:hAnsi="Times New Roman" w:cs="Times New Roman"/>
        </w:rPr>
        <w:t>s and ferromolybdenum</w:t>
      </w:r>
      <w:r w:rsidR="00AE7A4C" w:rsidRPr="0054285D">
        <w:rPr>
          <w:rFonts w:ascii="Times New Roman" w:eastAsia="Calibri" w:hAnsi="Times New Roman" w:cs="Times New Roman"/>
        </w:rPr>
        <w:t>, some named flows were unavailable and thus alternatives had to be created. The same method and changes applied in t</w:t>
      </w:r>
      <w:r w:rsidRPr="0054285D">
        <w:rPr>
          <w:rFonts w:ascii="Times New Roman" w:eastAsia="Calibri" w:hAnsi="Times New Roman" w:cs="Times New Roman"/>
        </w:rPr>
        <w:t xml:space="preserve">he creation of borates and ferromolybdenum </w:t>
      </w:r>
      <w:r w:rsidR="00AE7A4C" w:rsidRPr="0054285D">
        <w:rPr>
          <w:rFonts w:ascii="Times New Roman" w:eastAsia="Calibri" w:hAnsi="Times New Roman" w:cs="Times New Roman"/>
        </w:rPr>
        <w:t xml:space="preserve">were also applied to creation of the pyrochlore process. </w:t>
      </w:r>
      <w:r w:rsidRPr="0054285D">
        <w:rPr>
          <w:rFonts w:ascii="Times New Roman" w:eastAsia="Calibri" w:hAnsi="Times New Roman" w:cs="Times New Roman"/>
        </w:rPr>
        <w:t>T</w:t>
      </w:r>
      <w:r w:rsidR="00AE7A4C" w:rsidRPr="0054285D">
        <w:rPr>
          <w:rFonts w:ascii="Times New Roman" w:eastAsia="Calibri" w:hAnsi="Times New Roman" w:cs="Times New Roman"/>
        </w:rPr>
        <w:t>he compl</w:t>
      </w:r>
      <w:r w:rsidRPr="0054285D">
        <w:rPr>
          <w:rFonts w:ascii="Times New Roman" w:eastAsia="Calibri" w:hAnsi="Times New Roman" w:cs="Times New Roman"/>
        </w:rPr>
        <w:t>eted ferroniobium</w:t>
      </w:r>
      <w:r w:rsidR="00AE7A4C" w:rsidRPr="0054285D">
        <w:rPr>
          <w:rFonts w:ascii="Times New Roman" w:eastAsia="Calibri" w:hAnsi="Times New Roman" w:cs="Times New Roman"/>
        </w:rPr>
        <w:t xml:space="preserve"> model</w:t>
      </w:r>
      <w:r w:rsidRPr="0054285D">
        <w:rPr>
          <w:rFonts w:ascii="Times New Roman" w:eastAsia="Calibri" w:hAnsi="Times New Roman" w:cs="Times New Roman"/>
        </w:rPr>
        <w:t xml:space="preserve"> including the input pyrochlore is highlighted by </w:t>
      </w:r>
      <w:r w:rsidR="00A6415F" w:rsidRPr="0054285D">
        <w:fldChar w:fldCharType="begin"/>
      </w:r>
      <w:r w:rsidR="00A6415F" w:rsidRPr="0054285D">
        <w:instrText xml:space="preserve"> REF _Ref473832561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80</w:t>
      </w:r>
      <w:r w:rsidR="00A6415F" w:rsidRPr="0054285D">
        <w:fldChar w:fldCharType="end"/>
      </w:r>
      <w:r w:rsidRPr="0054285D">
        <w:rPr>
          <w:rFonts w:ascii="Times New Roman" w:eastAsia="Calibri" w:hAnsi="Times New Roman" w:cs="Times New Roman"/>
        </w:rPr>
        <w:t>.</w:t>
      </w:r>
    </w:p>
    <w:p w:rsidR="00AE7A4C" w:rsidRPr="0054285D" w:rsidRDefault="003601AA" w:rsidP="00AE7A4C">
      <w:pPr>
        <w:spacing w:line="360" w:lineRule="auto"/>
        <w:jc w:val="center"/>
        <w:rPr>
          <w:rFonts w:ascii="Times New Roman" w:eastAsia="Calibri" w:hAnsi="Times New Roman" w:cs="Times New Roman"/>
        </w:rPr>
      </w:pPr>
      <w:r w:rsidRPr="0054285D">
        <w:rPr>
          <w:noProof/>
        </w:rPr>
        <w:drawing>
          <wp:inline distT="0" distB="0" distL="0" distR="0" wp14:anchorId="4BC84B31" wp14:editId="5DF96FBD">
            <wp:extent cx="5731510" cy="2324735"/>
            <wp:effectExtent l="0" t="0" r="254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print"/>
                    <a:srcRect l="35108" t="41683" r="19398" b="25504"/>
                    <a:stretch/>
                  </pic:blipFill>
                  <pic:spPr bwMode="auto">
                    <a:xfrm>
                      <a:off x="0" y="0"/>
                      <a:ext cx="5731510" cy="2324735"/>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A34349" w:rsidP="00A34349">
      <w:pPr>
        <w:rPr>
          <w:rFonts w:ascii="Times New Roman" w:eastAsia="Calibri" w:hAnsi="Times New Roman" w:cs="Times New Roman"/>
        </w:rPr>
      </w:pPr>
      <w:bookmarkStart w:id="328" w:name="_Ref473832561"/>
      <w:bookmarkStart w:id="329" w:name="_Toc495848413"/>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80</w:t>
      </w:r>
      <w:r w:rsidR="009A0ED7" w:rsidRPr="0054285D">
        <w:rPr>
          <w:rFonts w:ascii="Times New Roman" w:hAnsi="Times New Roman" w:cs="Times New Roman"/>
        </w:rPr>
        <w:fldChar w:fldCharType="end"/>
      </w:r>
      <w:bookmarkEnd w:id="328"/>
      <w:r w:rsidRPr="0054285D">
        <w:rPr>
          <w:rFonts w:ascii="Times New Roman" w:hAnsi="Times New Roman" w:cs="Times New Roman"/>
        </w:rPr>
        <w:t xml:space="preserve">. </w:t>
      </w:r>
      <w:r w:rsidR="00AE7A4C" w:rsidRPr="0054285D">
        <w:rPr>
          <w:rFonts w:ascii="Times New Roman" w:eastAsia="Calibri" w:hAnsi="Times New Roman" w:cs="Times New Roman"/>
        </w:rPr>
        <w:t>Fe-Nb production from data source Gasik.</w:t>
      </w:r>
      <w:bookmarkEnd w:id="329"/>
    </w:p>
    <w:p w:rsidR="00C94B4E" w:rsidRPr="0054285D" w:rsidRDefault="00AE7A4C" w:rsidP="00D2436E">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The second data</w:t>
      </w:r>
      <w:r w:rsidR="00C95582" w:rsidRPr="0054285D">
        <w:rPr>
          <w:rFonts w:ascii="Times New Roman" w:eastAsia="Calibri" w:hAnsi="Times New Roman" w:cs="Times New Roman"/>
        </w:rPr>
        <w:t xml:space="preserve"> source employed to create ferroniobium</w:t>
      </w:r>
      <w:r w:rsidRPr="0054285D">
        <w:rPr>
          <w:rFonts w:ascii="Times New Roman" w:eastAsia="Calibri" w:hAnsi="Times New Roman" w:cs="Times New Roman"/>
        </w:rPr>
        <w:t xml:space="preserve"> was</w:t>
      </w:r>
      <w:r w:rsidR="00C95582" w:rsidRPr="0054285D">
        <w:rPr>
          <w:rFonts w:ascii="Times New Roman" w:eastAsia="Calibri" w:hAnsi="Times New Roman" w:cs="Times New Roman"/>
        </w:rPr>
        <w:t xml:space="preserve"> via </w:t>
      </w:r>
      <w:r w:rsidR="00C95582" w:rsidRPr="0054285D">
        <w:rPr>
          <w:rFonts w:ascii="Times New Roman" w:eastAsia="Calibri" w:hAnsi="Times New Roman" w:cs="Times New Roman"/>
          <w:noProof/>
        </w:rPr>
        <w:t>(Nuss &amp; Eckelman 2014)</w:t>
      </w:r>
      <w:r w:rsidRPr="0054285D">
        <w:rPr>
          <w:rFonts w:ascii="Times New Roman" w:eastAsia="Calibri" w:hAnsi="Times New Roman" w:cs="Times New Roman"/>
        </w:rPr>
        <w:t>. Similarly to Gasik, the production route for which the data was selected, corresponded to aluminium reduction of niobium oxide ores with the addition of iron oxides. Again no electricity input was required due to the exothermic nature of the process.  The data used pyrochlore as an input, but since this had been created, the process form Nuss could be modelled. Unlike most other data sources, the functional unit for which the inputs were based</w:t>
      </w:r>
      <w:r w:rsidR="00C95582" w:rsidRPr="0054285D">
        <w:rPr>
          <w:rFonts w:ascii="Times New Roman" w:eastAsia="Calibri" w:hAnsi="Times New Roman" w:cs="Times New Roman"/>
        </w:rPr>
        <w:t xml:space="preserve"> on </w:t>
      </w:r>
      <w:r w:rsidRPr="0054285D">
        <w:rPr>
          <w:rFonts w:ascii="Times New Roman" w:eastAsia="Calibri" w:hAnsi="Times New Roman" w:cs="Times New Roman"/>
        </w:rPr>
        <w:t>was</w:t>
      </w:r>
      <w:r w:rsidR="00C95582" w:rsidRPr="0054285D">
        <w:rPr>
          <w:rFonts w:ascii="Times New Roman" w:eastAsia="Calibri" w:hAnsi="Times New Roman" w:cs="Times New Roman"/>
        </w:rPr>
        <w:t xml:space="preserve"> for production of</w:t>
      </w:r>
      <w:r w:rsidRPr="0054285D">
        <w:rPr>
          <w:rFonts w:ascii="Times New Roman" w:eastAsia="Calibri" w:hAnsi="Times New Roman" w:cs="Times New Roman"/>
        </w:rPr>
        <w:t xml:space="preserve"> </w:t>
      </w:r>
      <w:r w:rsidR="00C95582" w:rsidRPr="0054285D">
        <w:rPr>
          <w:rFonts w:ascii="Times New Roman" w:eastAsia="Calibri" w:hAnsi="Times New Roman" w:cs="Times New Roman"/>
        </w:rPr>
        <w:t>1kg of ferroniobium. The inputs provided by Nuss to create the ferroniobium process are shown by</w:t>
      </w:r>
      <w:r w:rsidR="00C94B4E" w:rsidRPr="0054285D">
        <w:rPr>
          <w:rFonts w:ascii="Times New Roman" w:eastAsia="Calibri" w:hAnsi="Times New Roman" w:cs="Times New Roman"/>
        </w:rPr>
        <w:t xml:space="preserve"> </w:t>
      </w:r>
      <w:r w:rsidR="00A6415F" w:rsidRPr="0054285D">
        <w:fldChar w:fldCharType="begin"/>
      </w:r>
      <w:r w:rsidR="00A6415F" w:rsidRPr="0054285D">
        <w:instrText xml:space="preserve"> REF _Ref468622299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56</w:t>
      </w:r>
      <w:r w:rsidR="00A6415F" w:rsidRPr="0054285D">
        <w:fldChar w:fldCharType="end"/>
      </w:r>
      <w:r w:rsidR="00D2436E">
        <w:rPr>
          <w:rFonts w:ascii="Times New Roman" w:eastAsia="Calibri" w:hAnsi="Times New Roman" w:cs="Times New Roman"/>
        </w:rPr>
        <w:t>.</w:t>
      </w:r>
    </w:p>
    <w:p w:rsidR="00AE7A4C" w:rsidRPr="0054285D" w:rsidRDefault="00A34349" w:rsidP="00A34349">
      <w:pPr>
        <w:rPr>
          <w:rFonts w:ascii="Times New Roman" w:eastAsia="Calibri" w:hAnsi="Times New Roman" w:cs="Times New Roman"/>
        </w:rPr>
      </w:pPr>
      <w:bookmarkStart w:id="330" w:name="_Ref468622299"/>
      <w:bookmarkStart w:id="331" w:name="_Toc474486563"/>
      <w:bookmarkStart w:id="332" w:name="_Toc495852734"/>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56</w:t>
      </w:r>
      <w:r w:rsidR="009A0ED7" w:rsidRPr="0054285D">
        <w:rPr>
          <w:rFonts w:ascii="Times New Roman" w:hAnsi="Times New Roman" w:cs="Times New Roman"/>
        </w:rPr>
        <w:fldChar w:fldCharType="end"/>
      </w:r>
      <w:bookmarkEnd w:id="330"/>
      <w:r w:rsidRPr="0054285D">
        <w:rPr>
          <w:rFonts w:ascii="Times New Roman" w:hAnsi="Times New Roman" w:cs="Times New Roman"/>
        </w:rPr>
        <w:t xml:space="preserve">. </w:t>
      </w:r>
      <w:r w:rsidR="00AE7A4C" w:rsidRPr="0054285D">
        <w:rPr>
          <w:rFonts w:ascii="Times New Roman" w:eastAsia="Calibri" w:hAnsi="Times New Roman" w:cs="Times New Roman"/>
        </w:rPr>
        <w:t xml:space="preserve">Inventory for data from </w:t>
      </w:r>
      <w:r w:rsidR="00C95582" w:rsidRPr="0054285D">
        <w:rPr>
          <w:rFonts w:ascii="Times New Roman" w:eastAsia="Calibri" w:hAnsi="Times New Roman" w:cs="Times New Roman"/>
          <w:noProof/>
        </w:rPr>
        <w:t>(Nuss &amp; Eckelman 2014)</w:t>
      </w:r>
      <w:r w:rsidR="00AE7A4C" w:rsidRPr="0054285D">
        <w:rPr>
          <w:rFonts w:ascii="Times New Roman" w:eastAsia="Calibri" w:hAnsi="Times New Roman" w:cs="Times New Roman"/>
        </w:rPr>
        <w:t>.</w:t>
      </w:r>
      <w:bookmarkEnd w:id="331"/>
      <w:bookmarkEnd w:id="332"/>
    </w:p>
    <w:tbl>
      <w:tblPr>
        <w:tblW w:w="9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313"/>
        <w:gridCol w:w="960"/>
        <w:gridCol w:w="1540"/>
        <w:gridCol w:w="999"/>
        <w:gridCol w:w="960"/>
      </w:tblGrid>
      <w:tr w:rsidR="00C94B4E" w:rsidRPr="0054285D" w:rsidTr="00D2436E">
        <w:trPr>
          <w:trHeight w:val="300"/>
          <w:jc w:val="center"/>
        </w:trPr>
        <w:tc>
          <w:tcPr>
            <w:tcW w:w="3686"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Input Stream </w:t>
            </w:r>
          </w:p>
        </w:tc>
        <w:tc>
          <w:tcPr>
            <w:tcW w:w="1313"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Quantity</w:t>
            </w:r>
          </w:p>
        </w:tc>
        <w:tc>
          <w:tcPr>
            <w:tcW w:w="960"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Units</w:t>
            </w:r>
          </w:p>
        </w:tc>
        <w:tc>
          <w:tcPr>
            <w:tcW w:w="1540"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Output Stream </w:t>
            </w:r>
          </w:p>
        </w:tc>
        <w:tc>
          <w:tcPr>
            <w:tcW w:w="999"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Quantity</w:t>
            </w:r>
          </w:p>
        </w:tc>
        <w:tc>
          <w:tcPr>
            <w:tcW w:w="960"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Units </w:t>
            </w:r>
          </w:p>
        </w:tc>
      </w:tr>
      <w:tr w:rsidR="00C94B4E" w:rsidRPr="0054285D" w:rsidTr="00D2436E">
        <w:trPr>
          <w:trHeight w:val="300"/>
          <w:jc w:val="center"/>
        </w:trPr>
        <w:tc>
          <w:tcPr>
            <w:tcW w:w="3686"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lang w:val="en-US"/>
              </w:rPr>
              <w:t>Pyrochlore concentrate (65% Nb</w:t>
            </w:r>
            <w:r w:rsidRPr="0054285D">
              <w:rPr>
                <w:rFonts w:ascii="Calibri" w:eastAsia="Times New Roman" w:hAnsi="Calibri" w:cs="Times New Roman"/>
                <w:vertAlign w:val="subscript"/>
                <w:lang w:val="en-US"/>
              </w:rPr>
              <w:t>2</w:t>
            </w:r>
            <w:r w:rsidRPr="0054285D">
              <w:rPr>
                <w:rFonts w:ascii="Calibri" w:eastAsia="Times New Roman" w:hAnsi="Calibri" w:cs="Times New Roman"/>
                <w:lang w:val="en-US"/>
              </w:rPr>
              <w:t>O</w:t>
            </w:r>
            <w:r w:rsidRPr="0054285D">
              <w:rPr>
                <w:rFonts w:ascii="Calibri" w:eastAsia="Times New Roman" w:hAnsi="Calibri" w:cs="Times New Roman"/>
                <w:vertAlign w:val="subscript"/>
                <w:lang w:val="en-US"/>
              </w:rPr>
              <w:t>5</w:t>
            </w:r>
            <w:r w:rsidRPr="0054285D">
              <w:rPr>
                <w:rFonts w:ascii="Calibri" w:eastAsia="Times New Roman" w:hAnsi="Calibri" w:cs="Times New Roman"/>
                <w:lang w:val="en-US"/>
              </w:rPr>
              <w:t>)</w:t>
            </w:r>
          </w:p>
        </w:tc>
        <w:tc>
          <w:tcPr>
            <w:tcW w:w="1313"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1.64</w:t>
            </w:r>
          </w:p>
        </w:tc>
        <w:tc>
          <w:tcPr>
            <w:tcW w:w="960"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 </w:t>
            </w:r>
            <w:r w:rsidR="00C95582" w:rsidRPr="0054285D">
              <w:rPr>
                <w:rFonts w:ascii="Calibri" w:eastAsia="Times New Roman" w:hAnsi="Calibri" w:cs="Times New Roman"/>
              </w:rPr>
              <w:t>K</w:t>
            </w:r>
            <w:r w:rsidRPr="0054285D">
              <w:rPr>
                <w:rFonts w:ascii="Calibri" w:eastAsia="Times New Roman" w:hAnsi="Calibri" w:cs="Times New Roman"/>
              </w:rPr>
              <w:t>g</w:t>
            </w:r>
          </w:p>
        </w:tc>
        <w:tc>
          <w:tcPr>
            <w:tcW w:w="1540"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lang w:val="en-US"/>
              </w:rPr>
              <w:t>Ferro-Niobium</w:t>
            </w:r>
          </w:p>
        </w:tc>
        <w:tc>
          <w:tcPr>
            <w:tcW w:w="999"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1.00</w:t>
            </w:r>
          </w:p>
        </w:tc>
        <w:tc>
          <w:tcPr>
            <w:tcW w:w="960"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w:t>
            </w:r>
          </w:p>
        </w:tc>
      </w:tr>
      <w:tr w:rsidR="00C94B4E" w:rsidRPr="0054285D" w:rsidTr="00D2436E">
        <w:trPr>
          <w:trHeight w:val="300"/>
          <w:jc w:val="center"/>
        </w:trPr>
        <w:tc>
          <w:tcPr>
            <w:tcW w:w="3686"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lang w:val="en-US"/>
              </w:rPr>
              <w:t>Iron ore (65% Fe)</w:t>
            </w:r>
          </w:p>
        </w:tc>
        <w:tc>
          <w:tcPr>
            <w:tcW w:w="1313"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0.36</w:t>
            </w:r>
          </w:p>
        </w:tc>
        <w:tc>
          <w:tcPr>
            <w:tcW w:w="960" w:type="dxa"/>
            <w:shd w:val="clear" w:color="auto" w:fill="auto"/>
            <w:noWrap/>
            <w:vAlign w:val="bottom"/>
            <w:hideMark/>
          </w:tcPr>
          <w:p w:rsidR="00C94B4E" w:rsidRPr="0054285D" w:rsidRDefault="00C95582"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w:t>
            </w:r>
            <w:r w:rsidR="00C94B4E" w:rsidRPr="0054285D">
              <w:rPr>
                <w:rFonts w:ascii="Calibri" w:eastAsia="Times New Roman" w:hAnsi="Calibri" w:cs="Times New Roman"/>
              </w:rPr>
              <w:t>g</w:t>
            </w:r>
          </w:p>
        </w:tc>
        <w:tc>
          <w:tcPr>
            <w:tcW w:w="1540"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999"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960"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r>
      <w:tr w:rsidR="00C94B4E" w:rsidRPr="0054285D" w:rsidTr="00D2436E">
        <w:trPr>
          <w:trHeight w:val="300"/>
          <w:jc w:val="center"/>
        </w:trPr>
        <w:tc>
          <w:tcPr>
            <w:tcW w:w="3686"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lang w:val="en-US"/>
              </w:rPr>
              <w:t>Aluminum</w:t>
            </w:r>
          </w:p>
        </w:tc>
        <w:tc>
          <w:tcPr>
            <w:tcW w:w="1313"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0.55</w:t>
            </w:r>
          </w:p>
        </w:tc>
        <w:tc>
          <w:tcPr>
            <w:tcW w:w="960" w:type="dxa"/>
            <w:shd w:val="clear" w:color="auto" w:fill="auto"/>
            <w:noWrap/>
            <w:vAlign w:val="bottom"/>
            <w:hideMark/>
          </w:tcPr>
          <w:p w:rsidR="00C94B4E" w:rsidRPr="0054285D" w:rsidRDefault="00C95582"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w:t>
            </w:r>
            <w:r w:rsidR="00C94B4E" w:rsidRPr="0054285D">
              <w:rPr>
                <w:rFonts w:ascii="Calibri" w:eastAsia="Times New Roman" w:hAnsi="Calibri" w:cs="Times New Roman"/>
              </w:rPr>
              <w:t>g</w:t>
            </w:r>
          </w:p>
        </w:tc>
        <w:tc>
          <w:tcPr>
            <w:tcW w:w="1540"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999"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960"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r>
      <w:tr w:rsidR="00C94B4E" w:rsidRPr="0054285D" w:rsidTr="00D2436E">
        <w:trPr>
          <w:trHeight w:val="300"/>
          <w:jc w:val="center"/>
        </w:trPr>
        <w:tc>
          <w:tcPr>
            <w:tcW w:w="3686"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lang w:val="en-US"/>
              </w:rPr>
              <w:t>Fluorspar (97%)</w:t>
            </w:r>
          </w:p>
        </w:tc>
        <w:tc>
          <w:tcPr>
            <w:tcW w:w="1313"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0.07</w:t>
            </w:r>
          </w:p>
        </w:tc>
        <w:tc>
          <w:tcPr>
            <w:tcW w:w="960" w:type="dxa"/>
            <w:shd w:val="clear" w:color="auto" w:fill="auto"/>
            <w:noWrap/>
            <w:vAlign w:val="bottom"/>
            <w:hideMark/>
          </w:tcPr>
          <w:p w:rsidR="00C94B4E" w:rsidRPr="0054285D" w:rsidRDefault="00C95582"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w:t>
            </w:r>
            <w:r w:rsidR="00C94B4E" w:rsidRPr="0054285D">
              <w:rPr>
                <w:rFonts w:ascii="Calibri" w:eastAsia="Times New Roman" w:hAnsi="Calibri" w:cs="Times New Roman"/>
              </w:rPr>
              <w:t>g</w:t>
            </w:r>
          </w:p>
        </w:tc>
        <w:tc>
          <w:tcPr>
            <w:tcW w:w="1540"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999"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960"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r>
      <w:tr w:rsidR="00C94B4E" w:rsidRPr="0054285D" w:rsidTr="00D2436E">
        <w:trPr>
          <w:trHeight w:val="300"/>
          <w:jc w:val="center"/>
        </w:trPr>
        <w:tc>
          <w:tcPr>
            <w:tcW w:w="3686"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lang w:val="en-US"/>
              </w:rPr>
              <w:t>Limestone</w:t>
            </w:r>
          </w:p>
        </w:tc>
        <w:tc>
          <w:tcPr>
            <w:tcW w:w="1313"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0.05</w:t>
            </w:r>
          </w:p>
        </w:tc>
        <w:tc>
          <w:tcPr>
            <w:tcW w:w="960" w:type="dxa"/>
            <w:shd w:val="clear" w:color="auto" w:fill="auto"/>
            <w:noWrap/>
            <w:vAlign w:val="bottom"/>
            <w:hideMark/>
          </w:tcPr>
          <w:p w:rsidR="00C94B4E" w:rsidRPr="0054285D" w:rsidRDefault="00C95582"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w:t>
            </w:r>
            <w:r w:rsidR="00C94B4E" w:rsidRPr="0054285D">
              <w:rPr>
                <w:rFonts w:ascii="Calibri" w:eastAsia="Times New Roman" w:hAnsi="Calibri" w:cs="Times New Roman"/>
              </w:rPr>
              <w:t>g</w:t>
            </w:r>
          </w:p>
        </w:tc>
        <w:tc>
          <w:tcPr>
            <w:tcW w:w="1540"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999"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960" w:type="dxa"/>
            <w:shd w:val="clear" w:color="auto" w:fill="auto"/>
            <w:noWrap/>
            <w:vAlign w:val="bottom"/>
            <w:hideMark/>
          </w:tcPr>
          <w:p w:rsidR="00C94B4E" w:rsidRPr="0054285D" w:rsidRDefault="00C94B4E"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r>
    </w:tbl>
    <w:p w:rsidR="00AE7A4C" w:rsidRPr="0054285D" w:rsidRDefault="00AE7A4C" w:rsidP="00AE7A4C">
      <w:pPr>
        <w:spacing w:line="360" w:lineRule="auto"/>
        <w:jc w:val="both"/>
        <w:rPr>
          <w:rFonts w:ascii="Times New Roman" w:eastAsia="Calibri" w:hAnsi="Times New Roman" w:cs="Times New Roman"/>
        </w:rPr>
      </w:pPr>
    </w:p>
    <w:p w:rsidR="00AE7A4C" w:rsidRPr="0054285D" w:rsidRDefault="00C95582" w:rsidP="00A34349">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The modelling for ferroniobium via data from </w:t>
      </w:r>
      <w:r w:rsidRPr="0054285D">
        <w:rPr>
          <w:rFonts w:ascii="Times New Roman" w:eastAsia="Calibri" w:hAnsi="Times New Roman" w:cs="Times New Roman"/>
          <w:noProof/>
        </w:rPr>
        <w:t>(Nuss &amp; Eckelman 2014)</w:t>
      </w:r>
      <w:r w:rsidR="00AE7A4C" w:rsidRPr="0054285D">
        <w:rPr>
          <w:rFonts w:ascii="Times New Roman" w:eastAsia="Calibri" w:hAnsi="Times New Roman" w:cs="Times New Roman"/>
        </w:rPr>
        <w:t xml:space="preserve"> was straight for</w:t>
      </w:r>
      <w:r w:rsidRPr="0054285D">
        <w:rPr>
          <w:rFonts w:ascii="Times New Roman" w:eastAsia="Calibri" w:hAnsi="Times New Roman" w:cs="Times New Roman"/>
        </w:rPr>
        <w:t>ward. A new process labelled ferroniobium</w:t>
      </w:r>
      <w:r w:rsidR="00AE7A4C" w:rsidRPr="0054285D">
        <w:rPr>
          <w:rFonts w:ascii="Times New Roman" w:eastAsia="Calibri" w:hAnsi="Times New Roman" w:cs="Times New Roman"/>
        </w:rPr>
        <w:t xml:space="preserve"> was created and the contents of </w:t>
      </w:r>
      <w:r w:rsidR="00A6415F" w:rsidRPr="0054285D">
        <w:fldChar w:fldCharType="begin"/>
      </w:r>
      <w:r w:rsidR="00A6415F" w:rsidRPr="0054285D">
        <w:instrText xml:space="preserve"> REF _Ref468622299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56</w:t>
      </w:r>
      <w:r w:rsidR="00A6415F" w:rsidRPr="0054285D">
        <w:fldChar w:fldCharType="end"/>
      </w:r>
      <w:r w:rsidRPr="0054285D">
        <w:rPr>
          <w:rFonts w:ascii="Times New Roman" w:eastAsia="Calibri" w:hAnsi="Times New Roman" w:cs="Times New Roman"/>
        </w:rPr>
        <w:t xml:space="preserve"> inserted as inputs along with a solitary</w:t>
      </w:r>
      <w:r w:rsidR="00AE7A4C" w:rsidRPr="0054285D">
        <w:rPr>
          <w:rFonts w:ascii="Times New Roman" w:eastAsia="Calibri" w:hAnsi="Times New Roman" w:cs="Times New Roman"/>
        </w:rPr>
        <w:t xml:space="preserve"> output. The processes for each input were located from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and added to the plan. The flows were connected between the processes, creating the final model as shown</w:t>
      </w:r>
      <w:r w:rsidRPr="0054285D">
        <w:rPr>
          <w:rFonts w:ascii="Times New Roman" w:eastAsia="Calibri" w:hAnsi="Times New Roman" w:cs="Times New Roman"/>
        </w:rPr>
        <w:t xml:space="preserve"> by </w:t>
      </w:r>
      <w:r w:rsidR="00A6415F" w:rsidRPr="0054285D">
        <w:fldChar w:fldCharType="begin"/>
      </w:r>
      <w:r w:rsidR="00A6415F" w:rsidRPr="0054285D">
        <w:instrText xml:space="preserve"> REF _Ref473832909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81</w:t>
      </w:r>
      <w:r w:rsidR="00A6415F" w:rsidRPr="0054285D">
        <w:fldChar w:fldCharType="end"/>
      </w:r>
      <w:r w:rsidR="00AE7A4C" w:rsidRPr="0054285D">
        <w:rPr>
          <w:rFonts w:ascii="Times New Roman" w:eastAsia="Calibri" w:hAnsi="Times New Roman" w:cs="Times New Roman"/>
        </w:rPr>
        <w:t>.</w:t>
      </w:r>
    </w:p>
    <w:p w:rsidR="00AE7A4C" w:rsidRPr="0054285D" w:rsidRDefault="00A34349" w:rsidP="00AE7A4C">
      <w:pPr>
        <w:spacing w:line="360" w:lineRule="auto"/>
        <w:jc w:val="center"/>
        <w:rPr>
          <w:rFonts w:ascii="Times New Roman" w:eastAsia="Calibri" w:hAnsi="Times New Roman" w:cs="Times New Roman"/>
        </w:rPr>
      </w:pPr>
      <w:r w:rsidRPr="0054285D">
        <w:rPr>
          <w:noProof/>
        </w:rPr>
        <w:lastRenderedPageBreak/>
        <w:drawing>
          <wp:inline distT="0" distB="0" distL="0" distR="0">
            <wp:extent cx="5731510" cy="2396759"/>
            <wp:effectExtent l="0" t="0" r="2540" b="381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srcRect l="33020" t="36749" r="23837" b="31170"/>
                    <a:stretch/>
                  </pic:blipFill>
                  <pic:spPr bwMode="auto">
                    <a:xfrm>
                      <a:off x="0" y="0"/>
                      <a:ext cx="5731510" cy="2396759"/>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A34349" w:rsidP="00A34349">
      <w:pPr>
        <w:rPr>
          <w:rFonts w:ascii="Times New Roman" w:eastAsia="Calibri" w:hAnsi="Times New Roman" w:cs="Times New Roman"/>
        </w:rPr>
      </w:pPr>
      <w:bookmarkStart w:id="333" w:name="_Ref473832909"/>
      <w:bookmarkStart w:id="334" w:name="_Toc495848414"/>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81</w:t>
      </w:r>
      <w:r w:rsidR="009A0ED7" w:rsidRPr="0054285D">
        <w:rPr>
          <w:rFonts w:ascii="Times New Roman" w:hAnsi="Times New Roman" w:cs="Times New Roman"/>
        </w:rPr>
        <w:fldChar w:fldCharType="end"/>
      </w:r>
      <w:bookmarkEnd w:id="333"/>
      <w:r w:rsidRPr="0054285D">
        <w:rPr>
          <w:rFonts w:ascii="Times New Roman" w:hAnsi="Times New Roman" w:cs="Times New Roman"/>
        </w:rPr>
        <w:t xml:space="preserve">. </w:t>
      </w:r>
      <w:r w:rsidR="00C95582" w:rsidRPr="0054285D">
        <w:rPr>
          <w:rFonts w:ascii="Times New Roman" w:eastAsia="Calibri" w:hAnsi="Times New Roman" w:cs="Times New Roman"/>
        </w:rPr>
        <w:t>Ferroniobium</w:t>
      </w:r>
      <w:r w:rsidR="00AE7A4C" w:rsidRPr="0054285D">
        <w:rPr>
          <w:rFonts w:ascii="Times New Roman" w:eastAsia="Calibri" w:hAnsi="Times New Roman" w:cs="Times New Roman"/>
        </w:rPr>
        <w:t xml:space="preserve"> production from data source Nuss.</w:t>
      </w:r>
      <w:bookmarkEnd w:id="334"/>
    </w:p>
    <w:p w:rsidR="00AE7A4C" w:rsidRDefault="00AE7A4C" w:rsidP="00A34349">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The primary differences between the two models was firstly the percentage of niobium in the end product. For Gasik, the end </w:t>
      </w:r>
      <w:r w:rsidR="00C95582" w:rsidRPr="0054285D">
        <w:rPr>
          <w:rFonts w:ascii="Times New Roman" w:eastAsia="Calibri" w:hAnsi="Times New Roman" w:cs="Times New Roman"/>
        </w:rPr>
        <w:t>product had 50% niobium in ferroniobium</w:t>
      </w:r>
      <w:r w:rsidRPr="0054285D">
        <w:rPr>
          <w:rFonts w:ascii="Times New Roman" w:eastAsia="Calibri" w:hAnsi="Times New Roman" w:cs="Times New Roman"/>
        </w:rPr>
        <w:t xml:space="preserve"> whilst Nuss had 65%. The second difference was the niobium pentoxide process in Gasik. This was an original input but a similar process could not be located in literature or enough data found to build the process. Although it has been substituted for pyrochlore, the two processes are different. Pyrochlore is the source of niobium pentoxide and where it is produced from. Whereas the data source from Gasik suggests the product niobium pentoxide rather than the associated upstreaming activities, related to obtain it. Full analysis of the models can be seen in the results section.</w:t>
      </w:r>
    </w:p>
    <w:p w:rsidR="0054285D" w:rsidRDefault="0054285D" w:rsidP="0054285D">
      <w:pPr>
        <w:spacing w:after="0" w:line="360" w:lineRule="auto"/>
        <w:jc w:val="both"/>
        <w:rPr>
          <w:rFonts w:ascii="Times New Roman" w:eastAsia="Calibri" w:hAnsi="Times New Roman" w:cs="Times New Roman"/>
        </w:rPr>
      </w:pPr>
    </w:p>
    <w:p w:rsidR="0054285D" w:rsidRDefault="0054285D" w:rsidP="00A34349">
      <w:pPr>
        <w:spacing w:after="0" w:line="360" w:lineRule="auto"/>
        <w:ind w:firstLine="720"/>
        <w:jc w:val="both"/>
        <w:rPr>
          <w:rFonts w:ascii="Times New Roman" w:eastAsia="Calibri" w:hAnsi="Times New Roman" w:cs="Times New Roman"/>
        </w:rPr>
        <w:sectPr w:rsidR="0054285D" w:rsidSect="00C24042">
          <w:pgSz w:w="11906" w:h="16838"/>
          <w:pgMar w:top="1440" w:right="1440" w:bottom="1440" w:left="1440" w:header="708" w:footer="708" w:gutter="0"/>
          <w:cols w:space="708"/>
          <w:docGrid w:linePitch="360"/>
        </w:sectPr>
      </w:pPr>
    </w:p>
    <w:p w:rsidR="00AE7A4C" w:rsidRPr="0054285D" w:rsidRDefault="0054285D" w:rsidP="0054285D">
      <w:pPr>
        <w:pStyle w:val="Heading3"/>
      </w:pPr>
      <w:r w:rsidRPr="0054285D">
        <w:lastRenderedPageBreak/>
        <w:t xml:space="preserve">D7.Ferro-Silicon </w:t>
      </w:r>
    </w:p>
    <w:p w:rsidR="00AE7A4C" w:rsidRPr="0054285D" w:rsidRDefault="00AE7A4C" w:rsidP="00AE1415">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Multiple literature sources were available with relevant </w:t>
      </w:r>
      <w:r w:rsidR="007F5356" w:rsidRPr="0054285D">
        <w:rPr>
          <w:rFonts w:ascii="Times New Roman" w:eastAsia="Calibri" w:hAnsi="Times New Roman" w:cs="Times New Roman"/>
        </w:rPr>
        <w:t>quantitative data to model ferrosilicon</w:t>
      </w:r>
      <w:r w:rsidRPr="0054285D">
        <w:rPr>
          <w:rFonts w:ascii="Times New Roman" w:eastAsia="Calibri" w:hAnsi="Times New Roman" w:cs="Times New Roman"/>
        </w:rPr>
        <w:t>. These included:</w:t>
      </w:r>
      <w:r w:rsidR="002E54AF">
        <w:rPr>
          <w:rFonts w:ascii="Times New Roman" w:eastAsia="Calibri" w:hAnsi="Times New Roman" w:cs="Times New Roman"/>
        </w:rPr>
        <w:t xml:space="preserve"> </w:t>
      </w:r>
      <w:r w:rsidR="007F5356" w:rsidRPr="0054285D">
        <w:rPr>
          <w:rFonts w:ascii="Times New Roman" w:eastAsia="Calibri" w:hAnsi="Times New Roman" w:cs="Times New Roman"/>
          <w:noProof/>
        </w:rPr>
        <w:t>(thinkStep 2015; Eurometaux 2014; Gasik.M 2013; Haque &amp; Norgate 2013)</w:t>
      </w:r>
      <w:r w:rsidR="00AE1415" w:rsidRPr="0054285D">
        <w:rPr>
          <w:rFonts w:ascii="Times New Roman" w:eastAsia="Calibri" w:hAnsi="Times New Roman" w:cs="Times New Roman"/>
        </w:rPr>
        <w:t xml:space="preserve">. The first of these data source </w:t>
      </w:r>
      <w:r w:rsidR="00AE1415" w:rsidRPr="0054285D">
        <w:rPr>
          <w:rFonts w:ascii="Times New Roman" w:eastAsia="Calibri" w:hAnsi="Times New Roman" w:cs="Times New Roman"/>
          <w:noProof/>
        </w:rPr>
        <w:t>(Haque &amp; Norgate 2013)</w:t>
      </w:r>
      <w:r w:rsidR="007F5356" w:rsidRPr="0054285D">
        <w:rPr>
          <w:rFonts w:ascii="Times New Roman" w:eastAsia="Calibri" w:hAnsi="Times New Roman" w:cs="Times New Roman"/>
        </w:rPr>
        <w:t xml:space="preserve"> </w:t>
      </w:r>
      <w:r w:rsidR="00AE1415" w:rsidRPr="0054285D">
        <w:rPr>
          <w:rFonts w:ascii="Times New Roman" w:eastAsia="Calibri" w:hAnsi="Times New Roman" w:cs="Times New Roman"/>
        </w:rPr>
        <w:t xml:space="preserve">utilised the following schematic diagram </w:t>
      </w:r>
      <w:r w:rsidR="007F5356" w:rsidRPr="0054285D">
        <w:rPr>
          <w:rFonts w:ascii="Times New Roman" w:eastAsia="Calibri" w:hAnsi="Times New Roman" w:cs="Times New Roman"/>
        </w:rPr>
        <w:t>for</w:t>
      </w:r>
      <w:r w:rsidR="00AE1415" w:rsidRPr="0054285D">
        <w:rPr>
          <w:rFonts w:ascii="Times New Roman" w:eastAsia="Calibri" w:hAnsi="Times New Roman" w:cs="Times New Roman"/>
        </w:rPr>
        <w:t xml:space="preserve"> the production of</w:t>
      </w:r>
      <w:r w:rsidR="007F5356" w:rsidRPr="0054285D">
        <w:rPr>
          <w:rFonts w:ascii="Times New Roman" w:eastAsia="Calibri" w:hAnsi="Times New Roman" w:cs="Times New Roman"/>
        </w:rPr>
        <w:t xml:space="preserve"> ferrosilicon</w:t>
      </w:r>
      <w:r w:rsidR="00AE1415" w:rsidRPr="0054285D">
        <w:rPr>
          <w:rFonts w:ascii="Times New Roman" w:eastAsia="Calibri" w:hAnsi="Times New Roman" w:cs="Times New Roman"/>
        </w:rPr>
        <w:t>.</w:t>
      </w:r>
    </w:p>
    <w:p w:rsidR="00162411" w:rsidRPr="0054285D" w:rsidRDefault="00162411" w:rsidP="007F5356">
      <w:pPr>
        <w:spacing w:after="0" w:line="360" w:lineRule="auto"/>
        <w:ind w:firstLine="720"/>
        <w:jc w:val="both"/>
        <w:rPr>
          <w:rFonts w:ascii="Times New Roman" w:eastAsia="Calibri" w:hAnsi="Times New Roman" w:cs="Times New Roman"/>
        </w:rPr>
      </w:pPr>
    </w:p>
    <w:p w:rsidR="00AE7A4C" w:rsidRPr="0054285D" w:rsidRDefault="00BE325C" w:rsidP="00AE7A4C">
      <w:pPr>
        <w:spacing w:line="360" w:lineRule="auto"/>
        <w:jc w:val="center"/>
        <w:rPr>
          <w:rFonts w:ascii="Times New Roman" w:eastAsia="Calibri" w:hAnsi="Times New Roman" w:cs="Times New Roman"/>
        </w:rPr>
      </w:pPr>
      <w:r w:rsidRPr="0054285D">
        <w:rPr>
          <w:rFonts w:ascii="Times New Roman" w:eastAsia="Calibri" w:hAnsi="Times New Roman" w:cs="Times New Roman"/>
          <w:noProof/>
        </w:rPr>
        <mc:AlternateContent>
          <mc:Choice Requires="wpg">
            <w:drawing>
              <wp:anchor distT="0" distB="0" distL="114300" distR="114300" simplePos="0" relativeHeight="251677696" behindDoc="1" locked="0" layoutInCell="1" allowOverlap="1">
                <wp:simplePos x="0" y="0"/>
                <wp:positionH relativeFrom="column">
                  <wp:posOffset>0</wp:posOffset>
                </wp:positionH>
                <wp:positionV relativeFrom="paragraph">
                  <wp:posOffset>-2540</wp:posOffset>
                </wp:positionV>
                <wp:extent cx="4676775" cy="1772920"/>
                <wp:effectExtent l="0" t="0" r="28575" b="17780"/>
                <wp:wrapTight wrapText="bothSides">
                  <wp:wrapPolygon edited="0">
                    <wp:start x="0" y="0"/>
                    <wp:lineTo x="0" y="15086"/>
                    <wp:lineTo x="8710" y="18567"/>
                    <wp:lineTo x="8710" y="21585"/>
                    <wp:lineTo x="12582" y="21585"/>
                    <wp:lineTo x="12670" y="18567"/>
                    <wp:lineTo x="14605" y="14854"/>
                    <wp:lineTo x="14605" y="11140"/>
                    <wp:lineTo x="21644" y="8819"/>
                    <wp:lineTo x="21644" y="4874"/>
                    <wp:lineTo x="14605" y="3713"/>
                    <wp:lineTo x="14605" y="0"/>
                    <wp:lineTo x="0" y="0"/>
                  </wp:wrapPolygon>
                </wp:wrapTight>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6775" cy="1772920"/>
                          <a:chOff x="0" y="0"/>
                          <a:chExt cx="4676968" cy="1773184"/>
                        </a:xfrm>
                      </wpg:grpSpPr>
                      <wps:wsp>
                        <wps:cNvPr id="62" name="Text Box 62"/>
                        <wps:cNvSpPr txBox="1"/>
                        <wps:spPr>
                          <a:xfrm>
                            <a:off x="1923803" y="1514104"/>
                            <a:ext cx="762635" cy="25908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124C" w:rsidRDefault="008F124C" w:rsidP="00F7596E">
                              <w:pPr>
                                <w:jc w:val="center"/>
                              </w:pPr>
                              <w:r>
                                <w:t>Electricity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0" name="Group 80"/>
                        <wpg:cNvGrpSpPr/>
                        <wpg:grpSpPr>
                          <a:xfrm>
                            <a:off x="0" y="0"/>
                            <a:ext cx="4676968" cy="1517988"/>
                            <a:chOff x="0" y="0"/>
                            <a:chExt cx="4676968" cy="1517988"/>
                          </a:xfrm>
                        </wpg:grpSpPr>
                        <wps:wsp>
                          <wps:cNvPr id="81" name="Straight Arrow Connector 81"/>
                          <wps:cNvCnPr/>
                          <wps:spPr>
                            <a:xfrm flipH="1" flipV="1">
                              <a:off x="2303813" y="1211283"/>
                              <a:ext cx="3976" cy="30670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83" name="Group 83"/>
                          <wpg:cNvGrpSpPr/>
                          <wpg:grpSpPr>
                            <a:xfrm>
                              <a:off x="0" y="0"/>
                              <a:ext cx="4676968" cy="1215271"/>
                              <a:chOff x="0" y="0"/>
                              <a:chExt cx="4676968" cy="1215271"/>
                            </a:xfrm>
                          </wpg:grpSpPr>
                          <wps:wsp>
                            <wps:cNvPr id="88" name="Text Box 88"/>
                            <wps:cNvSpPr txBox="1"/>
                            <wps:spPr>
                              <a:xfrm>
                                <a:off x="3746665" y="415637"/>
                                <a:ext cx="930303" cy="285115"/>
                              </a:xfrm>
                              <a:prstGeom prst="rect">
                                <a:avLst/>
                              </a:prstGeom>
                              <a:solidFill>
                                <a:srgbClr val="00B0F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124C" w:rsidRDefault="008F124C" w:rsidP="00F7596E">
                                  <w:pPr>
                                    <w:jc w:val="center"/>
                                  </w:pPr>
                                  <w:r>
                                    <w:t>Ferrosilicon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9" name="Group 89"/>
                            <wpg:cNvGrpSpPr/>
                            <wpg:grpSpPr>
                              <a:xfrm>
                                <a:off x="0" y="0"/>
                                <a:ext cx="3749738" cy="1215271"/>
                                <a:chOff x="0" y="0"/>
                                <a:chExt cx="3749738" cy="1215271"/>
                              </a:xfrm>
                            </wpg:grpSpPr>
                            <wpg:grpSp>
                              <wpg:cNvPr id="90" name="Group 90"/>
                              <wpg:cNvGrpSpPr/>
                              <wpg:grpSpPr>
                                <a:xfrm>
                                  <a:off x="0" y="0"/>
                                  <a:ext cx="3129857" cy="1215271"/>
                                  <a:chOff x="0" y="0"/>
                                  <a:chExt cx="3129857" cy="1215271"/>
                                </a:xfrm>
                              </wpg:grpSpPr>
                              <wps:wsp>
                                <wps:cNvPr id="91" name="Rectangle 91"/>
                                <wps:cNvSpPr/>
                                <wps:spPr>
                                  <a:xfrm>
                                    <a:off x="1478478" y="0"/>
                                    <a:ext cx="1651379" cy="121442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F124C" w:rsidRDefault="008F124C" w:rsidP="00F7596E">
                                      <w:pPr>
                                        <w:jc w:val="center"/>
                                      </w:pPr>
                                      <w:r>
                                        <w:t>Electric Arc Furnace</w:t>
                                      </w:r>
                                    </w:p>
                                    <w:p w:rsidR="008F124C" w:rsidRDefault="008F124C" w:rsidP="00F7596E">
                                      <w:pPr>
                                        <w:jc w:val="center"/>
                                      </w:pPr>
                                      <w:r>
                                        <w:t>(EAF)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2" name="Group 92"/>
                                <wpg:cNvGrpSpPr/>
                                <wpg:grpSpPr>
                                  <a:xfrm>
                                    <a:off x="0" y="0"/>
                                    <a:ext cx="1475613" cy="1215271"/>
                                    <a:chOff x="0" y="0"/>
                                    <a:chExt cx="1475613" cy="1215271"/>
                                  </a:xfrm>
                                </wpg:grpSpPr>
                                <wpg:grpSp>
                                  <wpg:cNvPr id="93" name="Group 93"/>
                                  <wpg:cNvGrpSpPr/>
                                  <wpg:grpSpPr>
                                    <a:xfrm>
                                      <a:off x="0" y="0"/>
                                      <a:ext cx="857150" cy="1215271"/>
                                      <a:chOff x="0" y="0"/>
                                      <a:chExt cx="857150" cy="1215271"/>
                                    </a:xfrm>
                                  </wpg:grpSpPr>
                                  <wpg:grpSp>
                                    <wpg:cNvPr id="94" name="Group 94"/>
                                    <wpg:cNvGrpSpPr/>
                                    <wpg:grpSpPr>
                                      <a:xfrm>
                                        <a:off x="0" y="0"/>
                                        <a:ext cx="845275" cy="896817"/>
                                        <a:chOff x="0" y="0"/>
                                        <a:chExt cx="845275" cy="896817"/>
                                      </a:xfrm>
                                    </wpg:grpSpPr>
                                    <wps:wsp>
                                      <wps:cNvPr id="95" name="Text Box 95"/>
                                      <wps:cNvSpPr txBox="1"/>
                                      <wps:spPr>
                                        <a:xfrm>
                                          <a:off x="0" y="0"/>
                                          <a:ext cx="839337" cy="259307"/>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124C" w:rsidRDefault="008F124C" w:rsidP="00F7596E">
                                            <w:pPr>
                                              <w:jc w:val="center"/>
                                            </w:pPr>
                                            <w:r>
                                              <w:t>Quartz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4" name="Text Box 554"/>
                                      <wps:cNvSpPr txBox="1"/>
                                      <wps:spPr>
                                        <a:xfrm>
                                          <a:off x="0" y="302821"/>
                                          <a:ext cx="839337" cy="259307"/>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124C" w:rsidRDefault="008F124C" w:rsidP="00F7596E">
                                            <w:pPr>
                                              <w:jc w:val="center"/>
                                            </w:pPr>
                                            <w:r>
                                              <w:t>Coal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5" name="Text Box 555"/>
                                      <wps:cNvSpPr txBox="1"/>
                                      <wps:spPr>
                                        <a:xfrm>
                                          <a:off x="5938" y="611579"/>
                                          <a:ext cx="839337" cy="285238"/>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124C" w:rsidRDefault="008F124C" w:rsidP="00F7596E">
                                            <w:pPr>
                                              <w:jc w:val="center"/>
                                            </w:pPr>
                                            <w:r>
                                              <w:t>Scrap Iron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65" name="Text Box 565"/>
                                    <wps:cNvSpPr txBox="1"/>
                                    <wps:spPr>
                                      <a:xfrm>
                                        <a:off x="17813" y="955964"/>
                                        <a:ext cx="839337" cy="259307"/>
                                      </a:xfrm>
                                      <a:prstGeom prst="rect">
                                        <a:avLst/>
                                      </a:prstGeom>
                                      <a:solidFill>
                                        <a:srgbClr val="FFC0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124C" w:rsidRDefault="008F124C" w:rsidP="00F7596E">
                                          <w:pPr>
                                            <w:jc w:val="center"/>
                                          </w:pPr>
                                          <w:r>
                                            <w:t>Aluminium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413" name="Elbow Connector 17413"/>
                                  <wps:cNvCnPr/>
                                  <wps:spPr>
                                    <a:xfrm>
                                      <a:off x="843148" y="112816"/>
                                      <a:ext cx="614652" cy="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17427" name="Elbow Connector 17427"/>
                                  <wps:cNvCnPr/>
                                  <wps:spPr>
                                    <a:xfrm>
                                      <a:off x="837211" y="415637"/>
                                      <a:ext cx="614652" cy="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640" name="Elbow Connector 640"/>
                                  <wps:cNvCnPr/>
                                  <wps:spPr>
                                    <a:xfrm>
                                      <a:off x="860961" y="1074717"/>
                                      <a:ext cx="614652" cy="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654" name="Elbow Connector 654"/>
                                  <wps:cNvCnPr/>
                                  <wps:spPr>
                                    <a:xfrm>
                                      <a:off x="849086" y="736270"/>
                                      <a:ext cx="614652" cy="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g:grpSp>
                            </wpg:grpSp>
                            <wps:wsp>
                              <wps:cNvPr id="655" name="Elbow Connector 655"/>
                              <wps:cNvCnPr/>
                              <wps:spPr>
                                <a:xfrm>
                                  <a:off x="3135086" y="564078"/>
                                  <a:ext cx="614652" cy="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wgp>
                  </a:graphicData>
                </a:graphic>
                <wp14:sizeRelH relativeFrom="page">
                  <wp14:pctWidth>0</wp14:pctWidth>
                </wp14:sizeRelH>
                <wp14:sizeRelV relativeFrom="page">
                  <wp14:pctHeight>0</wp14:pctHeight>
                </wp14:sizeRelV>
              </wp:anchor>
            </w:drawing>
          </mc:Choice>
          <mc:Fallback>
            <w:pict>
              <v:group id="Group 61" o:spid="_x0000_s1076" style="position:absolute;left:0;text-align:left;margin-left:0;margin-top:-.2pt;width:368.25pt;height:139.6pt;z-index:-251638784;mso-position-horizontal-relative:text;mso-position-vertical-relative:text" coordsize="46769,17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">
                <v:shape id="Text Box 62" o:spid="_x0000_s1077" type="#_x0000_t202" style="position:absolute;left:19238;top:15141;width:7626;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kKv8QA&#10;AADbAAAADwAAAGRycy9kb3ducmV2LnhtbESPQUsDMRSE74L/ITyhN5ttkVXWZosKtRW8tHrw+Ni8&#10;3SzdvKxJ7Kb/3ghCj8PMfMOs1skO4kQ+9I4VLOYFCOLG6Z47BZ8fm9sHECEiaxwck4IzBVjX11cr&#10;rLSbeE+nQ+xEhnCoUIGJcaykDI0hi2HuRuLstc5bjFn6TmqPU4bbQS6LopQWe84LBkd6MdQcDz9W&#10;wdvmmL5e2+C35d3z4p6/zfS+T0rNbtLTI4hIKV7C/+2dVlAu4e9L/gGy/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JCr/EAAAA2wAAAA8AAAAAAAAAAAAAAAAAmAIAAGRycy9k&#10;b3ducmV2LnhtbFBLBQYAAAAABAAEAPUAAACJAwAAAAA=&#10;" fillcolor="yellow" strokeweight=".5pt">
                  <v:textbox>
                    <w:txbxContent>
                      <w:p w:rsidR="008F124C" w:rsidRDefault="008F124C" w:rsidP="00F7596E">
                        <w:pPr>
                          <w:jc w:val="center"/>
                        </w:pPr>
                        <w:r>
                          <w:t>Electricity</w:t>
                        </w:r>
                      </w:p>
                    </w:txbxContent>
                  </v:textbox>
                </v:shape>
                <v:group id="Group 80" o:spid="_x0000_s1078" style="position:absolute;width:46769;height:15179" coordsize="46769,15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shape id="Straight Arrow Connector 81" o:spid="_x0000_s1079" type="#_x0000_t32" style="position:absolute;left:23038;top:12112;width:39;height:30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vkNsMAAADbAAAADwAAAGRycy9kb3ducmV2LnhtbESP3YrCMBSE74V9h3AWvNNU2ZVSjbIK&#10;S70Rfx/g0Bzbss1JSVKtb78RBC+HmfmGWax604gbOV9bVjAZJyCIC6trLhVczr+jFIQPyBoby6Tg&#10;QR5Wy4/BAjNt73yk2ymUIkLYZ6igCqHNpPRFRQb92LbE0btaZzBE6UqpHd4j3DRymiQzabDmuFBh&#10;S5uKir9TZxR0+ezSrr/deX/Iv3b7Xb5JO/dQavjZ/8xBBOrDO/xqb7WCdALPL/EH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L5DbDAAAA2wAAAA8AAAAAAAAAAAAA&#10;AAAAoQIAAGRycy9kb3ducmV2LnhtbFBLBQYAAAAABAAEAPkAAACRAwAAAAA=&#10;" strokecolor="#5b9bd5 [3204]" strokeweight=".5pt">
                    <v:stroke endarrow="block" joinstyle="miter"/>
                  </v:shape>
                  <v:group id="Group 83" o:spid="_x0000_s1080" style="position:absolute;width:46769;height:12152" coordsize="46769,12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shape id="Text Box 88" o:spid="_x0000_s1081" type="#_x0000_t202" style="position:absolute;left:37466;top:4156;width:9303;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pHxL8A&#10;AADbAAAADwAAAGRycy9kb3ducmV2LnhtbERPTYvCMBC9C/6HMII3TfUgUk2LCMoiHtyuF29DM7bF&#10;ZlKbrKn/3hwW9vh439t8MK14Ue8aywoW8wQEcWl1w5WC689htgbhPLLG1jIpeJODPBuPtphqG/ib&#10;XoWvRAxhl6KC2vsuldKVNRl0c9sRR+5ue4M+wr6SuscQw00rl0mykgYbjg01drSvqXwUv0bB5Xi+&#10;yXcb7jY8zcEOy3DiIig1nQy7DQhPg/8X/7m/tIJ1HBu/xB8g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ikfEvwAAANsAAAAPAAAAAAAAAAAAAAAAAJgCAABkcnMvZG93bnJl&#10;di54bWxQSwUGAAAAAAQABAD1AAAAhAMAAAAA&#10;" fillcolor="#00b0f0" strokeweight=".5pt">
                      <v:textbox>
                        <w:txbxContent>
                          <w:p w:rsidR="008F124C" w:rsidRDefault="008F124C" w:rsidP="00F7596E">
                            <w:pPr>
                              <w:jc w:val="center"/>
                            </w:pPr>
                            <w:r>
                              <w:t>Ferrosilicon</w:t>
                            </w:r>
                          </w:p>
                        </w:txbxContent>
                      </v:textbox>
                    </v:shape>
                    <v:group id="Group 89" o:spid="_x0000_s1082" style="position:absolute;width:37497;height:12152" coordsize="37497,12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group id="Group 90" o:spid="_x0000_s1083" style="position:absolute;width:31298;height:12152" coordsize="31298,12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rect id="Rectangle 91" o:spid="_x0000_s1084" style="position:absolute;left:14784;width:16514;height:12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VmG8EA&#10;AADbAAAADwAAAGRycy9kb3ducmV2LnhtbESPzYrCMBSF9wO+Q7iCuzGtC0c7pjIIgggu/HmAS3On&#10;6bS5KU207dsbQZjl4fx8nM12sI14UOcrxwrSeQKCuHC64lLB7br/XIHwAVlj45gUjORhm08+Nphp&#10;1/OZHpdQijjCPkMFJoQ2k9IXhiz6uWuJo/frOoshyq6UusM+jttGLpJkKS1WHAkGW9oZKurL3UYI&#10;0nlMv/pdfTLDsaJm/KP7qNRsOvx8gwg0hP/wu33QCtYpvL7EHy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1ZhvBAAAA2wAAAA8AAAAAAAAAAAAAAAAAmAIAAGRycy9kb3du&#10;cmV2LnhtbFBLBQYAAAAABAAEAPUAAACGAwAAAAA=&#10;" fillcolor="#5b9bd5 [3204]" strokecolor="#1f4d78 [1604]" strokeweight="1pt">
                          <v:textbox>
                            <w:txbxContent>
                              <w:p w:rsidR="008F124C" w:rsidRDefault="008F124C" w:rsidP="00F7596E">
                                <w:pPr>
                                  <w:jc w:val="center"/>
                                </w:pPr>
                                <w:r>
                                  <w:t>Electric Arc Furnace</w:t>
                                </w:r>
                              </w:p>
                              <w:p w:rsidR="008F124C" w:rsidRDefault="008F124C" w:rsidP="00F7596E">
                                <w:pPr>
                                  <w:jc w:val="center"/>
                                </w:pPr>
                                <w:r>
                                  <w:t>(EAF)</w:t>
                                </w:r>
                              </w:p>
                            </w:txbxContent>
                          </v:textbox>
                        </v:rect>
                        <v:group id="Group 92" o:spid="_x0000_s1085" style="position:absolute;width:14756;height:12152" coordsize="14756,12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group id="Group 93" o:spid="_x0000_s1086" style="position:absolute;width:8571;height:12152" coordsize="8571,12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group id="Group 94" o:spid="_x0000_s1087" style="position:absolute;width:8452;height:8968" coordsize="8452,89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 id="Text Box 95" o:spid="_x0000_s1088" type="#_x0000_t202" style="position:absolute;width:8393;height:2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Gud8UA&#10;AADbAAAADwAAAGRycy9kb3ducmV2LnhtbESPT2vCQBTE74V+h+UVvNWNfyptzCoiKgV7aSy0x0f2&#10;mYRk38bsquu37wqFHoeZ+Q2TLYNpxYV6V1tWMBomIIgLq2suFXwdts+vIJxH1thaJgU3crBcPD5k&#10;mGp75U+65L4UEcIuRQWV910qpSsqMuiGtiOO3tH2Bn2UfSl1j9cIN60cJ8lMGqw5LlTY0bqiosnP&#10;RsHP6PuwO/mP87QJrtxtwmyPE1Rq8BRWcxCegv8P/7XftYK3F7h/iT9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a53xQAAANsAAAAPAAAAAAAAAAAAAAAAAJgCAABkcnMv&#10;ZG93bnJldi54bWxQSwUGAAAAAAQABAD1AAAAigMAAAAA&#10;" fillcolor="#ffc000" strokeweight=".5pt">
                                <v:textbox>
                                  <w:txbxContent>
                                    <w:p w:rsidR="008F124C" w:rsidRDefault="008F124C" w:rsidP="00F7596E">
                                      <w:pPr>
                                        <w:jc w:val="center"/>
                                      </w:pPr>
                                      <w:r>
                                        <w:t>Quartz</w:t>
                                      </w:r>
                                    </w:p>
                                  </w:txbxContent>
                                </v:textbox>
                              </v:shape>
                              <v:shape id="Text Box 554" o:spid="_x0000_s1089" type="#_x0000_t202" style="position:absolute;top:3028;width:8393;height:2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Jmh8QA&#10;AADcAAAADwAAAGRycy9kb3ducmV2LnhtbESPS4sCMRCE74L/IbSwN824PpDRKLKoLLgXH6DHZtLO&#10;DE464yRq9t9vhAWPRVV9Rc0WwVTiQY0rLSvo9xIQxJnVJecKjod1dwLCeWSNlWVS8EsOFvN2a4ap&#10;tk/e0WPvcxEh7FJUUHhfp1K6rCCDrmdr4uhdbGPQR9nkUjf4jHBTyc8kGUuDJceFAmv6Kii77u9G&#10;wbl/Omxu/uc+vAaXb1ZhvMUBKvXRCcspCE/Bv8P/7W+tYDQawutMP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CZofEAAAA3AAAAA8AAAAAAAAAAAAAAAAAmAIAAGRycy9k&#10;b3ducmV2LnhtbFBLBQYAAAAABAAEAPUAAACJAwAAAAA=&#10;" fillcolor="#ffc000" strokeweight=".5pt">
                                <v:textbox>
                                  <w:txbxContent>
                                    <w:p w:rsidR="008F124C" w:rsidRDefault="008F124C" w:rsidP="00F7596E">
                                      <w:pPr>
                                        <w:jc w:val="center"/>
                                      </w:pPr>
                                      <w:r>
                                        <w:t>Coal</w:t>
                                      </w:r>
                                    </w:p>
                                  </w:txbxContent>
                                </v:textbox>
                              </v:shape>
                              <v:shape id="Text Box 555" o:spid="_x0000_s1090" type="#_x0000_t202" style="position:absolute;left:59;top:6115;width:8393;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7DHMUA&#10;AADcAAAADwAAAGRycy9kb3ducmV2LnhtbESPT2vCQBTE70K/w/IK3nQTbUSiq5TSSqG9+Af0+Mg+&#10;k2D2bcxudPvtu4WCx2FmfsMs18E04kadqy0rSMcJCOLC6ppLBYf9x2gOwnlkjY1lUvBDDtarp8ES&#10;c23vvKXbzpciQtjlqKDyvs2ldEVFBt3YtsTRO9vOoI+yK6Xu8B7hppGTJJlJgzXHhQpbequouOx6&#10;o+CUHvebq//uXy7BlZv3MPvCKSo1fA6vCxCegn+E/9ufWkGWZfB3Jh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sMcxQAAANwAAAAPAAAAAAAAAAAAAAAAAJgCAABkcnMv&#10;ZG93bnJldi54bWxQSwUGAAAAAAQABAD1AAAAigMAAAAA&#10;" fillcolor="#ffc000" strokeweight=".5pt">
                                <v:textbox>
                                  <w:txbxContent>
                                    <w:p w:rsidR="008F124C" w:rsidRDefault="008F124C" w:rsidP="00F7596E">
                                      <w:pPr>
                                        <w:jc w:val="center"/>
                                      </w:pPr>
                                      <w:r>
                                        <w:t>Scrap Iron</w:t>
                                      </w:r>
                                    </w:p>
                                  </w:txbxContent>
                                </v:textbox>
                              </v:shape>
                            </v:group>
                            <v:shape id="Text Box 565" o:spid="_x0000_s1091" type="#_x0000_t202" style="position:absolute;left:178;top:9559;width:8393;height:2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IJocUA&#10;AADcAAAADwAAAGRycy9kb3ducmV2LnhtbESPQWvCQBSE74X+h+UVequb2BokukoprRTai1HQ4yP7&#10;TILZtzG70fXfu4WCx2FmvmHmy2BacabeNZYVpKMEBHFpdcOVgu3m62UKwnlkja1lUnAlB8vF48Mc&#10;c20vvKZz4SsRIexyVFB73+VSurImg25kO+LoHWxv0EfZV1L3eIlw08pxkmTSYMNxocaOPmoqj8Vg&#10;FOzT3WZ18r/D2zG4avUZsh98RaWen8L7DISn4O/h//a3VjDJJvB3Jh4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gmhxQAAANwAAAAPAAAAAAAAAAAAAAAAAJgCAABkcnMv&#10;ZG93bnJldi54bWxQSwUGAAAAAAQABAD1AAAAigMAAAAA&#10;" fillcolor="#ffc000" strokeweight=".5pt">
                              <v:textbox>
                                <w:txbxContent>
                                  <w:p w:rsidR="008F124C" w:rsidRDefault="008F124C" w:rsidP="00F7596E">
                                    <w:pPr>
                                      <w:jc w:val="center"/>
                                    </w:pPr>
                                    <w:r>
                                      <w:t>Aluminium</w:t>
                                    </w:r>
                                  </w:p>
                                </w:txbxContent>
                              </v:textbox>
                            </v:shape>
                          </v:group>
                          <v:shape id="Elbow Connector 17413" o:spid="_x0000_s1092" type="#_x0000_t34" style="position:absolute;left:8431;top:1128;width:6147;height: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cSHsQAAADeAAAADwAAAGRycy9kb3ducmV2LnhtbERPTWvCQBC9C/0Pywi96SatVomuIoVS&#10;QTzE1PuQnWaj2dmQXTX9964g9DaP9znLdW8bcaXO144VpOMEBHHpdM2Vgp/iazQH4QOyxsYxKfgj&#10;D+vVy2CJmXY3zul6CJWIIewzVGBCaDMpfWnIoh+7ljhyv66zGCLsKqk7vMVw28i3JPmQFmuODQZb&#10;+jRUng8Xq2B2msp2Nzkmxfe+2OTz/njZmVSp12G/WYAI1Id/8dO91XH+bJK+w+OdeIN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FxIexAAAAN4AAAAPAAAAAAAAAAAA&#10;AAAAAKECAABkcnMvZG93bnJldi54bWxQSwUGAAAAAAQABAD5AAAAkgMAAAAA&#10;" strokecolor="black [3200]" strokeweight=".5pt">
                            <v:stroke endarrow="block"/>
                          </v:shape>
                          <v:shape id="Elbow Connector 17427" o:spid="_x0000_s1093" type="#_x0000_t34" style="position:absolute;left:8372;top:4156;width:6146;height: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DeoMMAAADeAAAADwAAAGRycy9kb3ducmV2LnhtbERPTYvCMBC9L/gfwgje1lTRrXSNIoIo&#10;yB60631oxqbaTEoTtf57IyzsbR7vc+bLztbiTq2vHCsYDRMQxIXTFZcKfvPN5wyED8gaa8ek4Eke&#10;lovexxwz7R58oPsxlCKGsM9QgQmhyaT0hSGLfuga4sidXWsxRNiWUrf4iOG2luMk+ZIWK44NBhta&#10;Gyqux5tVkF6mstlPTkm+/clXh1l3uu3NSKlBv1t9gwjUhX/xn3un4/x0Mk7h/U68QS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A3qDDAAAA3gAAAA8AAAAAAAAAAAAA&#10;AAAAoQIAAGRycy9kb3ducmV2LnhtbFBLBQYAAAAABAAEAPkAAACRAwAAAAA=&#10;" strokecolor="black [3200]" strokeweight=".5pt">
                            <v:stroke endarrow="block"/>
                          </v:shape>
                          <v:shape id="Elbow Connector 640" o:spid="_x0000_s1094" type="#_x0000_t34" style="position:absolute;left:8609;top:10747;width:6147;height: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zTJMEAAADcAAAADwAAAGRycy9kb3ducmV2LnhtbERPy4rCMBTdC/MP4Q6407SDLzqNIgPD&#10;COJCq/tLc6epNjeliVr/3iwEl4fzzle9bcSNOl87VpCOExDEpdM1VwqOxe9oAcIHZI2NY1LwIA+r&#10;5ccgx0y7O+/pdgiViCHsM1RgQmgzKX1pyKIfu5Y4cv+usxgi7CqpO7zHcNvIrySZSYs1xwaDLf0Y&#10;Ki+Hq1UwP09lu52ckuJvV6z3i/503ZpUqeFnv/4GEagPb/HLvdEKZpM4P56JR0Au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nNMkwQAAANwAAAAPAAAAAAAAAAAAAAAA&#10;AKECAABkcnMvZG93bnJldi54bWxQSwUGAAAAAAQABAD5AAAAjwMAAAAA&#10;" strokecolor="black [3200]" strokeweight=".5pt">
                            <v:stroke endarrow="block"/>
                          </v:shape>
                          <v:shape id="Elbow Connector 654" o:spid="_x0000_s1095" type="#_x0000_t34" style="position:absolute;left:8490;top:7362;width:6147;height: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5D+sQAAADcAAAADwAAAGRycy9kb3ducmV2LnhtbESPT4vCMBTE78J+h/AWvGnq4j+qUWRh&#10;WUE82Or90TybavNSmqj12xthYY/DzPyGWa47W4s7tb5yrGA0TEAQF05XXCo45j+DOQgfkDXWjknB&#10;kzysVx+9JabaPfhA9yyUIkLYp6jAhNCkUvrCkEU/dA1x9M6utRiibEupW3xEuK3lV5JMpcWK44LB&#10;hr4NFdfsZhXMLhPZ7ManJP/d55vDvDvddmakVP+z2yxABOrCf/ivvdUKppMxvM/EIyB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fkP6xAAAANwAAAAPAAAAAAAAAAAA&#10;AAAAAKECAABkcnMvZG93bnJldi54bWxQSwUGAAAAAAQABAD5AAAAkgMAAAAA&#10;" strokecolor="black [3200]" strokeweight=".5pt">
                            <v:stroke endarrow="block"/>
                          </v:shape>
                        </v:group>
                      </v:group>
                      <v:shape id="Elbow Connector 655" o:spid="_x0000_s1096" type="#_x0000_t34" style="position:absolute;left:31350;top:5640;width:6147;height: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LmYcMAAADcAAAADwAAAGRycy9kb3ducmV2LnhtbESPQYvCMBSE7wv7H8ITvK2pi1XpGkUW&#10;FgXxoF3vj+bZVJuX0kSt/94IgsdhZr5hZovO1uJKra8cKxgOEhDEhdMVlwr+87+vKQgfkDXWjknB&#10;nTws5p8fM8y0u/GOrvtQighhn6ECE0KTSekLQxb9wDXE0Tu61mKIsi2lbvEW4baW30kylhYrjgsG&#10;G/o1VJz3F6tgckplsxkdkny1zZe7aXe4bMxQqX6vW/6ACNSFd/jVXmsF4zSF55l4BOT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y5mHDAAAA3AAAAA8AAAAAAAAAAAAA&#10;AAAAoQIAAGRycy9kb3ducmV2LnhtbFBLBQYAAAAABAAEAPkAAACRAwAAAAA=&#10;" strokecolor="black [3200]" strokeweight=".5pt">
                        <v:stroke endarrow="block"/>
                      </v:shape>
                    </v:group>
                  </v:group>
                </v:group>
                <w10:wrap type="tight"/>
              </v:group>
            </w:pict>
          </mc:Fallback>
        </mc:AlternateContent>
      </w:r>
    </w:p>
    <w:p w:rsidR="00162411" w:rsidRPr="0054285D" w:rsidRDefault="00162411" w:rsidP="007D3D7D">
      <w:pPr>
        <w:rPr>
          <w:rFonts w:ascii="Times New Roman" w:hAnsi="Times New Roman" w:cs="Times New Roman"/>
        </w:rPr>
      </w:pPr>
    </w:p>
    <w:p w:rsidR="00162411" w:rsidRPr="0054285D" w:rsidRDefault="00162411" w:rsidP="007D3D7D">
      <w:pPr>
        <w:rPr>
          <w:rFonts w:ascii="Times New Roman" w:hAnsi="Times New Roman" w:cs="Times New Roman"/>
        </w:rPr>
      </w:pPr>
    </w:p>
    <w:p w:rsidR="00162411" w:rsidRPr="0054285D" w:rsidRDefault="00162411" w:rsidP="007D3D7D">
      <w:pPr>
        <w:rPr>
          <w:rFonts w:ascii="Times New Roman" w:hAnsi="Times New Roman" w:cs="Times New Roman"/>
        </w:rPr>
      </w:pPr>
    </w:p>
    <w:p w:rsidR="00162411" w:rsidRPr="0054285D" w:rsidRDefault="00162411" w:rsidP="007D3D7D">
      <w:pPr>
        <w:rPr>
          <w:rFonts w:ascii="Times New Roman" w:hAnsi="Times New Roman" w:cs="Times New Roman"/>
        </w:rPr>
      </w:pPr>
    </w:p>
    <w:p w:rsidR="00162411" w:rsidRPr="0054285D" w:rsidRDefault="00162411" w:rsidP="007D3D7D">
      <w:pPr>
        <w:rPr>
          <w:rFonts w:ascii="Times New Roman" w:hAnsi="Times New Roman" w:cs="Times New Roman"/>
        </w:rPr>
      </w:pPr>
    </w:p>
    <w:p w:rsidR="00162411" w:rsidRPr="0054285D" w:rsidRDefault="00162411" w:rsidP="007D3D7D">
      <w:pPr>
        <w:rPr>
          <w:rFonts w:ascii="Times New Roman" w:hAnsi="Times New Roman" w:cs="Times New Roman"/>
        </w:rPr>
      </w:pPr>
    </w:p>
    <w:p w:rsidR="00AE7A4C" w:rsidRPr="0054285D" w:rsidRDefault="007D3D7D" w:rsidP="007D3D7D">
      <w:pPr>
        <w:rPr>
          <w:rFonts w:ascii="Times New Roman" w:eastAsia="Calibri" w:hAnsi="Times New Roman" w:cs="Times New Roman"/>
        </w:rPr>
      </w:pPr>
      <w:bookmarkStart w:id="335" w:name="_Toc495848415"/>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82</w:t>
      </w:r>
      <w:r w:rsidR="009A0ED7" w:rsidRPr="0054285D">
        <w:rPr>
          <w:rFonts w:ascii="Times New Roman" w:hAnsi="Times New Roman" w:cs="Times New Roman"/>
        </w:rPr>
        <w:fldChar w:fldCharType="end"/>
      </w:r>
      <w:r w:rsidRPr="0054285D">
        <w:rPr>
          <w:rFonts w:ascii="Times New Roman" w:hAnsi="Times New Roman" w:cs="Times New Roman"/>
        </w:rPr>
        <w:t xml:space="preserve">. </w:t>
      </w:r>
      <w:r w:rsidR="00AE7A4C" w:rsidRPr="0054285D">
        <w:rPr>
          <w:rFonts w:ascii="Times New Roman" w:eastAsia="Calibri" w:hAnsi="Times New Roman" w:cs="Times New Roman"/>
        </w:rPr>
        <w:t>Schemati</w:t>
      </w:r>
      <w:r w:rsidR="007F5356" w:rsidRPr="0054285D">
        <w:rPr>
          <w:rFonts w:ascii="Times New Roman" w:eastAsia="Calibri" w:hAnsi="Times New Roman" w:cs="Times New Roman"/>
        </w:rPr>
        <w:t xml:space="preserve">c of ferrosilicon production </w:t>
      </w:r>
      <w:r w:rsidR="007F5356" w:rsidRPr="0054285D">
        <w:rPr>
          <w:rFonts w:ascii="Times New Roman" w:eastAsia="Calibri" w:hAnsi="Times New Roman" w:cs="Times New Roman"/>
          <w:noProof/>
        </w:rPr>
        <w:t>(Haque &amp; Norgate 2013)</w:t>
      </w:r>
      <w:r w:rsidR="007F5356" w:rsidRPr="0054285D">
        <w:rPr>
          <w:rFonts w:ascii="Times New Roman" w:eastAsia="Calibri" w:hAnsi="Times New Roman" w:cs="Times New Roman"/>
        </w:rPr>
        <w:t>.</w:t>
      </w:r>
      <w:bookmarkEnd w:id="335"/>
    </w:p>
    <w:p w:rsidR="00AE7A4C" w:rsidRPr="0054285D" w:rsidRDefault="00AE1415" w:rsidP="007D3D7D">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Utilising Haques data fe</w:t>
      </w:r>
      <w:r w:rsidR="00703519" w:rsidRPr="0054285D">
        <w:rPr>
          <w:rFonts w:ascii="Times New Roman" w:eastAsia="Calibri" w:hAnsi="Times New Roman" w:cs="Times New Roman"/>
        </w:rPr>
        <w:t xml:space="preserve">rrosilicon </w:t>
      </w:r>
      <w:r w:rsidRPr="0054285D">
        <w:rPr>
          <w:rFonts w:ascii="Times New Roman" w:eastAsia="Calibri" w:hAnsi="Times New Roman" w:cs="Times New Roman"/>
        </w:rPr>
        <w:t>was</w:t>
      </w:r>
      <w:r w:rsidR="00AE7A4C" w:rsidRPr="0054285D">
        <w:rPr>
          <w:rFonts w:ascii="Times New Roman" w:eastAsia="Calibri" w:hAnsi="Times New Roman" w:cs="Times New Roman"/>
        </w:rPr>
        <w:t xml:space="preserve"> produced in a three phase submerged arc furnace by the carbothermic reduction of quartz in the presence of iron oxid</w:t>
      </w:r>
      <w:r w:rsidRPr="0054285D">
        <w:rPr>
          <w:rFonts w:ascii="Times New Roman" w:eastAsia="Calibri" w:hAnsi="Times New Roman" w:cs="Times New Roman"/>
        </w:rPr>
        <w:t>e. The main end product was</w:t>
      </w:r>
      <w:r w:rsidR="00703519" w:rsidRPr="0054285D">
        <w:rPr>
          <w:rFonts w:ascii="Times New Roman" w:eastAsia="Calibri" w:hAnsi="Times New Roman" w:cs="Times New Roman"/>
        </w:rPr>
        <w:t xml:space="preserve"> ferrosilicon (75% Si). Unlike ferromanganese, ferrosilicon</w:t>
      </w:r>
      <w:r w:rsidRPr="0054285D">
        <w:rPr>
          <w:rFonts w:ascii="Times New Roman" w:eastAsia="Calibri" w:hAnsi="Times New Roman" w:cs="Times New Roman"/>
        </w:rPr>
        <w:t xml:space="preserve"> is</w:t>
      </w:r>
      <w:r w:rsidR="00AE7A4C" w:rsidRPr="0054285D">
        <w:rPr>
          <w:rFonts w:ascii="Times New Roman" w:eastAsia="Calibri" w:hAnsi="Times New Roman" w:cs="Times New Roman"/>
        </w:rPr>
        <w:t xml:space="preserve"> a complete reduction process and requires raw material inputs to be oxides of high puri</w:t>
      </w:r>
      <w:r w:rsidR="00703519" w:rsidRPr="0054285D">
        <w:rPr>
          <w:rFonts w:ascii="Times New Roman" w:eastAsia="Calibri" w:hAnsi="Times New Roman" w:cs="Times New Roman"/>
        </w:rPr>
        <w:t>ty. The data used to model ferrosilicon</w:t>
      </w:r>
      <w:r w:rsidRPr="0054285D">
        <w:rPr>
          <w:rFonts w:ascii="Times New Roman" w:eastAsia="Calibri" w:hAnsi="Times New Roman" w:cs="Times New Roman"/>
        </w:rPr>
        <w:t xml:space="preserve"> production</w:t>
      </w:r>
      <w:r w:rsidR="00AE7A4C" w:rsidRPr="0054285D">
        <w:rPr>
          <w:rFonts w:ascii="Times New Roman" w:eastAsia="Calibri" w:hAnsi="Times New Roman" w:cs="Times New Roman"/>
        </w:rPr>
        <w:t xml:space="preserve"> is shown </w:t>
      </w:r>
      <w:r w:rsidR="00703519" w:rsidRPr="0054285D">
        <w:rPr>
          <w:rFonts w:ascii="Times New Roman" w:eastAsia="Calibri" w:hAnsi="Times New Roman" w:cs="Times New Roman"/>
        </w:rPr>
        <w:t xml:space="preserve">by </w:t>
      </w:r>
      <w:r w:rsidR="00A6415F" w:rsidRPr="0054285D">
        <w:fldChar w:fldCharType="begin"/>
      </w:r>
      <w:r w:rsidR="00A6415F" w:rsidRPr="0054285D">
        <w:instrText xml:space="preserve"> REF _Ref473835581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57</w:t>
      </w:r>
      <w:r w:rsidR="00A6415F" w:rsidRPr="0054285D">
        <w:fldChar w:fldCharType="end"/>
      </w:r>
      <w:r w:rsidR="00AE7A4C" w:rsidRPr="0054285D">
        <w:rPr>
          <w:rFonts w:ascii="Times New Roman" w:eastAsia="Calibri" w:hAnsi="Times New Roman" w:cs="Times New Roman"/>
        </w:rPr>
        <w:t>.</w:t>
      </w:r>
    </w:p>
    <w:p w:rsidR="00AE7A4C" w:rsidRPr="0054285D" w:rsidRDefault="007D3D7D" w:rsidP="007D3D7D">
      <w:pPr>
        <w:rPr>
          <w:rFonts w:ascii="Times New Roman" w:eastAsia="Calibri" w:hAnsi="Times New Roman" w:cs="Times New Roman"/>
        </w:rPr>
      </w:pPr>
      <w:bookmarkStart w:id="336" w:name="_Ref473835581"/>
      <w:bookmarkStart w:id="337" w:name="_Toc474486564"/>
      <w:bookmarkStart w:id="338" w:name="_Toc495852735"/>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57</w:t>
      </w:r>
      <w:r w:rsidR="009A0ED7" w:rsidRPr="0054285D">
        <w:rPr>
          <w:rFonts w:ascii="Times New Roman" w:hAnsi="Times New Roman" w:cs="Times New Roman"/>
        </w:rPr>
        <w:fldChar w:fldCharType="end"/>
      </w:r>
      <w:bookmarkEnd w:id="336"/>
      <w:r w:rsidRPr="0054285D">
        <w:rPr>
          <w:rFonts w:ascii="Times New Roman" w:hAnsi="Times New Roman" w:cs="Times New Roman"/>
        </w:rPr>
        <w:t xml:space="preserve">. </w:t>
      </w:r>
      <w:r w:rsidR="00703519" w:rsidRPr="0054285D">
        <w:rPr>
          <w:rFonts w:ascii="Times New Roman" w:eastAsia="Calibri" w:hAnsi="Times New Roman" w:cs="Times New Roman"/>
        </w:rPr>
        <w:t>Inventory data for ferrosilicon</w:t>
      </w:r>
      <w:r w:rsidR="00AE7A4C" w:rsidRPr="0054285D">
        <w:rPr>
          <w:rFonts w:ascii="Times New Roman" w:eastAsia="Calibri" w:hAnsi="Times New Roman" w:cs="Times New Roman"/>
        </w:rPr>
        <w:t xml:space="preserve"> produc</w:t>
      </w:r>
      <w:r w:rsidR="00703519" w:rsidRPr="0054285D">
        <w:rPr>
          <w:rFonts w:ascii="Times New Roman" w:eastAsia="Calibri" w:hAnsi="Times New Roman" w:cs="Times New Roman"/>
        </w:rPr>
        <w:t xml:space="preserve">tion from </w:t>
      </w:r>
      <w:r w:rsidR="00703519" w:rsidRPr="0054285D">
        <w:rPr>
          <w:rFonts w:ascii="Times New Roman" w:eastAsia="Calibri" w:hAnsi="Times New Roman" w:cs="Times New Roman"/>
          <w:noProof/>
        </w:rPr>
        <w:t>(Haque &amp; Norgate 2013)</w:t>
      </w:r>
      <w:r w:rsidR="00AE7A4C" w:rsidRPr="0054285D">
        <w:rPr>
          <w:rFonts w:ascii="Times New Roman" w:eastAsia="Calibri" w:hAnsi="Times New Roman" w:cs="Times New Roman"/>
        </w:rPr>
        <w:t>.</w:t>
      </w:r>
      <w:bookmarkEnd w:id="337"/>
      <w:bookmarkEnd w:id="338"/>
    </w:p>
    <w:tbl>
      <w:tblPr>
        <w:tblW w:w="7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2220"/>
        <w:gridCol w:w="1078"/>
        <w:gridCol w:w="1617"/>
      </w:tblGrid>
      <w:tr w:rsidR="007D3D7D" w:rsidRPr="0054285D" w:rsidTr="00D2436E">
        <w:trPr>
          <w:trHeight w:val="300"/>
          <w:jc w:val="center"/>
        </w:trPr>
        <w:tc>
          <w:tcPr>
            <w:tcW w:w="274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Stage</w:t>
            </w:r>
          </w:p>
        </w:tc>
        <w:tc>
          <w:tcPr>
            <w:tcW w:w="222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Input </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Inventory</w:t>
            </w:r>
          </w:p>
        </w:tc>
        <w:tc>
          <w:tcPr>
            <w:tcW w:w="1617"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Units</w:t>
            </w:r>
          </w:p>
        </w:tc>
      </w:tr>
      <w:tr w:rsidR="007D3D7D" w:rsidRPr="0054285D" w:rsidTr="00D2436E">
        <w:trPr>
          <w:trHeight w:val="300"/>
          <w:jc w:val="center"/>
        </w:trPr>
        <w:tc>
          <w:tcPr>
            <w:tcW w:w="274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Pelletising</w:t>
            </w:r>
          </w:p>
        </w:tc>
        <w:tc>
          <w:tcPr>
            <w:tcW w:w="222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Iron Ore</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1040.00</w:t>
            </w:r>
          </w:p>
        </w:tc>
        <w:tc>
          <w:tcPr>
            <w:tcW w:w="1617"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kg/t pellets</w:t>
            </w:r>
          </w:p>
        </w:tc>
      </w:tr>
      <w:tr w:rsidR="007D3D7D" w:rsidRPr="0054285D" w:rsidTr="00D2436E">
        <w:trPr>
          <w:trHeight w:val="300"/>
          <w:jc w:val="center"/>
        </w:trPr>
        <w:tc>
          <w:tcPr>
            <w:tcW w:w="274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Electricity</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1.50</w:t>
            </w:r>
          </w:p>
        </w:tc>
        <w:tc>
          <w:tcPr>
            <w:tcW w:w="1617"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kWh / t</w:t>
            </w:r>
          </w:p>
        </w:tc>
      </w:tr>
      <w:tr w:rsidR="007D3D7D" w:rsidRPr="0054285D" w:rsidTr="00D2436E">
        <w:trPr>
          <w:trHeight w:val="300"/>
          <w:jc w:val="center"/>
        </w:trPr>
        <w:tc>
          <w:tcPr>
            <w:tcW w:w="274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Water</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290.00</w:t>
            </w:r>
          </w:p>
        </w:tc>
        <w:tc>
          <w:tcPr>
            <w:tcW w:w="1617"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t ore</w:t>
            </w:r>
          </w:p>
        </w:tc>
      </w:tr>
      <w:tr w:rsidR="007D3D7D" w:rsidRPr="0054285D" w:rsidTr="00D2436E">
        <w:trPr>
          <w:trHeight w:val="300"/>
          <w:jc w:val="center"/>
        </w:trPr>
        <w:tc>
          <w:tcPr>
            <w:tcW w:w="274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Limestone</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18.00</w:t>
            </w:r>
          </w:p>
        </w:tc>
        <w:tc>
          <w:tcPr>
            <w:tcW w:w="1617"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t ore</w:t>
            </w:r>
          </w:p>
        </w:tc>
      </w:tr>
      <w:tr w:rsidR="007D3D7D" w:rsidRPr="0054285D" w:rsidTr="00D2436E">
        <w:trPr>
          <w:trHeight w:val="300"/>
          <w:jc w:val="center"/>
        </w:trPr>
        <w:tc>
          <w:tcPr>
            <w:tcW w:w="274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Dolomite</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80.00</w:t>
            </w:r>
          </w:p>
        </w:tc>
        <w:tc>
          <w:tcPr>
            <w:tcW w:w="1617"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t ore</w:t>
            </w:r>
          </w:p>
        </w:tc>
      </w:tr>
      <w:tr w:rsidR="007D3D7D" w:rsidRPr="0054285D" w:rsidTr="00D2436E">
        <w:trPr>
          <w:trHeight w:val="300"/>
          <w:jc w:val="center"/>
        </w:trPr>
        <w:tc>
          <w:tcPr>
            <w:tcW w:w="274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Coke Breeze</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8.00</w:t>
            </w:r>
          </w:p>
        </w:tc>
        <w:tc>
          <w:tcPr>
            <w:tcW w:w="1617"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t ore</w:t>
            </w:r>
          </w:p>
        </w:tc>
      </w:tr>
      <w:tr w:rsidR="007D3D7D" w:rsidRPr="0054285D" w:rsidTr="00D2436E">
        <w:trPr>
          <w:trHeight w:val="300"/>
          <w:jc w:val="center"/>
        </w:trPr>
        <w:tc>
          <w:tcPr>
            <w:tcW w:w="274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Bentonite</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10.00</w:t>
            </w:r>
          </w:p>
        </w:tc>
        <w:tc>
          <w:tcPr>
            <w:tcW w:w="1617"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t ore</w:t>
            </w:r>
          </w:p>
        </w:tc>
      </w:tr>
      <w:tr w:rsidR="007D3D7D" w:rsidRPr="0054285D" w:rsidTr="00D2436E">
        <w:trPr>
          <w:trHeight w:val="300"/>
          <w:jc w:val="center"/>
        </w:trPr>
        <w:tc>
          <w:tcPr>
            <w:tcW w:w="274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Pellet Induration</w:t>
            </w:r>
          </w:p>
        </w:tc>
        <w:tc>
          <w:tcPr>
            <w:tcW w:w="222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Process Steam</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750.00</w:t>
            </w:r>
          </w:p>
        </w:tc>
        <w:tc>
          <w:tcPr>
            <w:tcW w:w="1617"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MJ/ t sinter</w:t>
            </w:r>
          </w:p>
        </w:tc>
      </w:tr>
      <w:tr w:rsidR="007D3D7D" w:rsidRPr="0054285D" w:rsidTr="00D2436E">
        <w:trPr>
          <w:trHeight w:val="300"/>
          <w:jc w:val="center"/>
        </w:trPr>
        <w:tc>
          <w:tcPr>
            <w:tcW w:w="274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Electricity </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45.00</w:t>
            </w:r>
          </w:p>
        </w:tc>
        <w:tc>
          <w:tcPr>
            <w:tcW w:w="1617"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kWh / t pellets</w:t>
            </w:r>
          </w:p>
        </w:tc>
      </w:tr>
      <w:tr w:rsidR="007D3D7D" w:rsidRPr="0054285D" w:rsidTr="00D2436E">
        <w:trPr>
          <w:trHeight w:val="300"/>
          <w:jc w:val="center"/>
        </w:trPr>
        <w:tc>
          <w:tcPr>
            <w:tcW w:w="274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Submerged EAF</w:t>
            </w:r>
          </w:p>
        </w:tc>
        <w:tc>
          <w:tcPr>
            <w:tcW w:w="222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Quartz</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1854.00</w:t>
            </w:r>
          </w:p>
        </w:tc>
        <w:tc>
          <w:tcPr>
            <w:tcW w:w="1617"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kg/ t </w:t>
            </w:r>
          </w:p>
        </w:tc>
      </w:tr>
      <w:tr w:rsidR="007D3D7D" w:rsidRPr="0054285D" w:rsidTr="00D2436E">
        <w:trPr>
          <w:trHeight w:val="300"/>
          <w:jc w:val="center"/>
        </w:trPr>
        <w:tc>
          <w:tcPr>
            <w:tcW w:w="274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Iron Ore</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265.00</w:t>
            </w:r>
          </w:p>
        </w:tc>
        <w:tc>
          <w:tcPr>
            <w:tcW w:w="1617"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kg/ t </w:t>
            </w:r>
          </w:p>
        </w:tc>
      </w:tr>
      <w:tr w:rsidR="007D3D7D" w:rsidRPr="0054285D" w:rsidTr="00D2436E">
        <w:trPr>
          <w:trHeight w:val="300"/>
          <w:jc w:val="center"/>
        </w:trPr>
        <w:tc>
          <w:tcPr>
            <w:tcW w:w="274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Coke</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408.00</w:t>
            </w:r>
          </w:p>
        </w:tc>
        <w:tc>
          <w:tcPr>
            <w:tcW w:w="1617"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kg/ t </w:t>
            </w:r>
          </w:p>
        </w:tc>
      </w:tr>
      <w:tr w:rsidR="007D3D7D" w:rsidRPr="0054285D" w:rsidTr="00D2436E">
        <w:trPr>
          <w:trHeight w:val="300"/>
          <w:jc w:val="center"/>
        </w:trPr>
        <w:tc>
          <w:tcPr>
            <w:tcW w:w="274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Coal</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541.00</w:t>
            </w:r>
          </w:p>
        </w:tc>
        <w:tc>
          <w:tcPr>
            <w:tcW w:w="1617"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kg/ t </w:t>
            </w:r>
          </w:p>
        </w:tc>
      </w:tr>
      <w:tr w:rsidR="007D3D7D" w:rsidRPr="0054285D" w:rsidTr="00D2436E">
        <w:trPr>
          <w:trHeight w:val="300"/>
          <w:jc w:val="center"/>
        </w:trPr>
        <w:tc>
          <w:tcPr>
            <w:tcW w:w="274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Electrode</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63.00</w:t>
            </w:r>
          </w:p>
        </w:tc>
        <w:tc>
          <w:tcPr>
            <w:tcW w:w="1617"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kg/ t </w:t>
            </w:r>
          </w:p>
        </w:tc>
      </w:tr>
      <w:tr w:rsidR="007D3D7D" w:rsidRPr="0054285D" w:rsidTr="00D2436E">
        <w:trPr>
          <w:trHeight w:val="300"/>
          <w:jc w:val="center"/>
        </w:trPr>
        <w:tc>
          <w:tcPr>
            <w:tcW w:w="274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Electricity </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8300.00</w:t>
            </w:r>
          </w:p>
        </w:tc>
        <w:tc>
          <w:tcPr>
            <w:tcW w:w="1617"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kWh / t</w:t>
            </w:r>
          </w:p>
        </w:tc>
      </w:tr>
    </w:tbl>
    <w:p w:rsidR="00AE7A4C" w:rsidRPr="0054285D" w:rsidRDefault="00AE7A4C" w:rsidP="00AE7A4C">
      <w:pPr>
        <w:spacing w:line="360" w:lineRule="auto"/>
        <w:jc w:val="both"/>
        <w:rPr>
          <w:rFonts w:ascii="Times New Roman" w:eastAsia="Calibri" w:hAnsi="Times New Roman" w:cs="Times New Roman"/>
        </w:rPr>
      </w:pPr>
    </w:p>
    <w:p w:rsidR="00AE7A4C" w:rsidRPr="0054285D" w:rsidRDefault="00703519" w:rsidP="007D3D7D">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lastRenderedPageBreak/>
        <w:t>Resembling ferromanganese, the ferrosilicon</w:t>
      </w:r>
      <w:r w:rsidR="00AE7A4C" w:rsidRPr="0054285D">
        <w:rPr>
          <w:rFonts w:ascii="Times New Roman" w:eastAsia="Calibri" w:hAnsi="Times New Roman" w:cs="Times New Roman"/>
        </w:rPr>
        <w:t xml:space="preserve"> process was created using </w:t>
      </w:r>
      <w:r w:rsidRPr="0054285D">
        <w:rPr>
          <w:rFonts w:ascii="Times New Roman" w:eastAsia="Calibri" w:hAnsi="Times New Roman" w:cs="Times New Roman"/>
        </w:rPr>
        <w:t>3 distinct</w:t>
      </w:r>
      <w:r w:rsidR="00AE7A4C" w:rsidRPr="0054285D">
        <w:rPr>
          <w:rFonts w:ascii="Times New Roman" w:eastAsia="Calibri" w:hAnsi="Times New Roman" w:cs="Times New Roman"/>
        </w:rPr>
        <w:t xml:space="preserve"> stages namely: pelletising, iron ore pellet induration and ferro alloy production stages. Using the data above, each process was created using the relevant data for each stage. Processes from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were used to represent the input processes. Each stage was then connected to each </w:t>
      </w:r>
      <w:r w:rsidRPr="0054285D">
        <w:rPr>
          <w:rFonts w:ascii="Times New Roman" w:eastAsia="Calibri" w:hAnsi="Times New Roman" w:cs="Times New Roman"/>
        </w:rPr>
        <w:t>other to create a complete ferrosilicon</w:t>
      </w:r>
      <w:r w:rsidR="00AE7A4C" w:rsidRPr="0054285D">
        <w:rPr>
          <w:rFonts w:ascii="Times New Roman" w:eastAsia="Calibri" w:hAnsi="Times New Roman" w:cs="Times New Roman"/>
        </w:rPr>
        <w:t xml:space="preserve"> production process. The units for energy were set to kWh/t whilst for mass they were kg/t. The functional unit for the output of the m</w:t>
      </w:r>
      <w:r w:rsidRPr="0054285D">
        <w:rPr>
          <w:rFonts w:ascii="Times New Roman" w:eastAsia="Calibri" w:hAnsi="Times New Roman" w:cs="Times New Roman"/>
        </w:rPr>
        <w:t>odel was set to 1000 kg of ferrosilicon</w:t>
      </w:r>
      <w:r w:rsidR="00AE7A4C" w:rsidRPr="0054285D">
        <w:rPr>
          <w:rFonts w:ascii="Times New Roman" w:eastAsia="Calibri" w:hAnsi="Times New Roman" w:cs="Times New Roman"/>
        </w:rPr>
        <w:t>.</w:t>
      </w:r>
    </w:p>
    <w:p w:rsidR="00AE7A4C" w:rsidRPr="0054285D" w:rsidRDefault="00AE7A4C" w:rsidP="007D3D7D">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The model excluded transportation, for this reason shipping coke and coal were not included. Electricity production was modelled using Australia as well as an average e</w:t>
      </w:r>
      <w:r w:rsidR="00703519" w:rsidRPr="0054285D">
        <w:rPr>
          <w:rFonts w:ascii="Times New Roman" w:eastAsia="Calibri" w:hAnsi="Times New Roman" w:cs="Times New Roman"/>
        </w:rPr>
        <w:t>lectricity based on global ferrosilicon</w:t>
      </w:r>
      <w:r w:rsidRPr="0054285D">
        <w:rPr>
          <w:rFonts w:ascii="Times New Roman" w:eastAsia="Calibri" w:hAnsi="Times New Roman" w:cs="Times New Roman"/>
        </w:rPr>
        <w:t xml:space="preserve"> production. In addition carbon corrections were made for coal, coke and electrodes. Finally it was assumed the Si and Fe content in the final ferrosi</w:t>
      </w:r>
      <w:r w:rsidR="001D1618" w:rsidRPr="0054285D">
        <w:rPr>
          <w:rFonts w:ascii="Times New Roman" w:eastAsia="Calibri" w:hAnsi="Times New Roman" w:cs="Times New Roman"/>
        </w:rPr>
        <w:t>licon product were 76%, and 20</w:t>
      </w:r>
      <w:r w:rsidRPr="0054285D">
        <w:rPr>
          <w:rFonts w:ascii="Times New Roman" w:eastAsia="Calibri" w:hAnsi="Times New Roman" w:cs="Times New Roman"/>
        </w:rPr>
        <w:t>% respectively. The complete model</w:t>
      </w:r>
      <w:r w:rsidR="00703519" w:rsidRPr="0054285D">
        <w:rPr>
          <w:rFonts w:ascii="Times New Roman" w:eastAsia="Calibri" w:hAnsi="Times New Roman" w:cs="Times New Roman"/>
        </w:rPr>
        <w:t xml:space="preserve"> is displayed by </w:t>
      </w:r>
      <w:r w:rsidR="00A6415F" w:rsidRPr="0054285D">
        <w:fldChar w:fldCharType="begin"/>
      </w:r>
      <w:r w:rsidR="00A6415F" w:rsidRPr="0054285D">
        <w:instrText xml:space="preserve"> REF _Ref473835790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83</w:t>
      </w:r>
      <w:r w:rsidR="00A6415F" w:rsidRPr="0054285D">
        <w:fldChar w:fldCharType="end"/>
      </w:r>
      <w:r w:rsidRPr="0054285D">
        <w:rPr>
          <w:rFonts w:ascii="Times New Roman" w:eastAsia="Calibri" w:hAnsi="Times New Roman" w:cs="Times New Roman"/>
        </w:rPr>
        <w:t>.</w:t>
      </w:r>
    </w:p>
    <w:p w:rsidR="00AE7A4C" w:rsidRPr="0054285D" w:rsidRDefault="007D3D7D" w:rsidP="00AE7A4C">
      <w:pPr>
        <w:spacing w:line="360" w:lineRule="auto"/>
        <w:jc w:val="center"/>
        <w:rPr>
          <w:rFonts w:ascii="Times New Roman" w:eastAsia="Calibri" w:hAnsi="Times New Roman" w:cs="Times New Roman"/>
        </w:rPr>
      </w:pPr>
      <w:r w:rsidRPr="0054285D">
        <w:rPr>
          <w:noProof/>
        </w:rPr>
        <w:drawing>
          <wp:inline distT="0" distB="0" distL="0" distR="0">
            <wp:extent cx="3169085" cy="3061653"/>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srcRect l="38436" t="18992" r="20904" b="11171"/>
                    <a:stretch/>
                  </pic:blipFill>
                  <pic:spPr bwMode="auto">
                    <a:xfrm>
                      <a:off x="0" y="0"/>
                      <a:ext cx="3187181" cy="3079136"/>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7D3D7D" w:rsidP="007D3D7D">
      <w:pPr>
        <w:rPr>
          <w:rFonts w:ascii="Times New Roman" w:eastAsia="Calibri" w:hAnsi="Times New Roman" w:cs="Times New Roman"/>
        </w:rPr>
      </w:pPr>
      <w:bookmarkStart w:id="339" w:name="_Ref473835790"/>
      <w:bookmarkStart w:id="340" w:name="_Toc495848416"/>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83</w:t>
      </w:r>
      <w:r w:rsidR="009A0ED7" w:rsidRPr="0054285D">
        <w:rPr>
          <w:rFonts w:ascii="Times New Roman" w:hAnsi="Times New Roman" w:cs="Times New Roman"/>
        </w:rPr>
        <w:fldChar w:fldCharType="end"/>
      </w:r>
      <w:bookmarkEnd w:id="339"/>
      <w:r w:rsidRPr="0054285D">
        <w:rPr>
          <w:rFonts w:ascii="Times New Roman" w:hAnsi="Times New Roman" w:cs="Times New Roman"/>
        </w:rPr>
        <w:t xml:space="preserve">. </w:t>
      </w:r>
      <w:r w:rsidR="00703519" w:rsidRPr="0054285D">
        <w:rPr>
          <w:rFonts w:ascii="Times New Roman" w:eastAsia="Calibri" w:hAnsi="Times New Roman" w:cs="Times New Roman"/>
        </w:rPr>
        <w:t>Global ferrosilicon</w:t>
      </w:r>
      <w:r w:rsidR="00AE7A4C" w:rsidRPr="0054285D">
        <w:rPr>
          <w:rFonts w:ascii="Times New Roman" w:eastAsia="Calibri" w:hAnsi="Times New Roman" w:cs="Times New Roman"/>
        </w:rPr>
        <w:t xml:space="preserve"> model.</w:t>
      </w:r>
      <w:bookmarkEnd w:id="340"/>
    </w:p>
    <w:p w:rsidR="00AE7A4C" w:rsidRPr="0054285D" w:rsidRDefault="00AE7A4C" w:rsidP="007D3D7D">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The se</w:t>
      </w:r>
      <w:r w:rsidR="00703519" w:rsidRPr="0054285D">
        <w:rPr>
          <w:rFonts w:ascii="Times New Roman" w:eastAsia="Calibri" w:hAnsi="Times New Roman" w:cs="Times New Roman"/>
        </w:rPr>
        <w:t>cond data source to create ferrosilicon</w:t>
      </w:r>
      <w:r w:rsidRPr="0054285D">
        <w:rPr>
          <w:rFonts w:ascii="Times New Roman" w:eastAsia="Calibri" w:hAnsi="Times New Roman" w:cs="Times New Roman"/>
        </w:rPr>
        <w:t xml:space="preserve"> was</w:t>
      </w:r>
      <w:r w:rsidR="00703519" w:rsidRPr="0054285D">
        <w:rPr>
          <w:rFonts w:ascii="Times New Roman" w:eastAsia="Calibri" w:hAnsi="Times New Roman" w:cs="Times New Roman"/>
        </w:rPr>
        <w:t xml:space="preserve"> from </w:t>
      </w:r>
      <w:r w:rsidR="00703519" w:rsidRPr="0054285D">
        <w:rPr>
          <w:rFonts w:ascii="Times New Roman" w:eastAsia="Calibri" w:hAnsi="Times New Roman" w:cs="Times New Roman"/>
          <w:noProof/>
        </w:rPr>
        <w:t>(Eurometaux 2014)</w:t>
      </w:r>
      <w:r w:rsidRPr="0054285D">
        <w:rPr>
          <w:rFonts w:ascii="Times New Roman" w:eastAsia="Calibri" w:hAnsi="Times New Roman" w:cs="Times New Roman"/>
        </w:rPr>
        <w:t>. The selected production route</w:t>
      </w:r>
      <w:r w:rsidR="004D595A" w:rsidRPr="0054285D">
        <w:rPr>
          <w:rFonts w:ascii="Times New Roman" w:eastAsia="Calibri" w:hAnsi="Times New Roman" w:cs="Times New Roman"/>
        </w:rPr>
        <w:t xml:space="preserve"> was slightly different to Haque</w:t>
      </w:r>
      <w:r w:rsidRPr="0054285D">
        <w:rPr>
          <w:rFonts w:ascii="Times New Roman" w:eastAsia="Calibri" w:hAnsi="Times New Roman" w:cs="Times New Roman"/>
        </w:rPr>
        <w:t xml:space="preserve"> and involved production via a rotary kiln electri</w:t>
      </w:r>
      <w:r w:rsidR="004D595A" w:rsidRPr="0054285D">
        <w:rPr>
          <w:rFonts w:ascii="Times New Roman" w:eastAsia="Calibri" w:hAnsi="Times New Roman" w:cs="Times New Roman"/>
        </w:rPr>
        <w:t>c furnace. However, unlike Haque</w:t>
      </w:r>
      <w:r w:rsidRPr="0054285D">
        <w:rPr>
          <w:rFonts w:ascii="Times New Roman" w:eastAsia="Calibri" w:hAnsi="Times New Roman" w:cs="Times New Roman"/>
        </w:rPr>
        <w:t>, the data was not split into stages and was modelled in a singula</w:t>
      </w:r>
      <w:r w:rsidR="00703519" w:rsidRPr="0054285D">
        <w:rPr>
          <w:rFonts w:ascii="Times New Roman" w:eastAsia="Calibri" w:hAnsi="Times New Roman" w:cs="Times New Roman"/>
        </w:rPr>
        <w:t>r stage. The components of ferrosilicon</w:t>
      </w:r>
      <w:r w:rsidRPr="0054285D">
        <w:rPr>
          <w:rFonts w:ascii="Times New Roman" w:eastAsia="Calibri" w:hAnsi="Times New Roman" w:cs="Times New Roman"/>
        </w:rPr>
        <w:t xml:space="preserve"> can be seen in the following table.</w:t>
      </w:r>
    </w:p>
    <w:p w:rsidR="00AE7A4C" w:rsidRPr="0054285D" w:rsidRDefault="007D3D7D" w:rsidP="007D3D7D">
      <w:pPr>
        <w:rPr>
          <w:rFonts w:ascii="Times New Roman" w:eastAsia="Calibri" w:hAnsi="Times New Roman" w:cs="Times New Roman"/>
        </w:rPr>
      </w:pPr>
      <w:bookmarkStart w:id="341" w:name="_Toc474486565"/>
      <w:bookmarkStart w:id="342" w:name="_Toc495852736"/>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58</w:t>
      </w:r>
      <w:r w:rsidR="009A0ED7" w:rsidRPr="0054285D">
        <w:rPr>
          <w:rFonts w:ascii="Times New Roman" w:hAnsi="Times New Roman" w:cs="Times New Roman"/>
        </w:rPr>
        <w:fldChar w:fldCharType="end"/>
      </w:r>
      <w:r w:rsidRPr="0054285D">
        <w:rPr>
          <w:rFonts w:ascii="Times New Roman" w:hAnsi="Times New Roman" w:cs="Times New Roman"/>
        </w:rPr>
        <w:t xml:space="preserve">. </w:t>
      </w:r>
      <w:r w:rsidR="00703519" w:rsidRPr="0054285D">
        <w:rPr>
          <w:rFonts w:ascii="Times New Roman" w:eastAsia="Calibri" w:hAnsi="Times New Roman" w:cs="Times New Roman"/>
        </w:rPr>
        <w:t>Inventory for ferrosilicon</w:t>
      </w:r>
      <w:r w:rsidR="00AE7A4C" w:rsidRPr="0054285D">
        <w:rPr>
          <w:rFonts w:ascii="Times New Roman" w:eastAsia="Calibri" w:hAnsi="Times New Roman" w:cs="Times New Roman"/>
        </w:rPr>
        <w:t xml:space="preserve"> production from </w:t>
      </w:r>
      <w:r w:rsidR="00703519" w:rsidRPr="0054285D">
        <w:rPr>
          <w:rFonts w:ascii="Times New Roman" w:eastAsia="Calibri" w:hAnsi="Times New Roman" w:cs="Times New Roman"/>
          <w:noProof/>
        </w:rPr>
        <w:t>(Eurometaux 2014)</w:t>
      </w:r>
      <w:r w:rsidR="00703519" w:rsidRPr="0054285D">
        <w:rPr>
          <w:rFonts w:ascii="Times New Roman" w:eastAsia="Calibri" w:hAnsi="Times New Roman" w:cs="Times New Roman"/>
        </w:rPr>
        <w:t>.</w:t>
      </w:r>
      <w:bookmarkEnd w:id="341"/>
      <w:bookmarkEnd w:id="342"/>
    </w:p>
    <w:tbl>
      <w:tblPr>
        <w:tblW w:w="4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0"/>
        <w:gridCol w:w="1080"/>
        <w:gridCol w:w="915"/>
      </w:tblGrid>
      <w:tr w:rsidR="007D3D7D" w:rsidRPr="0054285D" w:rsidTr="00D2436E">
        <w:trPr>
          <w:trHeight w:val="300"/>
          <w:jc w:val="center"/>
        </w:trPr>
        <w:tc>
          <w:tcPr>
            <w:tcW w:w="240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Input </w:t>
            </w:r>
          </w:p>
        </w:tc>
        <w:tc>
          <w:tcPr>
            <w:tcW w:w="108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Inventory</w:t>
            </w:r>
          </w:p>
        </w:tc>
        <w:tc>
          <w:tcPr>
            <w:tcW w:w="915"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Units</w:t>
            </w:r>
          </w:p>
        </w:tc>
      </w:tr>
      <w:tr w:rsidR="007D3D7D" w:rsidRPr="0054285D" w:rsidTr="00D2436E">
        <w:trPr>
          <w:trHeight w:val="300"/>
          <w:jc w:val="center"/>
        </w:trPr>
        <w:tc>
          <w:tcPr>
            <w:tcW w:w="240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Quartzite</w:t>
            </w:r>
          </w:p>
        </w:tc>
        <w:tc>
          <w:tcPr>
            <w:tcW w:w="108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1800.00</w:t>
            </w:r>
          </w:p>
        </w:tc>
        <w:tc>
          <w:tcPr>
            <w:tcW w:w="915"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/t</w:t>
            </w:r>
          </w:p>
        </w:tc>
      </w:tr>
      <w:tr w:rsidR="007D3D7D" w:rsidRPr="0054285D" w:rsidTr="00D2436E">
        <w:trPr>
          <w:trHeight w:val="300"/>
          <w:jc w:val="center"/>
        </w:trPr>
        <w:tc>
          <w:tcPr>
            <w:tcW w:w="240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Coke</w:t>
            </w:r>
          </w:p>
        </w:tc>
        <w:tc>
          <w:tcPr>
            <w:tcW w:w="108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1100.00</w:t>
            </w:r>
          </w:p>
        </w:tc>
        <w:tc>
          <w:tcPr>
            <w:tcW w:w="915"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/t</w:t>
            </w:r>
          </w:p>
        </w:tc>
      </w:tr>
      <w:tr w:rsidR="007D3D7D" w:rsidRPr="0054285D" w:rsidTr="00D2436E">
        <w:trPr>
          <w:trHeight w:val="300"/>
          <w:jc w:val="center"/>
        </w:trPr>
        <w:tc>
          <w:tcPr>
            <w:tcW w:w="240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Electrode</w:t>
            </w:r>
          </w:p>
        </w:tc>
        <w:tc>
          <w:tcPr>
            <w:tcW w:w="108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40.00</w:t>
            </w:r>
          </w:p>
        </w:tc>
        <w:tc>
          <w:tcPr>
            <w:tcW w:w="915"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/t</w:t>
            </w:r>
          </w:p>
        </w:tc>
      </w:tr>
      <w:tr w:rsidR="007D3D7D" w:rsidRPr="0054285D" w:rsidTr="00D2436E">
        <w:trPr>
          <w:trHeight w:val="300"/>
          <w:jc w:val="center"/>
        </w:trPr>
        <w:tc>
          <w:tcPr>
            <w:tcW w:w="240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Iron ore pellets</w:t>
            </w:r>
          </w:p>
        </w:tc>
        <w:tc>
          <w:tcPr>
            <w:tcW w:w="108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300.00</w:t>
            </w:r>
          </w:p>
        </w:tc>
        <w:tc>
          <w:tcPr>
            <w:tcW w:w="915"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/t</w:t>
            </w:r>
          </w:p>
        </w:tc>
      </w:tr>
      <w:tr w:rsidR="007D3D7D" w:rsidRPr="0054285D" w:rsidTr="00D2436E">
        <w:trPr>
          <w:trHeight w:val="300"/>
          <w:jc w:val="center"/>
        </w:trPr>
        <w:tc>
          <w:tcPr>
            <w:tcW w:w="240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Woodchips</w:t>
            </w:r>
          </w:p>
        </w:tc>
        <w:tc>
          <w:tcPr>
            <w:tcW w:w="108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225.00</w:t>
            </w:r>
          </w:p>
        </w:tc>
        <w:tc>
          <w:tcPr>
            <w:tcW w:w="915"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/t</w:t>
            </w:r>
          </w:p>
        </w:tc>
      </w:tr>
      <w:tr w:rsidR="007D3D7D" w:rsidRPr="0054285D" w:rsidTr="00D2436E">
        <w:trPr>
          <w:trHeight w:val="300"/>
          <w:jc w:val="center"/>
        </w:trPr>
        <w:tc>
          <w:tcPr>
            <w:tcW w:w="240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Electrical Energy</w:t>
            </w:r>
          </w:p>
        </w:tc>
        <w:tc>
          <w:tcPr>
            <w:tcW w:w="1080"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9000.00</w:t>
            </w:r>
          </w:p>
        </w:tc>
        <w:tc>
          <w:tcPr>
            <w:tcW w:w="915"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kWh / t</w:t>
            </w:r>
          </w:p>
        </w:tc>
      </w:tr>
    </w:tbl>
    <w:p w:rsidR="00AE7A4C" w:rsidRPr="0054285D" w:rsidRDefault="00AE7A4C" w:rsidP="007D3D7D">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lastRenderedPageBreak/>
        <w:t>Assumptions in the modelling included utilising silica sand due to unavailability of quartzite.  In addition the reducing agent was assumed to be coke and carbon corrections were made for</w:t>
      </w:r>
      <w:r w:rsidR="004D595A" w:rsidRPr="0054285D">
        <w:rPr>
          <w:rFonts w:ascii="Times New Roman" w:eastAsia="Calibri" w:hAnsi="Times New Roman" w:cs="Times New Roman"/>
        </w:rPr>
        <w:t xml:space="preserve"> it and electrodes. Unlike Haque</w:t>
      </w:r>
      <w:r w:rsidRPr="0054285D">
        <w:rPr>
          <w:rFonts w:ascii="Times New Roman" w:eastAsia="Calibri" w:hAnsi="Times New Roman" w:cs="Times New Roman"/>
        </w:rPr>
        <w:t>, woodchips were also an input. Thus a carbon correction was also included for this. The values selected from the original data were the minimum rather than maximum values to minimise errors. The end</w:t>
      </w:r>
      <w:r w:rsidR="00703519" w:rsidRPr="0054285D">
        <w:rPr>
          <w:rFonts w:ascii="Times New Roman" w:eastAsia="Calibri" w:hAnsi="Times New Roman" w:cs="Times New Roman"/>
        </w:rPr>
        <w:t xml:space="preserve"> product was assumed to be ferrosilicon (75% Si). The ferrosilicon </w:t>
      </w:r>
      <w:r w:rsidRPr="0054285D">
        <w:rPr>
          <w:rFonts w:ascii="Times New Roman" w:eastAsia="Calibri" w:hAnsi="Times New Roman" w:cs="Times New Roman"/>
        </w:rPr>
        <w:t>model produced using Eur</w:t>
      </w:r>
      <w:r w:rsidR="007D3D7D" w:rsidRPr="0054285D">
        <w:rPr>
          <w:rFonts w:ascii="Times New Roman" w:eastAsia="Calibri" w:hAnsi="Times New Roman" w:cs="Times New Roman"/>
        </w:rPr>
        <w:t>ometaux data</w:t>
      </w:r>
      <w:r w:rsidR="00703519" w:rsidRPr="0054285D">
        <w:rPr>
          <w:rFonts w:ascii="Times New Roman" w:eastAsia="Calibri" w:hAnsi="Times New Roman" w:cs="Times New Roman"/>
        </w:rPr>
        <w:t xml:space="preserve"> is illustrated by </w:t>
      </w:r>
      <w:r w:rsidR="00A6415F" w:rsidRPr="0054285D">
        <w:fldChar w:fldCharType="begin"/>
      </w:r>
      <w:r w:rsidR="00A6415F" w:rsidRPr="0054285D">
        <w:instrText xml:space="preserve"> REF _Ref473835997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84</w:t>
      </w:r>
      <w:r w:rsidR="00A6415F" w:rsidRPr="0054285D">
        <w:fldChar w:fldCharType="end"/>
      </w:r>
      <w:r w:rsidR="00703519" w:rsidRPr="0054285D">
        <w:rPr>
          <w:rFonts w:ascii="Times New Roman" w:eastAsia="Calibri" w:hAnsi="Times New Roman" w:cs="Times New Roman"/>
        </w:rPr>
        <w:t>.</w:t>
      </w:r>
    </w:p>
    <w:p w:rsidR="007D3D7D" w:rsidRPr="0054285D" w:rsidRDefault="003601AA" w:rsidP="00D2436E">
      <w:pPr>
        <w:spacing w:line="360" w:lineRule="auto"/>
        <w:ind w:firstLine="720"/>
        <w:jc w:val="center"/>
        <w:rPr>
          <w:rFonts w:ascii="Times New Roman" w:eastAsia="Calibri" w:hAnsi="Times New Roman" w:cs="Times New Roman"/>
        </w:rPr>
      </w:pPr>
      <w:r w:rsidRPr="0054285D">
        <w:rPr>
          <w:noProof/>
        </w:rPr>
        <w:drawing>
          <wp:inline distT="0" distB="0" distL="0" distR="0" wp14:anchorId="6BA4CC5E" wp14:editId="2C412829">
            <wp:extent cx="5683969" cy="221698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print"/>
                    <a:srcRect l="28600" t="40685" r="27003" b="28529"/>
                    <a:stretch/>
                  </pic:blipFill>
                  <pic:spPr bwMode="auto">
                    <a:xfrm>
                      <a:off x="0" y="0"/>
                      <a:ext cx="5701387" cy="2223783"/>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7D3D7D" w:rsidP="007D3D7D">
      <w:pPr>
        <w:rPr>
          <w:rFonts w:ascii="Times New Roman" w:eastAsia="Calibri" w:hAnsi="Times New Roman" w:cs="Times New Roman"/>
        </w:rPr>
      </w:pPr>
      <w:bookmarkStart w:id="343" w:name="_Ref473835997"/>
      <w:bookmarkStart w:id="344" w:name="_Toc495848417"/>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84</w:t>
      </w:r>
      <w:r w:rsidR="009A0ED7" w:rsidRPr="0054285D">
        <w:rPr>
          <w:rFonts w:ascii="Times New Roman" w:hAnsi="Times New Roman" w:cs="Times New Roman"/>
        </w:rPr>
        <w:fldChar w:fldCharType="end"/>
      </w:r>
      <w:bookmarkEnd w:id="343"/>
      <w:r w:rsidRPr="0054285D">
        <w:rPr>
          <w:rFonts w:ascii="Times New Roman" w:hAnsi="Times New Roman" w:cs="Times New Roman"/>
        </w:rPr>
        <w:t xml:space="preserve">. </w:t>
      </w:r>
      <w:r w:rsidR="00703519" w:rsidRPr="0054285D">
        <w:rPr>
          <w:rFonts w:ascii="Times New Roman" w:eastAsia="Calibri" w:hAnsi="Times New Roman" w:cs="Times New Roman"/>
        </w:rPr>
        <w:t>Ferrosilicon</w:t>
      </w:r>
      <w:r w:rsidR="00AE7A4C" w:rsidRPr="0054285D">
        <w:rPr>
          <w:rFonts w:ascii="Times New Roman" w:eastAsia="Calibri" w:hAnsi="Times New Roman" w:cs="Times New Roman"/>
        </w:rPr>
        <w:t xml:space="preserve"> model utilising Eurometaux data.</w:t>
      </w:r>
      <w:bookmarkEnd w:id="344"/>
    </w:p>
    <w:p w:rsidR="00AE7A4C" w:rsidRPr="0054285D" w:rsidRDefault="00FE25DA" w:rsidP="007D3D7D">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For the third data source, ferrosilicon was produced via </w:t>
      </w:r>
      <w:r w:rsidRPr="0054285D">
        <w:rPr>
          <w:rFonts w:ascii="Times New Roman" w:eastAsia="Calibri" w:hAnsi="Times New Roman" w:cs="Times New Roman"/>
          <w:noProof/>
        </w:rPr>
        <w:t>(Gasik.M 2013)</w:t>
      </w:r>
      <w:r w:rsidRPr="0054285D">
        <w:rPr>
          <w:rFonts w:ascii="Times New Roman" w:eastAsia="Calibri" w:hAnsi="Times New Roman" w:cs="Times New Roman"/>
        </w:rPr>
        <w:t>. The production route for ferrosilicon</w:t>
      </w:r>
      <w:r w:rsidR="00AE7A4C" w:rsidRPr="0054285D">
        <w:rPr>
          <w:rFonts w:ascii="Times New Roman" w:eastAsia="Calibri" w:hAnsi="Times New Roman" w:cs="Times New Roman"/>
        </w:rPr>
        <w:t xml:space="preserve"> was similar to Haque and involved carbon reduction of silica-rich raw materials (quartzite or quartz) in a submerged EAF. The function</w:t>
      </w:r>
      <w:r w:rsidRPr="0054285D">
        <w:rPr>
          <w:rFonts w:ascii="Times New Roman" w:eastAsia="Calibri" w:hAnsi="Times New Roman" w:cs="Times New Roman"/>
        </w:rPr>
        <w:t>al unit was for 1000 kg of ferrosilicon</w:t>
      </w:r>
      <w:r w:rsidR="00AE7A4C" w:rsidRPr="0054285D">
        <w:rPr>
          <w:rFonts w:ascii="Times New Roman" w:eastAsia="Calibri" w:hAnsi="Times New Roman" w:cs="Times New Roman"/>
        </w:rPr>
        <w:t xml:space="preserve"> and the inputs</w:t>
      </w:r>
      <w:r w:rsidRPr="0054285D">
        <w:rPr>
          <w:rFonts w:ascii="Times New Roman" w:eastAsia="Calibri" w:hAnsi="Times New Roman" w:cs="Times New Roman"/>
        </w:rPr>
        <w:t xml:space="preserve"> required</w:t>
      </w:r>
      <w:r w:rsidR="00AE7A4C" w:rsidRPr="0054285D">
        <w:rPr>
          <w:rFonts w:ascii="Times New Roman" w:eastAsia="Calibri" w:hAnsi="Times New Roman" w:cs="Times New Roman"/>
        </w:rPr>
        <w:t xml:space="preserve"> to</w:t>
      </w:r>
      <w:r w:rsidRPr="0054285D">
        <w:rPr>
          <w:rFonts w:ascii="Times New Roman" w:eastAsia="Calibri" w:hAnsi="Times New Roman" w:cs="Times New Roman"/>
        </w:rPr>
        <w:t xml:space="preserve"> create the model are displayed in </w:t>
      </w:r>
      <w:r w:rsidR="00A6415F" w:rsidRPr="0054285D">
        <w:fldChar w:fldCharType="begin"/>
      </w:r>
      <w:r w:rsidR="00A6415F" w:rsidRPr="0054285D">
        <w:instrText xml:space="preserve"> REF _Ref473836142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59</w:t>
      </w:r>
      <w:r w:rsidR="00A6415F" w:rsidRPr="0054285D">
        <w:fldChar w:fldCharType="end"/>
      </w:r>
      <w:r w:rsidRPr="0054285D">
        <w:rPr>
          <w:rFonts w:ascii="Times New Roman" w:eastAsia="Calibri" w:hAnsi="Times New Roman" w:cs="Times New Roman"/>
        </w:rPr>
        <w:t>.</w:t>
      </w:r>
    </w:p>
    <w:p w:rsidR="00AE7A4C" w:rsidRPr="0054285D" w:rsidRDefault="007D3D7D" w:rsidP="007D3D7D">
      <w:pPr>
        <w:rPr>
          <w:rFonts w:ascii="Times New Roman" w:eastAsia="Calibri" w:hAnsi="Times New Roman" w:cs="Times New Roman"/>
        </w:rPr>
      </w:pPr>
      <w:bookmarkStart w:id="345" w:name="_Ref473836142"/>
      <w:bookmarkStart w:id="346" w:name="_Toc474486566"/>
      <w:bookmarkStart w:id="347" w:name="_Toc495852737"/>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59</w:t>
      </w:r>
      <w:r w:rsidR="009A0ED7" w:rsidRPr="0054285D">
        <w:rPr>
          <w:rFonts w:ascii="Times New Roman" w:hAnsi="Times New Roman" w:cs="Times New Roman"/>
        </w:rPr>
        <w:fldChar w:fldCharType="end"/>
      </w:r>
      <w:bookmarkEnd w:id="345"/>
      <w:r w:rsidRPr="0054285D">
        <w:rPr>
          <w:rFonts w:ascii="Times New Roman" w:hAnsi="Times New Roman" w:cs="Times New Roman"/>
        </w:rPr>
        <w:t xml:space="preserve">. </w:t>
      </w:r>
      <w:r w:rsidR="00FE25DA" w:rsidRPr="0054285D">
        <w:rPr>
          <w:rFonts w:ascii="Times New Roman" w:eastAsia="Calibri" w:hAnsi="Times New Roman" w:cs="Times New Roman"/>
        </w:rPr>
        <w:t xml:space="preserve">Inventory for ferrosilicon production from </w:t>
      </w:r>
      <w:r w:rsidR="00FE25DA" w:rsidRPr="0054285D">
        <w:rPr>
          <w:rFonts w:ascii="Times New Roman" w:eastAsia="Calibri" w:hAnsi="Times New Roman" w:cs="Times New Roman"/>
          <w:noProof/>
        </w:rPr>
        <w:t>(Gasik.M 2013)</w:t>
      </w:r>
      <w:r w:rsidR="00AE7A4C" w:rsidRPr="0054285D">
        <w:rPr>
          <w:rFonts w:ascii="Times New Roman" w:eastAsia="Calibri" w:hAnsi="Times New Roman" w:cs="Times New Roman"/>
        </w:rPr>
        <w:t>.</w:t>
      </w:r>
      <w:bookmarkEnd w:id="346"/>
      <w:bookmarkEnd w:id="347"/>
    </w:p>
    <w:tbl>
      <w:tblPr>
        <w:tblW w:w="3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078"/>
        <w:gridCol w:w="906"/>
      </w:tblGrid>
      <w:tr w:rsidR="007D3D7D" w:rsidRPr="0054285D" w:rsidTr="00D2436E">
        <w:trPr>
          <w:trHeight w:val="300"/>
          <w:jc w:val="center"/>
        </w:trPr>
        <w:tc>
          <w:tcPr>
            <w:tcW w:w="1985"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Input </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Inventory</w:t>
            </w:r>
          </w:p>
        </w:tc>
        <w:tc>
          <w:tcPr>
            <w:tcW w:w="906"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Units</w:t>
            </w:r>
          </w:p>
        </w:tc>
      </w:tr>
      <w:tr w:rsidR="007D3D7D" w:rsidRPr="0054285D" w:rsidTr="00D2436E">
        <w:trPr>
          <w:trHeight w:val="300"/>
          <w:jc w:val="center"/>
        </w:trPr>
        <w:tc>
          <w:tcPr>
            <w:tcW w:w="1985"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Quartzite</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1930.00</w:t>
            </w:r>
          </w:p>
        </w:tc>
        <w:tc>
          <w:tcPr>
            <w:tcW w:w="906"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/t</w:t>
            </w:r>
          </w:p>
        </w:tc>
      </w:tr>
      <w:tr w:rsidR="007D3D7D" w:rsidRPr="0054285D" w:rsidTr="00D2436E">
        <w:trPr>
          <w:trHeight w:val="300"/>
          <w:jc w:val="center"/>
        </w:trPr>
        <w:tc>
          <w:tcPr>
            <w:tcW w:w="1985"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Iron chips</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250.00</w:t>
            </w:r>
          </w:p>
        </w:tc>
        <w:tc>
          <w:tcPr>
            <w:tcW w:w="906"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/t</w:t>
            </w:r>
          </w:p>
        </w:tc>
      </w:tr>
      <w:tr w:rsidR="007D3D7D" w:rsidRPr="0054285D" w:rsidTr="00D2436E">
        <w:trPr>
          <w:trHeight w:val="300"/>
          <w:jc w:val="center"/>
        </w:trPr>
        <w:tc>
          <w:tcPr>
            <w:tcW w:w="1985"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Coke</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845.00</w:t>
            </w:r>
          </w:p>
        </w:tc>
        <w:tc>
          <w:tcPr>
            <w:tcW w:w="906"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/t</w:t>
            </w:r>
          </w:p>
        </w:tc>
      </w:tr>
      <w:tr w:rsidR="007D3D7D" w:rsidRPr="0054285D" w:rsidTr="00D2436E">
        <w:trPr>
          <w:trHeight w:val="300"/>
          <w:jc w:val="center"/>
        </w:trPr>
        <w:tc>
          <w:tcPr>
            <w:tcW w:w="1985"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Electrode Paste</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54.00</w:t>
            </w:r>
          </w:p>
        </w:tc>
        <w:tc>
          <w:tcPr>
            <w:tcW w:w="906"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kg /t</w:t>
            </w:r>
          </w:p>
        </w:tc>
      </w:tr>
      <w:tr w:rsidR="007D3D7D" w:rsidRPr="0054285D" w:rsidTr="00D2436E">
        <w:trPr>
          <w:trHeight w:val="300"/>
          <w:jc w:val="center"/>
        </w:trPr>
        <w:tc>
          <w:tcPr>
            <w:tcW w:w="1985"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Electrical Energy</w:t>
            </w:r>
          </w:p>
        </w:tc>
        <w:tc>
          <w:tcPr>
            <w:tcW w:w="1078"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8800.00</w:t>
            </w:r>
          </w:p>
        </w:tc>
        <w:tc>
          <w:tcPr>
            <w:tcW w:w="906" w:type="dxa"/>
            <w:shd w:val="clear" w:color="auto" w:fill="auto"/>
            <w:noWrap/>
            <w:vAlign w:val="bottom"/>
            <w:hideMark/>
          </w:tcPr>
          <w:p w:rsidR="007D3D7D" w:rsidRPr="0054285D" w:rsidRDefault="007D3D7D" w:rsidP="007D3D7D">
            <w:pPr>
              <w:spacing w:after="0" w:line="240" w:lineRule="auto"/>
              <w:jc w:val="center"/>
              <w:rPr>
                <w:rFonts w:ascii="Calibri" w:eastAsia="Times New Roman" w:hAnsi="Calibri" w:cs="Times New Roman"/>
              </w:rPr>
            </w:pPr>
            <w:r w:rsidRPr="0054285D">
              <w:rPr>
                <w:rFonts w:ascii="Calibri" w:eastAsia="Times New Roman" w:hAnsi="Calibri" w:cs="Times New Roman"/>
              </w:rPr>
              <w:t>kWh / t</w:t>
            </w:r>
          </w:p>
        </w:tc>
      </w:tr>
    </w:tbl>
    <w:p w:rsidR="00FE25DA" w:rsidRPr="0054285D" w:rsidRDefault="00FE25DA" w:rsidP="00FE25DA">
      <w:pPr>
        <w:spacing w:after="0" w:line="360" w:lineRule="auto"/>
        <w:ind w:firstLine="720"/>
        <w:jc w:val="both"/>
        <w:rPr>
          <w:rFonts w:ascii="Times New Roman" w:eastAsia="Calibri" w:hAnsi="Times New Roman" w:cs="Times New Roman"/>
        </w:rPr>
      </w:pPr>
    </w:p>
    <w:p w:rsidR="00AE7A4C" w:rsidRPr="0054285D" w:rsidRDefault="00AE7A4C" w:rsidP="00FE25DA">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The table resembles identical inputs to</w:t>
      </w:r>
      <w:r w:rsidR="00FE25DA" w:rsidRPr="0054285D">
        <w:rPr>
          <w:rFonts w:ascii="Times New Roman" w:eastAsia="Calibri" w:hAnsi="Times New Roman" w:cs="Times New Roman"/>
        </w:rPr>
        <w:t xml:space="preserve"> the inputs from</w:t>
      </w:r>
      <w:r w:rsidRPr="0054285D">
        <w:rPr>
          <w:rFonts w:ascii="Times New Roman" w:eastAsia="Calibri" w:hAnsi="Times New Roman" w:cs="Times New Roman"/>
        </w:rPr>
        <w:t xml:space="preserve"> Eurometaux, with the exception of woodchips. As usual, Australia was selected as the electricity source and carbon corrections made for coke. In addition this process was modelled in a singular stage, with all inputs connected to one main process. The silicon yield for this process was assumed to be approximately 91-93%, and the end silicon product contained 75% Si. The final m</w:t>
      </w:r>
      <w:r w:rsidR="00FE25DA" w:rsidRPr="0054285D">
        <w:rPr>
          <w:rFonts w:ascii="Times New Roman" w:eastAsia="Calibri" w:hAnsi="Times New Roman" w:cs="Times New Roman"/>
        </w:rPr>
        <w:t xml:space="preserve">odel is illustrated by </w:t>
      </w:r>
      <w:r w:rsidR="00A6415F" w:rsidRPr="0054285D">
        <w:fldChar w:fldCharType="begin"/>
      </w:r>
      <w:r w:rsidR="00A6415F" w:rsidRPr="0054285D">
        <w:instrText xml:space="preserve"> REF _Ref473836258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85</w:t>
      </w:r>
      <w:r w:rsidR="00A6415F" w:rsidRPr="0054285D">
        <w:fldChar w:fldCharType="end"/>
      </w:r>
      <w:r w:rsidR="00FE25DA" w:rsidRPr="0054285D">
        <w:rPr>
          <w:rFonts w:ascii="Times New Roman" w:eastAsia="Calibri" w:hAnsi="Times New Roman" w:cs="Times New Roman"/>
        </w:rPr>
        <w:t xml:space="preserve"> </w:t>
      </w:r>
      <w:r w:rsidRPr="0054285D">
        <w:rPr>
          <w:rFonts w:ascii="Times New Roman" w:eastAsia="Calibri" w:hAnsi="Times New Roman" w:cs="Times New Roman"/>
        </w:rPr>
        <w:t>.</w:t>
      </w:r>
    </w:p>
    <w:p w:rsidR="00AE7A4C" w:rsidRPr="0054285D" w:rsidRDefault="003601AA" w:rsidP="00D2436E">
      <w:pPr>
        <w:jc w:val="center"/>
        <w:rPr>
          <w:rFonts w:ascii="Times New Roman" w:eastAsia="Calibri" w:hAnsi="Times New Roman" w:cs="Times New Roman"/>
        </w:rPr>
      </w:pPr>
      <w:r w:rsidRPr="0054285D">
        <w:rPr>
          <w:noProof/>
        </w:rPr>
        <w:lastRenderedPageBreak/>
        <w:drawing>
          <wp:inline distT="0" distB="0" distL="0" distR="0" wp14:anchorId="08B355AD" wp14:editId="62EA8644">
            <wp:extent cx="5731510" cy="2257425"/>
            <wp:effectExtent l="0" t="0" r="254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cstate="print"/>
                    <a:srcRect l="29952" t="42554" r="26853" b="27194"/>
                    <a:stretch/>
                  </pic:blipFill>
                  <pic:spPr bwMode="auto">
                    <a:xfrm>
                      <a:off x="0" y="0"/>
                      <a:ext cx="5731510" cy="2257425"/>
                    </a:xfrm>
                    <a:prstGeom prst="rect">
                      <a:avLst/>
                    </a:prstGeom>
                    <a:ln>
                      <a:noFill/>
                    </a:ln>
                    <a:extLst>
                      <a:ext uri="{53640926-AAD7-44D8-BBD7-CCE9431645EC}">
                        <a14:shadowObscured xmlns:a14="http://schemas.microsoft.com/office/drawing/2010/main"/>
                      </a:ext>
                    </a:extLst>
                  </pic:spPr>
                </pic:pic>
              </a:graphicData>
            </a:graphic>
          </wp:inline>
        </w:drawing>
      </w:r>
    </w:p>
    <w:p w:rsidR="007D3D7D" w:rsidRPr="0054285D" w:rsidRDefault="007D3D7D" w:rsidP="007D3D7D">
      <w:pPr>
        <w:rPr>
          <w:rFonts w:ascii="Times New Roman" w:eastAsia="Calibri" w:hAnsi="Times New Roman" w:cs="Times New Roman"/>
        </w:rPr>
      </w:pPr>
      <w:bookmarkStart w:id="348" w:name="_Ref473836258"/>
      <w:bookmarkStart w:id="349" w:name="_Toc495848418"/>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85</w:t>
      </w:r>
      <w:r w:rsidR="009A0ED7" w:rsidRPr="0054285D">
        <w:rPr>
          <w:rFonts w:ascii="Times New Roman" w:hAnsi="Times New Roman" w:cs="Times New Roman"/>
        </w:rPr>
        <w:fldChar w:fldCharType="end"/>
      </w:r>
      <w:bookmarkEnd w:id="348"/>
      <w:r w:rsidRPr="0054285D">
        <w:rPr>
          <w:rFonts w:ascii="Times New Roman" w:hAnsi="Times New Roman" w:cs="Times New Roman"/>
        </w:rPr>
        <w:t xml:space="preserve">. </w:t>
      </w:r>
      <w:r w:rsidR="00AE7A4C" w:rsidRPr="0054285D">
        <w:rPr>
          <w:rFonts w:ascii="Times New Roman" w:eastAsia="Calibri" w:hAnsi="Times New Roman" w:cs="Times New Roman"/>
        </w:rPr>
        <w:t>Fe-Si model from data source Gasik.</w:t>
      </w:r>
      <w:bookmarkEnd w:id="349"/>
    </w:p>
    <w:p w:rsidR="006B6F27" w:rsidRPr="0054285D" w:rsidRDefault="00AE7A4C" w:rsidP="006B6F27">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The final </w:t>
      </w:r>
      <w:r w:rsidR="00FE25DA" w:rsidRPr="0054285D">
        <w:rPr>
          <w:rFonts w:ascii="Times New Roman" w:eastAsia="Calibri" w:hAnsi="Times New Roman" w:cs="Times New Roman"/>
        </w:rPr>
        <w:t>data source to compare all ferrosilicon</w:t>
      </w:r>
      <w:r w:rsidRPr="0054285D">
        <w:rPr>
          <w:rFonts w:ascii="Times New Roman" w:eastAsia="Calibri" w:hAnsi="Times New Roman" w:cs="Times New Roman"/>
        </w:rPr>
        <w:t xml:space="preserve"> models with was via </w:t>
      </w:r>
      <w:r w:rsidR="004D2D91" w:rsidRPr="0054285D">
        <w:rPr>
          <w:rFonts w:ascii="Times New Roman" w:eastAsia="Calibri" w:hAnsi="Times New Roman" w:cs="Times New Roman"/>
        </w:rPr>
        <w:t>GaBi</w:t>
      </w:r>
      <w:r w:rsidRPr="0054285D">
        <w:rPr>
          <w:rFonts w:ascii="Times New Roman" w:eastAsia="Calibri" w:hAnsi="Times New Roman" w:cs="Times New Roman"/>
        </w:rPr>
        <w:t xml:space="preserve"> software. </w:t>
      </w:r>
      <w:r w:rsidR="006B6F27" w:rsidRPr="0054285D">
        <w:rPr>
          <w:rFonts w:ascii="Times New Roman" w:eastAsia="Calibri" w:hAnsi="Times New Roman" w:cs="Times New Roman"/>
        </w:rPr>
        <w:t>Although documentation was limited, it did included the geographical and technology representativeness to create the model. In terms of geographical representativeness the dataset represented a global mix. The main producing countries such as China and Russia were included alongside ferrosilicon producers Brazil, India and Norway. Minor producing countries were excluded from the dataset.</w:t>
      </w:r>
    </w:p>
    <w:p w:rsidR="00AE7A4C" w:rsidRPr="0054285D" w:rsidRDefault="00AE7A4C" w:rsidP="00AE1415">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In terms of technology description, the</w:t>
      </w:r>
      <w:r w:rsidR="006B6F27" w:rsidRPr="0054285D">
        <w:rPr>
          <w:rFonts w:ascii="Times New Roman" w:eastAsia="Calibri" w:hAnsi="Times New Roman" w:cs="Times New Roman"/>
        </w:rPr>
        <w:t xml:space="preserve"> dataset centered </w:t>
      </w:r>
      <w:r w:rsidR="00AE1415" w:rsidRPr="0054285D">
        <w:rPr>
          <w:rFonts w:ascii="Times New Roman" w:eastAsia="Calibri" w:hAnsi="Times New Roman" w:cs="Times New Roman"/>
        </w:rPr>
        <w:t>on</w:t>
      </w:r>
      <w:r w:rsidR="006B6F27" w:rsidRPr="0054285D">
        <w:rPr>
          <w:rFonts w:ascii="Times New Roman" w:eastAsia="Calibri" w:hAnsi="Times New Roman" w:cs="Times New Roman"/>
        </w:rPr>
        <w:t xml:space="preserve"> mining and th</w:t>
      </w:r>
      <w:r w:rsidR="00AE1415" w:rsidRPr="0054285D">
        <w:rPr>
          <w:rFonts w:ascii="Times New Roman" w:eastAsia="Calibri" w:hAnsi="Times New Roman" w:cs="Times New Roman"/>
        </w:rPr>
        <w:t xml:space="preserve">e beneficiation of </w:t>
      </w:r>
      <w:r w:rsidR="006B6F27" w:rsidRPr="0054285D">
        <w:rPr>
          <w:rFonts w:ascii="Times New Roman" w:eastAsia="Calibri" w:hAnsi="Times New Roman" w:cs="Times New Roman"/>
        </w:rPr>
        <w:t>quartz</w:t>
      </w:r>
      <w:r w:rsidR="00AE1415" w:rsidRPr="0054285D">
        <w:rPr>
          <w:rFonts w:ascii="Times New Roman" w:eastAsia="Calibri" w:hAnsi="Times New Roman" w:cs="Times New Roman"/>
        </w:rPr>
        <w:t xml:space="preserve">, with the mined quartz being crushed and then processed in an electric furnace.  Although this did depend on country specific system boundaries. The primary production route of ferrosilicon was based on utilising a low-shaft three phase submerged electric arc furnaces. </w:t>
      </w:r>
      <w:r w:rsidRPr="0054285D">
        <w:rPr>
          <w:rFonts w:ascii="Times New Roman" w:eastAsia="Calibri" w:hAnsi="Times New Roman" w:cs="Times New Roman"/>
        </w:rPr>
        <w:t xml:space="preserve">The majority of the data for </w:t>
      </w:r>
      <w:r w:rsidR="004D2D91" w:rsidRPr="0054285D">
        <w:rPr>
          <w:rFonts w:ascii="Times New Roman" w:eastAsia="Calibri" w:hAnsi="Times New Roman" w:cs="Times New Roman"/>
        </w:rPr>
        <w:t>GaBi</w:t>
      </w:r>
      <w:r w:rsidR="00AE1415" w:rsidRPr="0054285D">
        <w:rPr>
          <w:rFonts w:ascii="Times New Roman" w:eastAsia="Calibri" w:hAnsi="Times New Roman" w:cs="Times New Roman"/>
        </w:rPr>
        <w:t xml:space="preserve"> was for the year 2013 and did</w:t>
      </w:r>
      <w:r w:rsidRPr="0054285D">
        <w:rPr>
          <w:rFonts w:ascii="Times New Roman" w:eastAsia="Calibri" w:hAnsi="Times New Roman" w:cs="Times New Roman"/>
        </w:rPr>
        <w:t xml:space="preserve"> include transportation. The co</w:t>
      </w:r>
      <w:r w:rsidR="00AE1415" w:rsidRPr="0054285D">
        <w:rPr>
          <w:rFonts w:ascii="Times New Roman" w:eastAsia="Calibri" w:hAnsi="Times New Roman" w:cs="Times New Roman"/>
        </w:rPr>
        <w:t xml:space="preserve">mplete model is displayed by </w:t>
      </w:r>
      <w:r w:rsidR="00A6415F" w:rsidRPr="0054285D">
        <w:fldChar w:fldCharType="begin"/>
      </w:r>
      <w:r w:rsidR="00A6415F" w:rsidRPr="0054285D">
        <w:instrText xml:space="preserve"> REF _Ref473836957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86</w:t>
      </w:r>
      <w:r w:rsidR="00A6415F" w:rsidRPr="0054285D">
        <w:fldChar w:fldCharType="end"/>
      </w:r>
      <w:r w:rsidR="007D3D7D" w:rsidRPr="0054285D">
        <w:rPr>
          <w:rFonts w:ascii="Times New Roman" w:eastAsia="Calibri" w:hAnsi="Times New Roman" w:cs="Times New Roman"/>
        </w:rPr>
        <w:t>.</w:t>
      </w:r>
    </w:p>
    <w:p w:rsidR="00577AED" w:rsidRPr="0054285D" w:rsidRDefault="003601AA" w:rsidP="00D2436E">
      <w:pPr>
        <w:spacing w:after="0" w:line="360" w:lineRule="auto"/>
        <w:ind w:firstLine="720"/>
        <w:jc w:val="center"/>
        <w:rPr>
          <w:rFonts w:ascii="Times New Roman" w:eastAsia="Calibri" w:hAnsi="Times New Roman" w:cs="Times New Roman"/>
        </w:rPr>
      </w:pPr>
      <w:r w:rsidRPr="0054285D">
        <w:rPr>
          <w:noProof/>
        </w:rPr>
        <w:drawing>
          <wp:inline distT="0" distB="0" distL="0" distR="0" wp14:anchorId="4EE0479A" wp14:editId="0D27CED1">
            <wp:extent cx="4529470" cy="2974483"/>
            <wp:effectExtent l="0" t="0" r="444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srcRect l="13700" t="48456" r="52590" b="12189"/>
                    <a:stretch/>
                  </pic:blipFill>
                  <pic:spPr bwMode="auto">
                    <a:xfrm>
                      <a:off x="0" y="0"/>
                      <a:ext cx="4553511" cy="2990271"/>
                    </a:xfrm>
                    <a:prstGeom prst="rect">
                      <a:avLst/>
                    </a:prstGeom>
                    <a:ln>
                      <a:noFill/>
                    </a:ln>
                    <a:extLst>
                      <a:ext uri="{53640926-AAD7-44D8-BBD7-CCE9431645EC}">
                        <a14:shadowObscured xmlns:a14="http://schemas.microsoft.com/office/drawing/2010/main"/>
                      </a:ext>
                    </a:extLst>
                  </pic:spPr>
                </pic:pic>
              </a:graphicData>
            </a:graphic>
          </wp:inline>
        </w:drawing>
      </w:r>
    </w:p>
    <w:p w:rsidR="00AE7A4C" w:rsidRDefault="007D3D7D" w:rsidP="00577AED">
      <w:pPr>
        <w:rPr>
          <w:rFonts w:ascii="Times New Roman" w:eastAsia="Calibri" w:hAnsi="Times New Roman" w:cs="Times New Roman"/>
        </w:rPr>
      </w:pPr>
      <w:bookmarkStart w:id="350" w:name="_Ref473836957"/>
      <w:bookmarkStart w:id="351" w:name="_Toc495848419"/>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86</w:t>
      </w:r>
      <w:r w:rsidR="009A0ED7" w:rsidRPr="0054285D">
        <w:rPr>
          <w:rFonts w:ascii="Times New Roman" w:hAnsi="Times New Roman" w:cs="Times New Roman"/>
        </w:rPr>
        <w:fldChar w:fldCharType="end"/>
      </w:r>
      <w:bookmarkEnd w:id="350"/>
      <w:r w:rsidRPr="0054285D">
        <w:rPr>
          <w:rFonts w:ascii="Times New Roman" w:hAnsi="Times New Roman" w:cs="Times New Roman"/>
        </w:rPr>
        <w:t xml:space="preserve">. </w:t>
      </w:r>
      <w:r w:rsidR="004D2D91" w:rsidRPr="0054285D">
        <w:rPr>
          <w:rFonts w:ascii="Times New Roman" w:eastAsia="Calibri" w:hAnsi="Times New Roman" w:cs="Times New Roman"/>
        </w:rPr>
        <w:t>GaBi</w:t>
      </w:r>
      <w:r w:rsidR="00FE25DA" w:rsidRPr="0054285D">
        <w:rPr>
          <w:rFonts w:ascii="Times New Roman" w:eastAsia="Calibri" w:hAnsi="Times New Roman" w:cs="Times New Roman"/>
        </w:rPr>
        <w:t xml:space="preserve"> model of ferrosilicon production </w:t>
      </w:r>
      <w:r w:rsidR="00FE25DA" w:rsidRPr="0054285D">
        <w:rPr>
          <w:rFonts w:ascii="Times New Roman" w:eastAsia="Calibri" w:hAnsi="Times New Roman" w:cs="Times New Roman"/>
          <w:noProof/>
        </w:rPr>
        <w:t>(thinkStep 2015)</w:t>
      </w:r>
      <w:r w:rsidR="00FE25DA" w:rsidRPr="0054285D">
        <w:rPr>
          <w:rFonts w:ascii="Times New Roman" w:eastAsia="Calibri" w:hAnsi="Times New Roman" w:cs="Times New Roman"/>
        </w:rPr>
        <w:t>.</w:t>
      </w:r>
      <w:bookmarkEnd w:id="351"/>
      <w:r w:rsidR="00AE1415" w:rsidRPr="0054285D">
        <w:rPr>
          <w:rFonts w:ascii="Times New Roman" w:eastAsia="Calibri" w:hAnsi="Times New Roman" w:cs="Times New Roman"/>
        </w:rPr>
        <w:t xml:space="preserve"> </w:t>
      </w:r>
    </w:p>
    <w:p w:rsidR="0054285D" w:rsidRDefault="0054285D" w:rsidP="00577AED">
      <w:pPr>
        <w:rPr>
          <w:rFonts w:ascii="Times New Roman" w:eastAsia="Calibri" w:hAnsi="Times New Roman" w:cs="Times New Roman"/>
        </w:rPr>
      </w:pPr>
    </w:p>
    <w:p w:rsidR="0054285D" w:rsidRDefault="0054285D" w:rsidP="00577AED">
      <w:pPr>
        <w:rPr>
          <w:rFonts w:ascii="Times New Roman" w:eastAsia="Calibri" w:hAnsi="Times New Roman" w:cs="Times New Roman"/>
        </w:rPr>
        <w:sectPr w:rsidR="0054285D" w:rsidSect="00C24042">
          <w:pgSz w:w="11906" w:h="16838"/>
          <w:pgMar w:top="1440" w:right="1440" w:bottom="1440" w:left="1440" w:header="708" w:footer="708" w:gutter="0"/>
          <w:cols w:space="708"/>
          <w:docGrid w:linePitch="360"/>
        </w:sectPr>
      </w:pPr>
    </w:p>
    <w:p w:rsidR="00AE7A4C" w:rsidRPr="0054285D" w:rsidRDefault="00217B6A" w:rsidP="0054285D">
      <w:pPr>
        <w:pStyle w:val="Heading3"/>
      </w:pPr>
      <w:r w:rsidRPr="0054285D">
        <w:rPr>
          <w:rStyle w:val="Heading3Char"/>
        </w:rPr>
        <w:lastRenderedPageBreak/>
        <w:t>D8.Fer</w:t>
      </w:r>
      <w:r w:rsidR="0054285D" w:rsidRPr="0054285D">
        <w:rPr>
          <w:rStyle w:val="Heading3Char"/>
        </w:rPr>
        <w:t xml:space="preserve">ro-Titanium </w:t>
      </w:r>
    </w:p>
    <w:p w:rsidR="00AE7A4C" w:rsidRPr="0054285D" w:rsidRDefault="00AE7A4C" w:rsidP="00B112CC">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The only viable literatu</w:t>
      </w:r>
      <w:r w:rsidR="004713A9" w:rsidRPr="0054285D">
        <w:rPr>
          <w:rFonts w:ascii="Times New Roman" w:eastAsia="Calibri" w:hAnsi="Times New Roman" w:cs="Times New Roman"/>
        </w:rPr>
        <w:t>re source located to model ferrotitanium</w:t>
      </w:r>
      <w:r w:rsidRPr="0054285D">
        <w:rPr>
          <w:rFonts w:ascii="Times New Roman" w:eastAsia="Calibri" w:hAnsi="Times New Roman" w:cs="Times New Roman"/>
        </w:rPr>
        <w:t xml:space="preserve"> was from </w:t>
      </w:r>
      <w:r w:rsidR="004713A9" w:rsidRPr="0054285D">
        <w:rPr>
          <w:rFonts w:ascii="Times New Roman" w:eastAsia="Calibri" w:hAnsi="Times New Roman" w:cs="Times New Roman"/>
          <w:noProof/>
        </w:rPr>
        <w:t>(Gasik.M 2013)</w:t>
      </w:r>
      <w:r w:rsidR="00D21BC7" w:rsidRPr="0054285D">
        <w:rPr>
          <w:rFonts w:ascii="Times New Roman" w:eastAsia="Calibri" w:hAnsi="Times New Roman" w:cs="Times New Roman"/>
        </w:rPr>
        <w:t>. The literature source provided sufficient data</w:t>
      </w:r>
      <w:r w:rsidR="00B112CC" w:rsidRPr="0054285D">
        <w:rPr>
          <w:rFonts w:ascii="Times New Roman" w:eastAsia="Calibri" w:hAnsi="Times New Roman" w:cs="Times New Roman"/>
        </w:rPr>
        <w:t xml:space="preserve">, see </w:t>
      </w:r>
      <w:r w:rsidR="009A0ED7" w:rsidRPr="0054285D">
        <w:rPr>
          <w:rFonts w:ascii="Times New Roman" w:eastAsia="Calibri" w:hAnsi="Times New Roman" w:cs="Times New Roman"/>
        </w:rPr>
        <w:fldChar w:fldCharType="begin"/>
      </w:r>
      <w:r w:rsidR="00B112CC" w:rsidRPr="0054285D">
        <w:rPr>
          <w:rFonts w:ascii="Times New Roman" w:eastAsia="Calibri" w:hAnsi="Times New Roman" w:cs="Times New Roman"/>
        </w:rPr>
        <w:instrText xml:space="preserve"> REF _Ref468623145 \h </w:instrText>
      </w:r>
      <w:r w:rsidR="0054285D">
        <w:rPr>
          <w:rFonts w:ascii="Times New Roman" w:eastAsia="Calibri" w:hAnsi="Times New Roman" w:cs="Times New Roman"/>
        </w:rPr>
        <w:instrText xml:space="preserve"> \* MERGEFORMAT </w:instrText>
      </w:r>
      <w:r w:rsidR="009A0ED7" w:rsidRPr="0054285D">
        <w:rPr>
          <w:rFonts w:ascii="Times New Roman" w:eastAsia="Calibri" w:hAnsi="Times New Roman" w:cs="Times New Roman"/>
        </w:rPr>
      </w:r>
      <w:r w:rsidR="009A0ED7" w:rsidRPr="0054285D">
        <w:rPr>
          <w:rFonts w:ascii="Times New Roman" w:eastAsia="Calibri" w:hAnsi="Times New Roman" w:cs="Times New Roman"/>
        </w:rPr>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60</w:t>
      </w:r>
      <w:r w:rsidR="009A0ED7" w:rsidRPr="0054285D">
        <w:rPr>
          <w:rFonts w:ascii="Times New Roman" w:eastAsia="Calibri" w:hAnsi="Times New Roman" w:cs="Times New Roman"/>
        </w:rPr>
        <w:fldChar w:fldCharType="end"/>
      </w:r>
      <w:r w:rsidR="00B112CC" w:rsidRPr="0054285D">
        <w:rPr>
          <w:rFonts w:ascii="Times New Roman" w:eastAsia="Calibri" w:hAnsi="Times New Roman" w:cs="Times New Roman"/>
        </w:rPr>
        <w:t>,</w:t>
      </w:r>
      <w:r w:rsidR="00D21BC7" w:rsidRPr="0054285D">
        <w:rPr>
          <w:rFonts w:ascii="Times New Roman" w:eastAsia="Calibri" w:hAnsi="Times New Roman" w:cs="Times New Roman"/>
        </w:rPr>
        <w:t xml:space="preserve"> to create a model of ferrotitanium production based on</w:t>
      </w:r>
      <w:r w:rsidR="00B112CC" w:rsidRPr="0054285D">
        <w:rPr>
          <w:rFonts w:ascii="Times New Roman" w:eastAsia="Calibri" w:hAnsi="Times New Roman" w:cs="Times New Roman"/>
        </w:rPr>
        <w:t xml:space="preserve"> an</w:t>
      </w:r>
      <w:r w:rsidR="00D21BC7" w:rsidRPr="0054285D">
        <w:rPr>
          <w:rFonts w:ascii="Times New Roman" w:eastAsia="Calibri" w:hAnsi="Times New Roman" w:cs="Times New Roman"/>
        </w:rPr>
        <w:t xml:space="preserve"> aluminothermic reduction process.</w:t>
      </w:r>
      <w:r w:rsidR="00B112CC" w:rsidRPr="0054285D">
        <w:rPr>
          <w:rFonts w:ascii="Times New Roman" w:eastAsia="Calibri" w:hAnsi="Times New Roman" w:cs="Times New Roman"/>
        </w:rPr>
        <w:t xml:space="preserve"> </w:t>
      </w:r>
    </w:p>
    <w:p w:rsidR="00AE7A4C" w:rsidRPr="0054285D" w:rsidRDefault="0079541A" w:rsidP="0079541A">
      <w:pPr>
        <w:rPr>
          <w:rFonts w:ascii="Times New Roman" w:eastAsia="Calibri" w:hAnsi="Times New Roman" w:cs="Times New Roman"/>
        </w:rPr>
      </w:pPr>
      <w:bookmarkStart w:id="352" w:name="_Ref468623145"/>
      <w:bookmarkStart w:id="353" w:name="_Toc474486567"/>
      <w:bookmarkStart w:id="354" w:name="_Toc495852738"/>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60</w:t>
      </w:r>
      <w:r w:rsidR="009A0ED7" w:rsidRPr="0054285D">
        <w:rPr>
          <w:rFonts w:ascii="Times New Roman" w:hAnsi="Times New Roman" w:cs="Times New Roman"/>
        </w:rPr>
        <w:fldChar w:fldCharType="end"/>
      </w:r>
      <w:bookmarkEnd w:id="352"/>
      <w:r w:rsidRPr="0054285D">
        <w:rPr>
          <w:rFonts w:ascii="Times New Roman" w:hAnsi="Times New Roman" w:cs="Times New Roman"/>
        </w:rPr>
        <w:t xml:space="preserve">. </w:t>
      </w:r>
      <w:r w:rsidR="00AE7A4C" w:rsidRPr="0054285D">
        <w:rPr>
          <w:rFonts w:ascii="Times New Roman" w:eastAsia="Calibri" w:hAnsi="Times New Roman" w:cs="Times New Roman"/>
        </w:rPr>
        <w:t xml:space="preserve">Inventory for </w:t>
      </w:r>
      <w:r w:rsidR="00D21BC7" w:rsidRPr="0054285D">
        <w:rPr>
          <w:rFonts w:ascii="Times New Roman" w:eastAsia="Calibri" w:hAnsi="Times New Roman" w:cs="Times New Roman"/>
        </w:rPr>
        <w:t xml:space="preserve">ferrotitanium production </w:t>
      </w:r>
      <w:r w:rsidR="00D21BC7" w:rsidRPr="0054285D">
        <w:rPr>
          <w:rFonts w:ascii="Times New Roman" w:eastAsia="Calibri" w:hAnsi="Times New Roman" w:cs="Times New Roman"/>
          <w:noProof/>
        </w:rPr>
        <w:t>(Gasik.M 2013)</w:t>
      </w:r>
      <w:r w:rsidR="00D21BC7" w:rsidRPr="0054285D">
        <w:rPr>
          <w:rFonts w:ascii="Times New Roman" w:eastAsia="Calibri" w:hAnsi="Times New Roman" w:cs="Times New Roman"/>
        </w:rPr>
        <w:t>.</w:t>
      </w:r>
      <w:bookmarkEnd w:id="353"/>
      <w:bookmarkEnd w:id="354"/>
    </w:p>
    <w:tbl>
      <w:tblPr>
        <w:tblW w:w="4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0"/>
        <w:gridCol w:w="999"/>
        <w:gridCol w:w="1417"/>
      </w:tblGrid>
      <w:tr w:rsidR="0079541A" w:rsidRPr="0054285D" w:rsidTr="00D2436E">
        <w:trPr>
          <w:trHeight w:val="300"/>
          <w:jc w:val="center"/>
        </w:trPr>
        <w:tc>
          <w:tcPr>
            <w:tcW w:w="2120"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Input</w:t>
            </w:r>
          </w:p>
        </w:tc>
        <w:tc>
          <w:tcPr>
            <w:tcW w:w="999"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Quantity</w:t>
            </w:r>
          </w:p>
        </w:tc>
        <w:tc>
          <w:tcPr>
            <w:tcW w:w="1417"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Units</w:t>
            </w:r>
          </w:p>
        </w:tc>
      </w:tr>
      <w:tr w:rsidR="0079541A" w:rsidRPr="0054285D" w:rsidTr="00D2436E">
        <w:trPr>
          <w:trHeight w:val="360"/>
          <w:jc w:val="center"/>
        </w:trPr>
        <w:tc>
          <w:tcPr>
            <w:tcW w:w="2120"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Ilmenite Concentrate</w:t>
            </w:r>
          </w:p>
        </w:tc>
        <w:tc>
          <w:tcPr>
            <w:tcW w:w="999"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940.00</w:t>
            </w:r>
          </w:p>
        </w:tc>
        <w:tc>
          <w:tcPr>
            <w:tcW w:w="1417"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kg / t Fe-Ti</w:t>
            </w:r>
          </w:p>
        </w:tc>
      </w:tr>
      <w:tr w:rsidR="0079541A" w:rsidRPr="0054285D" w:rsidTr="00D2436E">
        <w:trPr>
          <w:trHeight w:val="300"/>
          <w:jc w:val="center"/>
        </w:trPr>
        <w:tc>
          <w:tcPr>
            <w:tcW w:w="2120"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Aluminium Powder</w:t>
            </w:r>
          </w:p>
        </w:tc>
        <w:tc>
          <w:tcPr>
            <w:tcW w:w="999"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400.00</w:t>
            </w:r>
          </w:p>
        </w:tc>
        <w:tc>
          <w:tcPr>
            <w:tcW w:w="1417"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kg / t Fe-Ti</w:t>
            </w:r>
          </w:p>
        </w:tc>
      </w:tr>
      <w:tr w:rsidR="0079541A" w:rsidRPr="0054285D" w:rsidTr="00D2436E">
        <w:trPr>
          <w:trHeight w:val="300"/>
          <w:jc w:val="center"/>
        </w:trPr>
        <w:tc>
          <w:tcPr>
            <w:tcW w:w="2120"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Lime </w:t>
            </w:r>
          </w:p>
        </w:tc>
        <w:tc>
          <w:tcPr>
            <w:tcW w:w="999"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100.00</w:t>
            </w:r>
          </w:p>
        </w:tc>
        <w:tc>
          <w:tcPr>
            <w:tcW w:w="1417"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kg / t Fe-Ti</w:t>
            </w:r>
          </w:p>
        </w:tc>
      </w:tr>
      <w:tr w:rsidR="0079541A" w:rsidRPr="0054285D" w:rsidTr="00D2436E">
        <w:trPr>
          <w:trHeight w:val="300"/>
          <w:jc w:val="center"/>
        </w:trPr>
        <w:tc>
          <w:tcPr>
            <w:tcW w:w="2120"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Fe-Si (75%Si)</w:t>
            </w:r>
          </w:p>
        </w:tc>
        <w:tc>
          <w:tcPr>
            <w:tcW w:w="999"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24.00</w:t>
            </w:r>
          </w:p>
        </w:tc>
        <w:tc>
          <w:tcPr>
            <w:tcW w:w="1417"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kg / t Fe-Ti</w:t>
            </w:r>
          </w:p>
        </w:tc>
      </w:tr>
      <w:tr w:rsidR="0079541A" w:rsidRPr="0054285D" w:rsidTr="00D2436E">
        <w:trPr>
          <w:trHeight w:val="300"/>
          <w:jc w:val="center"/>
        </w:trPr>
        <w:tc>
          <w:tcPr>
            <w:tcW w:w="2120"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Iron Ore</w:t>
            </w:r>
          </w:p>
        </w:tc>
        <w:tc>
          <w:tcPr>
            <w:tcW w:w="999"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130.00</w:t>
            </w:r>
          </w:p>
        </w:tc>
        <w:tc>
          <w:tcPr>
            <w:tcW w:w="1417"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kg / t Fe-Ti</w:t>
            </w:r>
          </w:p>
        </w:tc>
      </w:tr>
      <w:tr w:rsidR="0079541A" w:rsidRPr="0054285D" w:rsidTr="00D2436E">
        <w:trPr>
          <w:trHeight w:val="300"/>
          <w:jc w:val="center"/>
        </w:trPr>
        <w:tc>
          <w:tcPr>
            <w:tcW w:w="2120"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Ti Scrap</w:t>
            </w:r>
          </w:p>
        </w:tc>
        <w:tc>
          <w:tcPr>
            <w:tcW w:w="999"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10.00</w:t>
            </w:r>
          </w:p>
        </w:tc>
        <w:tc>
          <w:tcPr>
            <w:tcW w:w="1417" w:type="dxa"/>
            <w:shd w:val="clear" w:color="auto" w:fill="auto"/>
            <w:noWrap/>
            <w:vAlign w:val="bottom"/>
            <w:hideMark/>
          </w:tcPr>
          <w:p w:rsidR="0079541A" w:rsidRPr="0054285D" w:rsidRDefault="0079541A"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kg / t Fe-Ti</w:t>
            </w:r>
          </w:p>
        </w:tc>
      </w:tr>
    </w:tbl>
    <w:p w:rsidR="00B112CC" w:rsidRPr="0054285D" w:rsidRDefault="00B112CC" w:rsidP="00AE7A4C">
      <w:pPr>
        <w:spacing w:line="360" w:lineRule="auto"/>
        <w:jc w:val="both"/>
        <w:rPr>
          <w:rFonts w:ascii="Times New Roman" w:eastAsia="Calibri" w:hAnsi="Times New Roman" w:cs="Times New Roman"/>
        </w:rPr>
      </w:pPr>
    </w:p>
    <w:p w:rsidR="00AE7A4C" w:rsidRPr="0054285D" w:rsidRDefault="00B112CC" w:rsidP="00B112CC">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For this process, silicon was used as a reducing agent but is problematic since it has lower affinity for oxygen than titanium. Thus, recovery of titanium dioxide is only possible with a high content of silicon in the ferro-alloy. To create the model, the </w:t>
      </w:r>
      <w:r w:rsidR="00AE7A4C" w:rsidRPr="0054285D">
        <w:rPr>
          <w:rFonts w:ascii="Times New Roman" w:eastAsia="Calibri" w:hAnsi="Times New Roman" w:cs="Times New Roman"/>
        </w:rPr>
        <w:t xml:space="preserve">functional </w:t>
      </w:r>
      <w:r w:rsidRPr="0054285D">
        <w:rPr>
          <w:rFonts w:ascii="Times New Roman" w:eastAsia="Calibri" w:hAnsi="Times New Roman" w:cs="Times New Roman"/>
        </w:rPr>
        <w:t>unit was set as 1000 kg of ferrotitanium</w:t>
      </w:r>
      <w:r w:rsidR="00AE7A4C" w:rsidRPr="0054285D">
        <w:rPr>
          <w:rFonts w:ascii="Times New Roman" w:eastAsia="Calibri" w:hAnsi="Times New Roman" w:cs="Times New Roman"/>
        </w:rPr>
        <w:t xml:space="preserve"> and the model created in a single stage with all input processes obtained from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and connected to the ferro-alloy production stage. Electricity was assumed to be already included in the inputs and not included as a separate input. Additionally it was as</w:t>
      </w:r>
      <w:r w:rsidRPr="0054285D">
        <w:rPr>
          <w:rFonts w:ascii="Times New Roman" w:eastAsia="Calibri" w:hAnsi="Times New Roman" w:cs="Times New Roman"/>
        </w:rPr>
        <w:t>sumed that the process itself was</w:t>
      </w:r>
      <w:r w:rsidR="00AE7A4C" w:rsidRPr="0054285D">
        <w:rPr>
          <w:rFonts w:ascii="Times New Roman" w:eastAsia="Calibri" w:hAnsi="Times New Roman" w:cs="Times New Roman"/>
        </w:rPr>
        <w:t xml:space="preserve"> exothermic but is initiated with either magnesium or a spark. From all the inputs, titanium scrap was not available and so titanium metal was used as an alternative. The complete process</w:t>
      </w:r>
      <w:r w:rsidRPr="0054285D">
        <w:rPr>
          <w:rFonts w:ascii="Times New Roman" w:eastAsia="Calibri" w:hAnsi="Times New Roman" w:cs="Times New Roman"/>
        </w:rPr>
        <w:t xml:space="preserve"> can be seen in </w:t>
      </w:r>
      <w:r w:rsidR="00A6415F" w:rsidRPr="0054285D">
        <w:fldChar w:fldCharType="begin"/>
      </w:r>
      <w:r w:rsidR="00A6415F" w:rsidRPr="0054285D">
        <w:instrText xml:space="preserve"> REF _Ref473907909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87</w:t>
      </w:r>
      <w:r w:rsidR="00A6415F" w:rsidRPr="0054285D">
        <w:fldChar w:fldCharType="end"/>
      </w:r>
      <w:r w:rsidR="00AE7A4C" w:rsidRPr="0054285D">
        <w:rPr>
          <w:rFonts w:ascii="Times New Roman" w:eastAsia="Calibri" w:hAnsi="Times New Roman" w:cs="Times New Roman"/>
        </w:rPr>
        <w:t>.</w:t>
      </w:r>
    </w:p>
    <w:p w:rsidR="00AE7A4C" w:rsidRPr="0054285D" w:rsidRDefault="0079541A" w:rsidP="00D2436E">
      <w:pPr>
        <w:spacing w:line="360" w:lineRule="auto"/>
        <w:jc w:val="center"/>
        <w:rPr>
          <w:rFonts w:ascii="Times New Roman" w:eastAsia="Calibri" w:hAnsi="Times New Roman" w:cs="Times New Roman"/>
        </w:rPr>
      </w:pPr>
      <w:r w:rsidRPr="0054285D">
        <w:rPr>
          <w:noProof/>
        </w:rPr>
        <w:drawing>
          <wp:inline distT="0" distB="0" distL="0" distR="0">
            <wp:extent cx="4428961" cy="2509113"/>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srcRect l="41381" t="37818" r="19898" b="23183"/>
                    <a:stretch/>
                  </pic:blipFill>
                  <pic:spPr bwMode="auto">
                    <a:xfrm>
                      <a:off x="0" y="0"/>
                      <a:ext cx="4475126" cy="2535267"/>
                    </a:xfrm>
                    <a:prstGeom prst="rect">
                      <a:avLst/>
                    </a:prstGeom>
                    <a:ln>
                      <a:noFill/>
                    </a:ln>
                    <a:extLst>
                      <a:ext uri="{53640926-AAD7-44D8-BBD7-CCE9431645EC}">
                        <a14:shadowObscured xmlns:a14="http://schemas.microsoft.com/office/drawing/2010/main"/>
                      </a:ext>
                    </a:extLst>
                  </pic:spPr>
                </pic:pic>
              </a:graphicData>
            </a:graphic>
          </wp:inline>
        </w:drawing>
      </w:r>
    </w:p>
    <w:p w:rsidR="00AE7A4C" w:rsidRDefault="0079541A" w:rsidP="0079541A">
      <w:pPr>
        <w:rPr>
          <w:rFonts w:ascii="Times New Roman" w:eastAsia="Calibri" w:hAnsi="Times New Roman" w:cs="Times New Roman"/>
        </w:rPr>
      </w:pPr>
      <w:bookmarkStart w:id="355" w:name="_Ref473907909"/>
      <w:bookmarkStart w:id="356" w:name="_Toc495848420"/>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87</w:t>
      </w:r>
      <w:r w:rsidR="009A0ED7" w:rsidRPr="0054285D">
        <w:rPr>
          <w:rFonts w:ascii="Times New Roman" w:hAnsi="Times New Roman" w:cs="Times New Roman"/>
        </w:rPr>
        <w:fldChar w:fldCharType="end"/>
      </w:r>
      <w:bookmarkEnd w:id="355"/>
      <w:r w:rsidRPr="0054285D">
        <w:rPr>
          <w:rFonts w:ascii="Times New Roman" w:hAnsi="Times New Roman" w:cs="Times New Roman"/>
        </w:rPr>
        <w:t xml:space="preserve">. </w:t>
      </w:r>
      <w:r w:rsidR="00B112CC" w:rsidRPr="0054285D">
        <w:rPr>
          <w:rFonts w:ascii="Times New Roman" w:eastAsia="Calibri" w:hAnsi="Times New Roman" w:cs="Times New Roman"/>
        </w:rPr>
        <w:t>Ferrotitanium</w:t>
      </w:r>
      <w:r w:rsidR="00AE7A4C" w:rsidRPr="0054285D">
        <w:rPr>
          <w:rFonts w:ascii="Times New Roman" w:eastAsia="Calibri" w:hAnsi="Times New Roman" w:cs="Times New Roman"/>
        </w:rPr>
        <w:t xml:space="preserve"> production via Gasik data source.</w:t>
      </w:r>
      <w:bookmarkEnd w:id="356"/>
    </w:p>
    <w:p w:rsidR="0054285D" w:rsidRPr="0054285D" w:rsidRDefault="0054285D" w:rsidP="0079541A">
      <w:pPr>
        <w:rPr>
          <w:rFonts w:ascii="Times New Roman" w:eastAsia="Calibri" w:hAnsi="Times New Roman" w:cs="Times New Roman"/>
        </w:rPr>
      </w:pPr>
    </w:p>
    <w:p w:rsidR="0054285D" w:rsidRDefault="0054285D" w:rsidP="0079541A">
      <w:pPr>
        <w:rPr>
          <w:rFonts w:ascii="Times New Roman" w:eastAsia="Calibri" w:hAnsi="Times New Roman" w:cs="Times New Roman"/>
        </w:rPr>
        <w:sectPr w:rsidR="0054285D" w:rsidSect="00C24042">
          <w:pgSz w:w="11906" w:h="16838"/>
          <w:pgMar w:top="1440" w:right="1440" w:bottom="1440" w:left="1440" w:header="708" w:footer="708" w:gutter="0"/>
          <w:cols w:space="708"/>
          <w:docGrid w:linePitch="360"/>
        </w:sectPr>
      </w:pPr>
    </w:p>
    <w:p w:rsidR="00AE7A4C" w:rsidRPr="0054285D" w:rsidRDefault="00AE7A4C" w:rsidP="0054285D">
      <w:pPr>
        <w:pStyle w:val="Heading3"/>
      </w:pPr>
      <w:r w:rsidRPr="0054285D">
        <w:lastRenderedPageBreak/>
        <w:t>D9.Ferr</w:t>
      </w:r>
      <w:r w:rsidR="0054285D" w:rsidRPr="0054285D">
        <w:t xml:space="preserve">o-Vanadium </w:t>
      </w:r>
    </w:p>
    <w:p w:rsidR="0071244B" w:rsidRPr="0054285D" w:rsidRDefault="008E6D0D" w:rsidP="0071244B">
      <w:pPr>
        <w:spacing w:after="0" w:line="360" w:lineRule="auto"/>
        <w:ind w:firstLine="720"/>
        <w:jc w:val="both"/>
        <w:rPr>
          <w:rFonts w:ascii="Times New Roman" w:eastAsia="Calibri" w:hAnsi="Times New Roman" w:cs="Times New Roman"/>
        </w:rPr>
      </w:pPr>
      <w:r w:rsidRPr="0054285D">
        <w:rPr>
          <w:rFonts w:ascii="Times New Roman" w:hAnsi="Times New Roman" w:cs="Times New Roman"/>
        </w:rPr>
        <w:t xml:space="preserve">Although a ‘ferrovanadium’ process existed in </w:t>
      </w:r>
      <w:r w:rsidR="004D2D91" w:rsidRPr="0054285D">
        <w:rPr>
          <w:rFonts w:ascii="Times New Roman" w:hAnsi="Times New Roman" w:cs="Times New Roman"/>
        </w:rPr>
        <w:t>GaBi</w:t>
      </w:r>
      <w:r w:rsidRPr="0054285D">
        <w:rPr>
          <w:rFonts w:ascii="Times New Roman" w:hAnsi="Times New Roman" w:cs="Times New Roman"/>
        </w:rPr>
        <w:t>, supporting documentation relating to the creation of the process, particularly sources of data, was limited and unclear. However, documentation</w:t>
      </w:r>
      <w:r w:rsidR="00D46FA5" w:rsidRPr="0054285D">
        <w:rPr>
          <w:rFonts w:ascii="Times New Roman" w:hAnsi="Times New Roman" w:cs="Times New Roman"/>
        </w:rPr>
        <w:t xml:space="preserve"> that was available</w:t>
      </w:r>
      <w:r w:rsidRPr="0054285D">
        <w:rPr>
          <w:rFonts w:ascii="Times New Roman" w:hAnsi="Times New Roman" w:cs="Times New Roman"/>
        </w:rPr>
        <w:t xml:space="preserve"> state</w:t>
      </w:r>
      <w:r w:rsidR="0071244B" w:rsidRPr="0054285D">
        <w:rPr>
          <w:rFonts w:ascii="Times New Roman" w:hAnsi="Times New Roman" w:cs="Times New Roman"/>
        </w:rPr>
        <w:t>d</w:t>
      </w:r>
      <w:r w:rsidRPr="0054285D">
        <w:rPr>
          <w:rFonts w:ascii="Times New Roman" w:hAnsi="Times New Roman" w:cs="Times New Roman"/>
        </w:rPr>
        <w:t xml:space="preserve"> the process created by </w:t>
      </w:r>
      <w:r w:rsidR="004D2D91" w:rsidRPr="0054285D">
        <w:rPr>
          <w:rFonts w:ascii="Times New Roman" w:eastAsia="Calibri" w:hAnsi="Times New Roman" w:cs="Times New Roman"/>
        </w:rPr>
        <w:t>GaBi</w:t>
      </w:r>
      <w:r w:rsidR="0071244B" w:rsidRPr="0054285D">
        <w:rPr>
          <w:rFonts w:ascii="Times New Roman" w:eastAsia="Calibri" w:hAnsi="Times New Roman" w:cs="Times New Roman"/>
        </w:rPr>
        <w:t xml:space="preserve">, has </w:t>
      </w:r>
      <w:r w:rsidRPr="0054285D">
        <w:rPr>
          <w:rFonts w:ascii="Times New Roman" w:eastAsia="Calibri" w:hAnsi="Times New Roman" w:cs="Times New Roman"/>
        </w:rPr>
        <w:t xml:space="preserve">being based on ferrovanadium production in South Africa, with </w:t>
      </w:r>
      <w:r w:rsidR="0071244B" w:rsidRPr="0054285D">
        <w:rPr>
          <w:rFonts w:ascii="Times New Roman" w:eastAsia="Calibri" w:hAnsi="Times New Roman" w:cs="Times New Roman"/>
        </w:rPr>
        <w:t>South African system boundaries applied. The ore content of vanadium pentoxide (V</w:t>
      </w:r>
      <w:r w:rsidR="0071244B" w:rsidRPr="0054285D">
        <w:rPr>
          <w:rFonts w:ascii="Times New Roman" w:eastAsia="Calibri" w:hAnsi="Times New Roman" w:cs="Times New Roman"/>
          <w:vertAlign w:val="subscript"/>
        </w:rPr>
        <w:t>2</w:t>
      </w:r>
      <w:r w:rsidR="0071244B" w:rsidRPr="0054285D">
        <w:rPr>
          <w:rFonts w:ascii="Times New Roman" w:eastAsia="Calibri" w:hAnsi="Times New Roman" w:cs="Times New Roman"/>
        </w:rPr>
        <w:t>O</w:t>
      </w:r>
      <w:r w:rsidR="0071244B" w:rsidRPr="0054285D">
        <w:rPr>
          <w:rFonts w:ascii="Times New Roman" w:eastAsia="Calibri" w:hAnsi="Times New Roman" w:cs="Times New Roman"/>
          <w:vertAlign w:val="subscript"/>
        </w:rPr>
        <w:t>5</w:t>
      </w:r>
      <w:r w:rsidR="0071244B" w:rsidRPr="0054285D">
        <w:rPr>
          <w:rFonts w:ascii="Times New Roman" w:eastAsia="Calibri" w:hAnsi="Times New Roman" w:cs="Times New Roman"/>
        </w:rPr>
        <w:t>) in the ore was approximately 0.98 % with almost 30% of V</w:t>
      </w:r>
      <w:r w:rsidR="0071244B" w:rsidRPr="0054285D">
        <w:rPr>
          <w:rFonts w:ascii="Times New Roman" w:eastAsia="Calibri" w:hAnsi="Times New Roman" w:cs="Times New Roman"/>
          <w:vertAlign w:val="subscript"/>
        </w:rPr>
        <w:t>2</w:t>
      </w:r>
      <w:r w:rsidR="0071244B" w:rsidRPr="0054285D">
        <w:rPr>
          <w:rFonts w:ascii="Times New Roman" w:eastAsia="Calibri" w:hAnsi="Times New Roman" w:cs="Times New Roman"/>
        </w:rPr>
        <w:t>0</w:t>
      </w:r>
      <w:r w:rsidR="0071244B" w:rsidRPr="0054285D">
        <w:rPr>
          <w:rFonts w:ascii="Times New Roman" w:eastAsia="Calibri" w:hAnsi="Times New Roman" w:cs="Times New Roman"/>
          <w:vertAlign w:val="subscript"/>
        </w:rPr>
        <w:t xml:space="preserve">5 </w:t>
      </w:r>
      <w:r w:rsidR="0071244B" w:rsidRPr="0054285D">
        <w:rPr>
          <w:rFonts w:ascii="Times New Roman" w:eastAsia="Calibri" w:hAnsi="Times New Roman" w:cs="Times New Roman"/>
        </w:rPr>
        <w:t>lost up to the point of precipitation. The process was based on a functional unit of 1kg ferrovanadium (V 80%).</w:t>
      </w:r>
    </w:p>
    <w:p w:rsidR="007F546A" w:rsidRPr="0054285D" w:rsidRDefault="008E6D0D" w:rsidP="0071244B">
      <w:pPr>
        <w:spacing w:after="0" w:line="360" w:lineRule="auto"/>
        <w:ind w:firstLine="720"/>
        <w:jc w:val="both"/>
        <w:rPr>
          <w:rFonts w:ascii="Times New Roman" w:eastAsia="Calibri" w:hAnsi="Times New Roman" w:cs="Times New Roman"/>
          <w:shd w:val="clear" w:color="auto" w:fill="FFFFFF"/>
        </w:rPr>
      </w:pPr>
      <w:r w:rsidRPr="0054285D">
        <w:rPr>
          <w:rFonts w:ascii="Times New Roman" w:eastAsia="Calibri" w:hAnsi="Times New Roman" w:cs="Times New Roman"/>
          <w:shd w:val="clear" w:color="auto" w:fill="FFFFFF"/>
        </w:rPr>
        <w:t>In terms of production, the</w:t>
      </w:r>
      <w:r w:rsidR="0071244B" w:rsidRPr="0054285D">
        <w:rPr>
          <w:rFonts w:ascii="Times New Roman" w:eastAsia="Calibri" w:hAnsi="Times New Roman" w:cs="Times New Roman"/>
          <w:shd w:val="clear" w:color="auto" w:fill="FFFFFF"/>
        </w:rPr>
        <w:t xml:space="preserve"> documentation stated the</w:t>
      </w:r>
      <w:r w:rsidRPr="0054285D">
        <w:rPr>
          <w:rFonts w:ascii="Times New Roman" w:eastAsia="Calibri" w:hAnsi="Times New Roman" w:cs="Times New Roman"/>
          <w:shd w:val="clear" w:color="auto" w:fill="FFFFFF"/>
        </w:rPr>
        <w:t xml:space="preserve"> primary </w:t>
      </w:r>
      <w:r w:rsidR="0071244B" w:rsidRPr="0054285D">
        <w:rPr>
          <w:rFonts w:ascii="Times New Roman" w:eastAsia="Calibri" w:hAnsi="Times New Roman" w:cs="Times New Roman"/>
          <w:shd w:val="clear" w:color="auto" w:fill="FFFFFF"/>
        </w:rPr>
        <w:t>ore for vanadium was</w:t>
      </w:r>
      <w:r w:rsidRPr="0054285D">
        <w:rPr>
          <w:rFonts w:ascii="Times New Roman" w:eastAsia="Calibri" w:hAnsi="Times New Roman" w:cs="Times New Roman"/>
          <w:shd w:val="clear" w:color="auto" w:fill="FFFFFF"/>
        </w:rPr>
        <w:t xml:space="preserve"> Titaniferrous magnetite (TFM)</w:t>
      </w:r>
      <w:r w:rsidR="0071244B" w:rsidRPr="0054285D">
        <w:rPr>
          <w:rFonts w:ascii="Times New Roman" w:eastAsia="Calibri" w:hAnsi="Times New Roman" w:cs="Times New Roman"/>
          <w:shd w:val="clear" w:color="auto" w:fill="FFFFFF"/>
        </w:rPr>
        <w:t xml:space="preserve"> ore</w:t>
      </w:r>
      <w:r w:rsidRPr="0054285D">
        <w:rPr>
          <w:rFonts w:ascii="Times New Roman" w:eastAsia="Calibri" w:hAnsi="Times New Roman" w:cs="Times New Roman"/>
          <w:shd w:val="clear" w:color="auto" w:fill="FFFFFF"/>
        </w:rPr>
        <w:t xml:space="preserve">. </w:t>
      </w:r>
      <w:r w:rsidR="0071244B" w:rsidRPr="0054285D">
        <w:rPr>
          <w:rFonts w:ascii="Times New Roman" w:eastAsia="Calibri" w:hAnsi="Times New Roman" w:cs="Times New Roman"/>
          <w:shd w:val="clear" w:color="auto" w:fill="FFFFFF"/>
        </w:rPr>
        <w:t>Production of ferrovanadium, consisted of concentrating the ore followed by grinding and magnetic separation processes. The magnetite concentrate is then subjected to a conventional roast leach precipitation process for the recovery of vanadium as Vanadium Trioxide (V</w:t>
      </w:r>
      <w:r w:rsidR="0071244B" w:rsidRPr="0054285D">
        <w:rPr>
          <w:rFonts w:ascii="Times New Roman" w:eastAsia="Calibri" w:hAnsi="Times New Roman" w:cs="Times New Roman"/>
          <w:shd w:val="clear" w:color="auto" w:fill="FFFFFF"/>
          <w:vertAlign w:val="subscript"/>
        </w:rPr>
        <w:t>2</w:t>
      </w:r>
      <w:r w:rsidR="0071244B" w:rsidRPr="0054285D">
        <w:rPr>
          <w:rFonts w:ascii="Times New Roman" w:eastAsia="Calibri" w:hAnsi="Times New Roman" w:cs="Times New Roman"/>
          <w:shd w:val="clear" w:color="auto" w:fill="FFFFFF"/>
        </w:rPr>
        <w:t>O</w:t>
      </w:r>
      <w:r w:rsidR="0071244B" w:rsidRPr="0054285D">
        <w:rPr>
          <w:rFonts w:ascii="Times New Roman" w:eastAsia="Calibri" w:hAnsi="Times New Roman" w:cs="Times New Roman"/>
          <w:shd w:val="clear" w:color="auto" w:fill="FFFFFF"/>
          <w:vertAlign w:val="subscript"/>
        </w:rPr>
        <w:t>3</w:t>
      </w:r>
      <w:r w:rsidR="0071244B" w:rsidRPr="0054285D">
        <w:rPr>
          <w:rFonts w:ascii="Times New Roman" w:eastAsia="Calibri" w:hAnsi="Times New Roman" w:cs="Times New Roman"/>
          <w:shd w:val="clear" w:color="auto" w:fill="FFFFFF"/>
        </w:rPr>
        <w:t>) or Vanadium Pentoxide (V</w:t>
      </w:r>
      <w:r w:rsidR="0071244B" w:rsidRPr="0054285D">
        <w:rPr>
          <w:rFonts w:ascii="Times New Roman" w:eastAsia="Calibri" w:hAnsi="Times New Roman" w:cs="Times New Roman"/>
          <w:shd w:val="clear" w:color="auto" w:fill="FFFFFF"/>
          <w:vertAlign w:val="subscript"/>
        </w:rPr>
        <w:t>2</w:t>
      </w:r>
      <w:r w:rsidR="0071244B" w:rsidRPr="0054285D">
        <w:rPr>
          <w:rFonts w:ascii="Times New Roman" w:eastAsia="Calibri" w:hAnsi="Times New Roman" w:cs="Times New Roman"/>
          <w:shd w:val="clear" w:color="auto" w:fill="FFFFFF"/>
        </w:rPr>
        <w:t>O</w:t>
      </w:r>
      <w:r w:rsidR="0071244B" w:rsidRPr="0054285D">
        <w:rPr>
          <w:rFonts w:ascii="Times New Roman" w:eastAsia="Calibri" w:hAnsi="Times New Roman" w:cs="Times New Roman"/>
          <w:shd w:val="clear" w:color="auto" w:fill="FFFFFF"/>
          <w:vertAlign w:val="subscript"/>
        </w:rPr>
        <w:t>5</w:t>
      </w:r>
      <w:r w:rsidR="0071244B" w:rsidRPr="0054285D">
        <w:rPr>
          <w:rFonts w:ascii="Times New Roman" w:eastAsia="Calibri" w:hAnsi="Times New Roman" w:cs="Times New Roman"/>
          <w:shd w:val="clear" w:color="auto" w:fill="FFFFFF"/>
        </w:rPr>
        <w:t xml:space="preserve">). The DC Arc furnace is used to produce 80% vanadium containing </w:t>
      </w:r>
      <w:r w:rsidR="0071244B" w:rsidRPr="0054285D">
        <w:rPr>
          <w:rFonts w:ascii="Times New Roman" w:hAnsi="Times New Roman" w:cs="Times New Roman"/>
        </w:rPr>
        <w:t>ferrovanadium</w:t>
      </w:r>
      <w:r w:rsidR="0071244B" w:rsidRPr="0054285D">
        <w:rPr>
          <w:rFonts w:ascii="Times New Roman" w:eastAsia="Calibri" w:hAnsi="Times New Roman" w:cs="Times New Roman"/>
          <w:shd w:val="clear" w:color="auto" w:fill="FFFFFF"/>
        </w:rPr>
        <w:t xml:space="preserve">. </w:t>
      </w:r>
      <w:r w:rsidR="00A6415F" w:rsidRPr="0054285D">
        <w:fldChar w:fldCharType="begin"/>
      </w:r>
      <w:r w:rsidR="00A6415F" w:rsidRPr="0054285D">
        <w:instrText xml:space="preserve"> REF _Ref473910225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88</w:t>
      </w:r>
      <w:r w:rsidR="00A6415F" w:rsidRPr="0054285D">
        <w:fldChar w:fldCharType="end"/>
      </w:r>
      <w:r w:rsidR="0071244B" w:rsidRPr="0054285D">
        <w:rPr>
          <w:rFonts w:ascii="Times New Roman" w:eastAsia="Calibri" w:hAnsi="Times New Roman" w:cs="Times New Roman"/>
          <w:shd w:val="clear" w:color="auto" w:fill="FFFFFF"/>
        </w:rPr>
        <w:t xml:space="preserve"> summarise the production route as utilised by </w:t>
      </w:r>
      <w:r w:rsidR="004D2D91" w:rsidRPr="0054285D">
        <w:rPr>
          <w:rFonts w:ascii="Times New Roman" w:eastAsia="Calibri" w:hAnsi="Times New Roman" w:cs="Times New Roman"/>
          <w:shd w:val="clear" w:color="auto" w:fill="FFFFFF"/>
        </w:rPr>
        <w:t>GaBi</w:t>
      </w:r>
      <w:r w:rsidR="0071244B" w:rsidRPr="0054285D">
        <w:rPr>
          <w:rFonts w:ascii="Times New Roman" w:eastAsia="Calibri" w:hAnsi="Times New Roman" w:cs="Times New Roman"/>
          <w:shd w:val="clear" w:color="auto" w:fill="FFFFFF"/>
        </w:rPr>
        <w:t xml:space="preserve"> to create ferrovanadium.</w:t>
      </w:r>
    </w:p>
    <w:p w:rsidR="00AE7A4C" w:rsidRPr="0054285D" w:rsidRDefault="003601AA" w:rsidP="00D2436E">
      <w:pPr>
        <w:spacing w:after="0" w:line="360" w:lineRule="auto"/>
        <w:ind w:left="720"/>
        <w:jc w:val="center"/>
        <w:rPr>
          <w:rFonts w:ascii="Times New Roman" w:eastAsia="Calibri" w:hAnsi="Times New Roman" w:cs="Times New Roman"/>
          <w:shd w:val="clear" w:color="auto" w:fill="FFFFFF"/>
        </w:rPr>
      </w:pPr>
      <w:r w:rsidRPr="0054285D">
        <w:rPr>
          <w:noProof/>
        </w:rPr>
        <w:drawing>
          <wp:inline distT="0" distB="0" distL="0" distR="0" wp14:anchorId="239FFB24" wp14:editId="4B72606E">
            <wp:extent cx="4384110" cy="2454014"/>
            <wp:effectExtent l="0" t="0" r="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srcRect l="27884" t="40203" r="32700" b="20573"/>
                    <a:stretch/>
                  </pic:blipFill>
                  <pic:spPr bwMode="auto">
                    <a:xfrm>
                      <a:off x="0" y="0"/>
                      <a:ext cx="4418983" cy="2473534"/>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AE7A4C" w:rsidP="00AE7A4C">
      <w:pPr>
        <w:spacing w:after="0" w:line="360" w:lineRule="auto"/>
        <w:ind w:left="720"/>
        <w:jc w:val="center"/>
        <w:rPr>
          <w:rFonts w:ascii="Times New Roman" w:eastAsia="Calibri" w:hAnsi="Times New Roman" w:cs="Times New Roman"/>
          <w:shd w:val="clear" w:color="auto" w:fill="FFFFFF"/>
        </w:rPr>
      </w:pPr>
    </w:p>
    <w:p w:rsidR="00AE7A4C" w:rsidRPr="0054285D" w:rsidRDefault="0079541A" w:rsidP="0079541A">
      <w:pPr>
        <w:rPr>
          <w:rFonts w:ascii="Times New Roman" w:eastAsia="Calibri" w:hAnsi="Times New Roman" w:cs="Times New Roman"/>
        </w:rPr>
      </w:pPr>
      <w:bookmarkStart w:id="357" w:name="_Ref473910225"/>
      <w:bookmarkStart w:id="358" w:name="_Toc495848421"/>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88</w:t>
      </w:r>
      <w:r w:rsidR="009A0ED7" w:rsidRPr="0054285D">
        <w:rPr>
          <w:rFonts w:ascii="Times New Roman" w:hAnsi="Times New Roman" w:cs="Times New Roman"/>
        </w:rPr>
        <w:fldChar w:fldCharType="end"/>
      </w:r>
      <w:bookmarkEnd w:id="357"/>
      <w:r w:rsidRPr="0054285D">
        <w:rPr>
          <w:rFonts w:ascii="Times New Roman" w:hAnsi="Times New Roman" w:cs="Times New Roman"/>
        </w:rPr>
        <w:t xml:space="preserve">. </w:t>
      </w:r>
      <w:r w:rsidR="00217B6A" w:rsidRPr="0054285D">
        <w:rPr>
          <w:rFonts w:ascii="Times New Roman" w:eastAsia="Calibri" w:hAnsi="Times New Roman" w:cs="Times New Roman"/>
        </w:rPr>
        <w:t xml:space="preserve">Ferrovanadium production by </w:t>
      </w:r>
      <w:r w:rsidR="004D2D91" w:rsidRPr="0054285D">
        <w:rPr>
          <w:rFonts w:ascii="Times New Roman" w:eastAsia="Calibri" w:hAnsi="Times New Roman" w:cs="Times New Roman"/>
        </w:rPr>
        <w:t>GaBi</w:t>
      </w:r>
      <w:r w:rsidR="00217B6A" w:rsidRPr="0054285D">
        <w:rPr>
          <w:rFonts w:ascii="Times New Roman" w:eastAsia="Calibri" w:hAnsi="Times New Roman" w:cs="Times New Roman"/>
        </w:rPr>
        <w:t xml:space="preserve"> </w:t>
      </w:r>
      <w:r w:rsidR="00217B6A" w:rsidRPr="0054285D">
        <w:rPr>
          <w:rFonts w:ascii="Times New Roman" w:eastAsia="Calibri" w:hAnsi="Times New Roman" w:cs="Times New Roman"/>
          <w:noProof/>
        </w:rPr>
        <w:t>(thinkStep 2015)</w:t>
      </w:r>
      <w:r w:rsidR="00217B6A" w:rsidRPr="0054285D">
        <w:rPr>
          <w:rFonts w:ascii="Times New Roman" w:eastAsia="Calibri" w:hAnsi="Times New Roman" w:cs="Times New Roman"/>
        </w:rPr>
        <w:t>.</w:t>
      </w:r>
      <w:bookmarkEnd w:id="358"/>
    </w:p>
    <w:p w:rsidR="0071244B" w:rsidRPr="0054285D" w:rsidRDefault="0071244B" w:rsidP="0071244B">
      <w:pPr>
        <w:tabs>
          <w:tab w:val="left" w:pos="4308"/>
        </w:tabs>
        <w:spacing w:after="0" w:line="360" w:lineRule="auto"/>
        <w:ind w:firstLine="720"/>
        <w:jc w:val="both"/>
        <w:rPr>
          <w:rFonts w:ascii="Times New Roman" w:hAnsi="Times New Roman" w:cs="Times New Roman"/>
          <w:sz w:val="24"/>
        </w:rPr>
      </w:pPr>
      <w:r w:rsidRPr="0054285D">
        <w:rPr>
          <w:rFonts w:ascii="Times New Roman" w:hAnsi="Times New Roman" w:cs="Times New Roman"/>
          <w:sz w:val="24"/>
        </w:rPr>
        <w:tab/>
      </w:r>
    </w:p>
    <w:p w:rsidR="0071244B" w:rsidRPr="0054285D" w:rsidRDefault="0071244B" w:rsidP="0071244B">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Ferrovanadium is primarily produced from steel making slag (approximately 68%) with the remainder coming from primary vanadium ores (21%), or secondary industrial wastes (11%) </w:t>
      </w:r>
      <w:r w:rsidRPr="0054285D">
        <w:rPr>
          <w:rFonts w:ascii="Times New Roman" w:eastAsia="Calibri" w:hAnsi="Times New Roman" w:cs="Times New Roman"/>
          <w:noProof/>
        </w:rPr>
        <w:t>(Vanitec 2015)</w:t>
      </w:r>
      <w:r w:rsidRPr="0054285D">
        <w:rPr>
          <w:rFonts w:ascii="Times New Roman" w:eastAsia="Calibri" w:hAnsi="Times New Roman" w:cs="Times New Roman"/>
        </w:rPr>
        <w:t>. For a typical ferrovanadium production from vanadium pentoxide (V</w:t>
      </w:r>
      <w:r w:rsidRPr="0054285D">
        <w:rPr>
          <w:rFonts w:ascii="Times New Roman" w:eastAsia="Calibri" w:hAnsi="Times New Roman" w:cs="Times New Roman"/>
          <w:vertAlign w:val="subscript"/>
        </w:rPr>
        <w:t>2</w:t>
      </w:r>
      <w:r w:rsidRPr="0054285D">
        <w:rPr>
          <w:rFonts w:ascii="Times New Roman" w:eastAsia="Calibri" w:hAnsi="Times New Roman" w:cs="Times New Roman"/>
        </w:rPr>
        <w:t>O</w:t>
      </w:r>
      <w:r w:rsidRPr="0054285D">
        <w:rPr>
          <w:rFonts w:ascii="Times New Roman" w:eastAsia="Calibri" w:hAnsi="Times New Roman" w:cs="Times New Roman"/>
          <w:vertAlign w:val="subscript"/>
        </w:rPr>
        <w:t>5</w:t>
      </w:r>
      <w:r w:rsidRPr="0054285D">
        <w:rPr>
          <w:rFonts w:ascii="Times New Roman" w:eastAsia="Calibri" w:hAnsi="Times New Roman" w:cs="Times New Roman"/>
        </w:rPr>
        <w:t xml:space="preserve">), the following raw materials and quantities are required to produce 1 metric ton of 80 % ferrovanadium according to </w:t>
      </w:r>
      <w:r w:rsidRPr="0054285D">
        <w:rPr>
          <w:rFonts w:ascii="Times New Roman" w:eastAsia="Calibri" w:hAnsi="Times New Roman" w:cs="Times New Roman"/>
          <w:noProof/>
        </w:rPr>
        <w:t>(Milbourn 2015)</w:t>
      </w:r>
      <w:r w:rsidRPr="0054285D">
        <w:rPr>
          <w:rFonts w:ascii="Times New Roman" w:eastAsia="Calibri" w:hAnsi="Times New Roman" w:cs="Times New Roman"/>
        </w:rPr>
        <w:t>:</w:t>
      </w:r>
    </w:p>
    <w:p w:rsidR="0071244B" w:rsidRPr="0054285D" w:rsidRDefault="0071244B" w:rsidP="00EE7761">
      <w:pPr>
        <w:numPr>
          <w:ilvl w:val="0"/>
          <w:numId w:val="9"/>
        </w:numPr>
        <w:tabs>
          <w:tab w:val="left" w:pos="720"/>
        </w:tabs>
        <w:spacing w:after="0" w:line="360" w:lineRule="auto"/>
        <w:ind w:left="720" w:firstLine="720"/>
        <w:jc w:val="both"/>
        <w:rPr>
          <w:rFonts w:ascii="Times New Roman" w:eastAsia="Calibri" w:hAnsi="Times New Roman" w:cs="Times New Roman"/>
        </w:rPr>
      </w:pPr>
      <w:r w:rsidRPr="0054285D">
        <w:rPr>
          <w:rFonts w:ascii="Times New Roman" w:eastAsia="Calibri" w:hAnsi="Times New Roman" w:cs="Times New Roman"/>
        </w:rPr>
        <w:t>1,500 kg V</w:t>
      </w:r>
      <w:r w:rsidRPr="0054285D">
        <w:rPr>
          <w:rFonts w:ascii="Times New Roman" w:eastAsia="Calibri" w:hAnsi="Times New Roman" w:cs="Times New Roman"/>
          <w:vertAlign w:val="subscript"/>
        </w:rPr>
        <w:t>2</w:t>
      </w:r>
      <w:r w:rsidRPr="0054285D">
        <w:rPr>
          <w:rFonts w:ascii="Times New Roman" w:eastAsia="Calibri" w:hAnsi="Times New Roman" w:cs="Times New Roman"/>
        </w:rPr>
        <w:t>O</w:t>
      </w:r>
      <w:r w:rsidRPr="0054285D">
        <w:rPr>
          <w:rFonts w:ascii="Times New Roman" w:eastAsia="Calibri" w:hAnsi="Times New Roman" w:cs="Times New Roman"/>
          <w:vertAlign w:val="subscript"/>
        </w:rPr>
        <w:t>5</w:t>
      </w:r>
      <w:r w:rsidRPr="0054285D">
        <w:rPr>
          <w:rFonts w:ascii="Times New Roman" w:eastAsia="Calibri" w:hAnsi="Times New Roman" w:cs="Times New Roman"/>
        </w:rPr>
        <w:t>.</w:t>
      </w:r>
    </w:p>
    <w:p w:rsidR="0071244B" w:rsidRPr="0054285D" w:rsidRDefault="0071244B" w:rsidP="00EE7761">
      <w:pPr>
        <w:numPr>
          <w:ilvl w:val="0"/>
          <w:numId w:val="9"/>
        </w:numPr>
        <w:tabs>
          <w:tab w:val="left" w:pos="720"/>
        </w:tabs>
        <w:spacing w:after="0" w:line="360" w:lineRule="auto"/>
        <w:ind w:left="720" w:firstLine="720"/>
        <w:jc w:val="both"/>
        <w:rPr>
          <w:rFonts w:ascii="Times New Roman" w:eastAsia="Calibri" w:hAnsi="Times New Roman" w:cs="Times New Roman"/>
        </w:rPr>
      </w:pPr>
      <w:r w:rsidRPr="0054285D">
        <w:rPr>
          <w:rFonts w:ascii="Times New Roman" w:eastAsia="Calibri" w:hAnsi="Times New Roman" w:cs="Times New Roman"/>
        </w:rPr>
        <w:t>200 kg Iron.</w:t>
      </w:r>
    </w:p>
    <w:p w:rsidR="0071244B" w:rsidRPr="0054285D" w:rsidRDefault="0071244B" w:rsidP="00EE7761">
      <w:pPr>
        <w:numPr>
          <w:ilvl w:val="0"/>
          <w:numId w:val="9"/>
        </w:numPr>
        <w:tabs>
          <w:tab w:val="left" w:pos="720"/>
        </w:tabs>
        <w:spacing w:after="0" w:line="360" w:lineRule="auto"/>
        <w:ind w:left="720" w:firstLine="720"/>
        <w:jc w:val="both"/>
        <w:rPr>
          <w:rFonts w:ascii="Times New Roman" w:eastAsia="Calibri" w:hAnsi="Times New Roman" w:cs="Times New Roman"/>
        </w:rPr>
      </w:pPr>
      <w:r w:rsidRPr="0054285D">
        <w:rPr>
          <w:rFonts w:ascii="Times New Roman" w:eastAsia="Calibri" w:hAnsi="Times New Roman" w:cs="Times New Roman"/>
        </w:rPr>
        <w:t>570 kg CaO.</w:t>
      </w:r>
    </w:p>
    <w:p w:rsidR="0071244B" w:rsidRPr="0054285D" w:rsidRDefault="0071244B" w:rsidP="00EE7761">
      <w:pPr>
        <w:numPr>
          <w:ilvl w:val="0"/>
          <w:numId w:val="9"/>
        </w:numPr>
        <w:tabs>
          <w:tab w:val="left" w:pos="720"/>
        </w:tabs>
        <w:spacing w:after="0" w:line="360" w:lineRule="auto"/>
        <w:ind w:left="720" w:firstLine="720"/>
        <w:jc w:val="both"/>
        <w:rPr>
          <w:rFonts w:ascii="Times New Roman" w:eastAsia="Calibri" w:hAnsi="Times New Roman" w:cs="Times New Roman"/>
        </w:rPr>
      </w:pPr>
      <w:r w:rsidRPr="0054285D">
        <w:rPr>
          <w:rFonts w:ascii="Times New Roman" w:eastAsia="Calibri" w:hAnsi="Times New Roman" w:cs="Times New Roman"/>
        </w:rPr>
        <w:t>760 kg Al.</w:t>
      </w:r>
    </w:p>
    <w:p w:rsidR="0071244B" w:rsidRDefault="0071244B" w:rsidP="0071244B">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lastRenderedPageBreak/>
        <w:t xml:space="preserve">There is no energy requirement for the reaction, but there would be energy involved in producing the iron, calcium oxide and aluminium. However the ferrovanadium process from primary vanadium ores was not developed because vanadium pentoxide was missing from </w:t>
      </w:r>
      <w:r w:rsidR="004D2D91" w:rsidRPr="0054285D">
        <w:rPr>
          <w:rFonts w:ascii="Times New Roman" w:eastAsia="Calibri" w:hAnsi="Times New Roman" w:cs="Times New Roman"/>
        </w:rPr>
        <w:t>GaBi</w:t>
      </w:r>
      <w:r w:rsidRPr="0054285D">
        <w:rPr>
          <w:rFonts w:ascii="Times New Roman" w:eastAsia="Calibri" w:hAnsi="Times New Roman" w:cs="Times New Roman"/>
        </w:rPr>
        <w:t xml:space="preserve"> with little or no data in literature to create the process. Additionally data was sought from the World Steel Association to model ferrovanadium from secondary steel making slag, but with little or no data provided, ferrovanadium could not be created via this process route</w:t>
      </w:r>
      <w:r w:rsidR="00D46FA5" w:rsidRPr="0054285D">
        <w:rPr>
          <w:rFonts w:ascii="Times New Roman" w:eastAsia="Calibri" w:hAnsi="Times New Roman" w:cs="Times New Roman"/>
        </w:rPr>
        <w:t xml:space="preserve"> either</w:t>
      </w:r>
      <w:r w:rsidRPr="0054285D">
        <w:rPr>
          <w:rFonts w:ascii="Times New Roman" w:eastAsia="Calibri" w:hAnsi="Times New Roman" w:cs="Times New Roman"/>
        </w:rPr>
        <w:t xml:space="preserve">. </w:t>
      </w:r>
    </w:p>
    <w:p w:rsidR="000014F1" w:rsidRDefault="000014F1" w:rsidP="000014F1">
      <w:pPr>
        <w:spacing w:after="0" w:line="360" w:lineRule="auto"/>
        <w:jc w:val="both"/>
        <w:rPr>
          <w:rFonts w:ascii="Times New Roman" w:eastAsia="Calibri" w:hAnsi="Times New Roman" w:cs="Times New Roman"/>
        </w:rPr>
      </w:pPr>
    </w:p>
    <w:p w:rsidR="000014F1" w:rsidRDefault="000014F1" w:rsidP="0071244B">
      <w:pPr>
        <w:spacing w:after="0" w:line="360" w:lineRule="auto"/>
        <w:ind w:firstLine="720"/>
        <w:jc w:val="both"/>
        <w:rPr>
          <w:rFonts w:ascii="Times New Roman" w:eastAsia="Calibri" w:hAnsi="Times New Roman" w:cs="Times New Roman"/>
        </w:rPr>
        <w:sectPr w:rsidR="000014F1" w:rsidSect="00C24042">
          <w:pgSz w:w="11906" w:h="16838"/>
          <w:pgMar w:top="1440" w:right="1440" w:bottom="1440" w:left="1440" w:header="708" w:footer="708" w:gutter="0"/>
          <w:cols w:space="708"/>
          <w:docGrid w:linePitch="360"/>
        </w:sectPr>
      </w:pPr>
    </w:p>
    <w:p w:rsidR="00AE7A4C" w:rsidRPr="000014F1" w:rsidRDefault="0054285D" w:rsidP="000014F1">
      <w:pPr>
        <w:pStyle w:val="Heading3"/>
      </w:pPr>
      <w:r w:rsidRPr="000014F1">
        <w:lastRenderedPageBreak/>
        <w:t xml:space="preserve">D10.Silico-Manganese </w:t>
      </w:r>
    </w:p>
    <w:p w:rsidR="00AE7A4C" w:rsidRPr="0054285D" w:rsidRDefault="00AE7A4C" w:rsidP="00124052">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The final ferro-allo</w:t>
      </w:r>
      <w:r w:rsidR="00125A75" w:rsidRPr="0054285D">
        <w:rPr>
          <w:rFonts w:ascii="Times New Roman" w:eastAsia="Calibri" w:hAnsi="Times New Roman" w:cs="Times New Roman"/>
        </w:rPr>
        <w:t>y to be modelled was silicomanganese</w:t>
      </w:r>
      <w:r w:rsidRPr="0054285D">
        <w:rPr>
          <w:rFonts w:ascii="Times New Roman" w:eastAsia="Calibri" w:hAnsi="Times New Roman" w:cs="Times New Roman"/>
        </w:rPr>
        <w:t>. Two</w:t>
      </w:r>
      <w:r w:rsidR="00125A75" w:rsidRPr="0054285D">
        <w:rPr>
          <w:rFonts w:ascii="Times New Roman" w:eastAsia="Calibri" w:hAnsi="Times New Roman" w:cs="Times New Roman"/>
        </w:rPr>
        <w:t xml:space="preserve"> primary</w:t>
      </w:r>
      <w:r w:rsidRPr="0054285D">
        <w:rPr>
          <w:rFonts w:ascii="Times New Roman" w:eastAsia="Calibri" w:hAnsi="Times New Roman" w:cs="Times New Roman"/>
        </w:rPr>
        <w:t xml:space="preserve"> data sources,</w:t>
      </w:r>
      <w:r w:rsidR="00125A75" w:rsidRPr="0054285D">
        <w:rPr>
          <w:rFonts w:ascii="Times New Roman" w:eastAsia="Calibri" w:hAnsi="Times New Roman" w:cs="Times New Roman"/>
        </w:rPr>
        <w:t xml:space="preserve"> </w:t>
      </w:r>
      <w:r w:rsidR="00125A75" w:rsidRPr="0054285D">
        <w:rPr>
          <w:rFonts w:ascii="Times New Roman" w:eastAsia="Calibri" w:hAnsi="Times New Roman" w:cs="Times New Roman"/>
          <w:noProof/>
        </w:rPr>
        <w:t>(Eurometaux 2014; Haque &amp; Norgate 2013)</w:t>
      </w:r>
      <w:r w:rsidR="00125A75" w:rsidRPr="0054285D">
        <w:rPr>
          <w:rFonts w:ascii="Times New Roman" w:eastAsia="Calibri" w:hAnsi="Times New Roman" w:cs="Times New Roman"/>
        </w:rPr>
        <w:t xml:space="preserve"> were used to model silicomanganese. Beginning with data from </w:t>
      </w:r>
      <w:r w:rsidR="00125A75" w:rsidRPr="0054285D">
        <w:rPr>
          <w:rFonts w:ascii="Times New Roman" w:eastAsia="Calibri" w:hAnsi="Times New Roman" w:cs="Times New Roman"/>
          <w:noProof/>
        </w:rPr>
        <w:t>(Haque &amp; Norgate 2013)</w:t>
      </w:r>
      <w:r w:rsidR="00125A75" w:rsidRPr="0054285D">
        <w:rPr>
          <w:rFonts w:ascii="Times New Roman" w:eastAsia="Calibri" w:hAnsi="Times New Roman" w:cs="Times New Roman"/>
        </w:rPr>
        <w:t xml:space="preserve">, the production of silicomanganese followed </w:t>
      </w:r>
      <w:r w:rsidRPr="0054285D">
        <w:rPr>
          <w:rFonts w:ascii="Times New Roman" w:eastAsia="Calibri" w:hAnsi="Times New Roman" w:cs="Times New Roman"/>
        </w:rPr>
        <w:t>u</w:t>
      </w:r>
      <w:r w:rsidR="00125A75" w:rsidRPr="0054285D">
        <w:rPr>
          <w:rFonts w:ascii="Times New Roman" w:eastAsia="Calibri" w:hAnsi="Times New Roman" w:cs="Times New Roman"/>
        </w:rPr>
        <w:t>pstreaming production of HC ferromanganese as previously mentioned</w:t>
      </w:r>
      <w:r w:rsidRPr="0054285D">
        <w:rPr>
          <w:rFonts w:ascii="Times New Roman" w:eastAsia="Calibri" w:hAnsi="Times New Roman" w:cs="Times New Roman"/>
        </w:rPr>
        <w:t xml:space="preserve">. </w:t>
      </w:r>
      <w:r w:rsidR="00125A75" w:rsidRPr="0054285D">
        <w:rPr>
          <w:rFonts w:ascii="Times New Roman" w:eastAsia="Calibri" w:hAnsi="Times New Roman" w:cs="Times New Roman"/>
        </w:rPr>
        <w:t>T</w:t>
      </w:r>
      <w:r w:rsidRPr="0054285D">
        <w:rPr>
          <w:rFonts w:ascii="Times New Roman" w:eastAsia="Calibri" w:hAnsi="Times New Roman" w:cs="Times New Roman"/>
        </w:rPr>
        <w:t>he ke</w:t>
      </w:r>
      <w:r w:rsidR="00125A75" w:rsidRPr="0054285D">
        <w:rPr>
          <w:rFonts w:ascii="Times New Roman" w:eastAsia="Calibri" w:hAnsi="Times New Roman" w:cs="Times New Roman"/>
        </w:rPr>
        <w:t>y ingredients required to model silicomanganese</w:t>
      </w:r>
      <w:r w:rsidRPr="0054285D">
        <w:rPr>
          <w:rFonts w:ascii="Times New Roman" w:eastAsia="Calibri" w:hAnsi="Times New Roman" w:cs="Times New Roman"/>
        </w:rPr>
        <w:t xml:space="preserve"> production can be seen in </w:t>
      </w:r>
      <w:r w:rsidR="00A6415F" w:rsidRPr="0054285D">
        <w:fldChar w:fldCharType="begin"/>
      </w:r>
      <w:r w:rsidR="00A6415F" w:rsidRPr="0054285D">
        <w:instrText xml:space="preserve"> REF _Ref468623514 \h  \* MERGEFORMAT </w:instrText>
      </w:r>
      <w:r w:rsidR="00A6415F" w:rsidRPr="0054285D">
        <w:fldChar w:fldCharType="separate"/>
      </w:r>
      <w:r w:rsidR="009F5483" w:rsidRPr="0054285D">
        <w:rPr>
          <w:rFonts w:ascii="Times New Roman" w:hAnsi="Times New Roman" w:cs="Times New Roman"/>
        </w:rPr>
        <w:t xml:space="preserve">Table </w:t>
      </w:r>
      <w:r w:rsidR="009F5483">
        <w:rPr>
          <w:rFonts w:ascii="Times New Roman" w:hAnsi="Times New Roman" w:cs="Times New Roman"/>
          <w:noProof/>
        </w:rPr>
        <w:t>61</w:t>
      </w:r>
      <w:r w:rsidR="00A6415F" w:rsidRPr="0054285D">
        <w:fldChar w:fldCharType="end"/>
      </w:r>
      <w:r w:rsidRPr="0054285D">
        <w:rPr>
          <w:rFonts w:ascii="Times New Roman" w:eastAsia="Calibri" w:hAnsi="Times New Roman" w:cs="Times New Roman"/>
        </w:rPr>
        <w:t>.</w:t>
      </w:r>
    </w:p>
    <w:p w:rsidR="00AE7A4C" w:rsidRPr="0054285D" w:rsidRDefault="00124052" w:rsidP="00124052">
      <w:pPr>
        <w:rPr>
          <w:rFonts w:ascii="Times New Roman" w:eastAsia="Calibri" w:hAnsi="Times New Roman" w:cs="Times New Roman"/>
        </w:rPr>
      </w:pPr>
      <w:bookmarkStart w:id="359" w:name="_Ref468623514"/>
      <w:bookmarkStart w:id="360" w:name="_Toc474486568"/>
      <w:bookmarkStart w:id="361" w:name="_Toc495852739"/>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61</w:t>
      </w:r>
      <w:r w:rsidR="009A0ED7" w:rsidRPr="0054285D">
        <w:rPr>
          <w:rFonts w:ascii="Times New Roman" w:hAnsi="Times New Roman" w:cs="Times New Roman"/>
        </w:rPr>
        <w:fldChar w:fldCharType="end"/>
      </w:r>
      <w:bookmarkEnd w:id="359"/>
      <w:r w:rsidRPr="0054285D">
        <w:rPr>
          <w:rFonts w:ascii="Times New Roman" w:hAnsi="Times New Roman" w:cs="Times New Roman"/>
        </w:rPr>
        <w:t xml:space="preserve">. </w:t>
      </w:r>
      <w:r w:rsidR="00125A75" w:rsidRPr="0054285D">
        <w:rPr>
          <w:rFonts w:ascii="Times New Roman" w:eastAsia="Calibri" w:hAnsi="Times New Roman" w:cs="Times New Roman"/>
        </w:rPr>
        <w:t xml:space="preserve">Inventory for silicomanganese </w:t>
      </w:r>
      <w:r w:rsidR="00AE7A4C" w:rsidRPr="0054285D">
        <w:rPr>
          <w:rFonts w:ascii="Times New Roman" w:eastAsia="Calibri" w:hAnsi="Times New Roman" w:cs="Times New Roman"/>
        </w:rPr>
        <w:t>production from</w:t>
      </w:r>
      <w:r w:rsidR="00125A75" w:rsidRPr="0054285D">
        <w:rPr>
          <w:rFonts w:ascii="Times New Roman" w:eastAsia="Calibri" w:hAnsi="Times New Roman" w:cs="Times New Roman"/>
        </w:rPr>
        <w:t xml:space="preserve"> </w:t>
      </w:r>
      <w:r w:rsidR="00125A75" w:rsidRPr="0054285D">
        <w:rPr>
          <w:rFonts w:ascii="Times New Roman" w:eastAsia="Calibri" w:hAnsi="Times New Roman" w:cs="Times New Roman"/>
          <w:noProof/>
        </w:rPr>
        <w:t>(Haque &amp; Norgate 2013)</w:t>
      </w:r>
      <w:r w:rsidR="00125A75" w:rsidRPr="0054285D">
        <w:rPr>
          <w:rFonts w:ascii="Times New Roman" w:eastAsia="Calibri" w:hAnsi="Times New Roman" w:cs="Times New Roman"/>
        </w:rPr>
        <w:t>.</w:t>
      </w:r>
      <w:bookmarkEnd w:id="360"/>
      <w:bookmarkEnd w:id="361"/>
    </w:p>
    <w:tbl>
      <w:tblPr>
        <w:tblW w:w="7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2220"/>
        <w:gridCol w:w="1078"/>
        <w:gridCol w:w="1612"/>
      </w:tblGrid>
      <w:tr w:rsidR="00124052" w:rsidRPr="0054285D" w:rsidTr="00D2436E">
        <w:trPr>
          <w:trHeight w:val="300"/>
          <w:jc w:val="center"/>
        </w:trPr>
        <w:tc>
          <w:tcPr>
            <w:tcW w:w="274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Stage</w:t>
            </w:r>
          </w:p>
        </w:tc>
        <w:tc>
          <w:tcPr>
            <w:tcW w:w="222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Input </w:t>
            </w:r>
          </w:p>
        </w:tc>
        <w:tc>
          <w:tcPr>
            <w:tcW w:w="1078"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Inventory</w:t>
            </w:r>
          </w:p>
        </w:tc>
        <w:tc>
          <w:tcPr>
            <w:tcW w:w="1612"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Units</w:t>
            </w:r>
          </w:p>
        </w:tc>
      </w:tr>
      <w:tr w:rsidR="00124052" w:rsidRPr="0054285D" w:rsidTr="00D2436E">
        <w:trPr>
          <w:trHeight w:val="300"/>
          <w:jc w:val="center"/>
        </w:trPr>
        <w:tc>
          <w:tcPr>
            <w:tcW w:w="274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Mining</w:t>
            </w:r>
          </w:p>
        </w:tc>
        <w:tc>
          <w:tcPr>
            <w:tcW w:w="222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Diesel</w:t>
            </w:r>
          </w:p>
        </w:tc>
        <w:tc>
          <w:tcPr>
            <w:tcW w:w="1078"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0.36</w:t>
            </w:r>
          </w:p>
        </w:tc>
        <w:tc>
          <w:tcPr>
            <w:tcW w:w="1612"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kg/ t Mn Ore</w:t>
            </w:r>
          </w:p>
        </w:tc>
      </w:tr>
      <w:tr w:rsidR="00124052" w:rsidRPr="0054285D" w:rsidTr="00D2436E">
        <w:trPr>
          <w:trHeight w:val="300"/>
          <w:jc w:val="center"/>
        </w:trPr>
        <w:tc>
          <w:tcPr>
            <w:tcW w:w="274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222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Electricity </w:t>
            </w:r>
          </w:p>
        </w:tc>
        <w:tc>
          <w:tcPr>
            <w:tcW w:w="1078"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3.86</w:t>
            </w:r>
          </w:p>
        </w:tc>
        <w:tc>
          <w:tcPr>
            <w:tcW w:w="1612"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kWh/ t Mn ore</w:t>
            </w:r>
          </w:p>
        </w:tc>
      </w:tr>
      <w:tr w:rsidR="00124052" w:rsidRPr="0054285D" w:rsidTr="00D2436E">
        <w:trPr>
          <w:trHeight w:val="300"/>
          <w:jc w:val="center"/>
        </w:trPr>
        <w:tc>
          <w:tcPr>
            <w:tcW w:w="274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222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Ore fines</w:t>
            </w:r>
          </w:p>
        </w:tc>
        <w:tc>
          <w:tcPr>
            <w:tcW w:w="1078"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910</w:t>
            </w:r>
            <w:r w:rsidR="0008118D">
              <w:rPr>
                <w:rFonts w:ascii="Calibri" w:eastAsia="Times New Roman" w:hAnsi="Calibri" w:cs="Times New Roman"/>
              </w:rPr>
              <w:t>.00</w:t>
            </w:r>
          </w:p>
        </w:tc>
        <w:tc>
          <w:tcPr>
            <w:tcW w:w="1612"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kg/ t sinter</w:t>
            </w:r>
          </w:p>
        </w:tc>
      </w:tr>
      <w:tr w:rsidR="00124052" w:rsidRPr="0054285D" w:rsidTr="00D2436E">
        <w:trPr>
          <w:trHeight w:val="345"/>
          <w:jc w:val="center"/>
        </w:trPr>
        <w:tc>
          <w:tcPr>
            <w:tcW w:w="274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Sintering</w:t>
            </w:r>
          </w:p>
        </w:tc>
        <w:tc>
          <w:tcPr>
            <w:tcW w:w="222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Coke</w:t>
            </w:r>
          </w:p>
        </w:tc>
        <w:tc>
          <w:tcPr>
            <w:tcW w:w="1078"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90</w:t>
            </w:r>
            <w:r w:rsidR="0008118D">
              <w:rPr>
                <w:rFonts w:ascii="Calibri" w:eastAsia="Times New Roman" w:hAnsi="Calibri" w:cs="Times New Roman"/>
              </w:rPr>
              <w:t>.00</w:t>
            </w:r>
          </w:p>
        </w:tc>
        <w:tc>
          <w:tcPr>
            <w:tcW w:w="1612"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kg/t sinter</w:t>
            </w:r>
          </w:p>
        </w:tc>
      </w:tr>
      <w:tr w:rsidR="00124052" w:rsidRPr="0054285D" w:rsidTr="00D2436E">
        <w:trPr>
          <w:trHeight w:val="300"/>
          <w:jc w:val="center"/>
        </w:trPr>
        <w:tc>
          <w:tcPr>
            <w:tcW w:w="274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w:t>
            </w:r>
          </w:p>
        </w:tc>
        <w:tc>
          <w:tcPr>
            <w:tcW w:w="222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Electricity</w:t>
            </w:r>
          </w:p>
        </w:tc>
        <w:tc>
          <w:tcPr>
            <w:tcW w:w="1078"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675</w:t>
            </w:r>
            <w:r w:rsidR="0008118D">
              <w:rPr>
                <w:rFonts w:ascii="Calibri" w:eastAsia="Times New Roman" w:hAnsi="Calibri" w:cs="Times New Roman"/>
              </w:rPr>
              <w:t>.00</w:t>
            </w:r>
          </w:p>
        </w:tc>
        <w:tc>
          <w:tcPr>
            <w:tcW w:w="1612"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kWh/ t sinter</w:t>
            </w:r>
          </w:p>
        </w:tc>
      </w:tr>
      <w:tr w:rsidR="00124052" w:rsidRPr="0054285D" w:rsidTr="00D2436E">
        <w:trPr>
          <w:trHeight w:val="300"/>
          <w:jc w:val="center"/>
        </w:trPr>
        <w:tc>
          <w:tcPr>
            <w:tcW w:w="274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Submerged EAF</w:t>
            </w:r>
          </w:p>
        </w:tc>
        <w:tc>
          <w:tcPr>
            <w:tcW w:w="222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Sinter</w:t>
            </w:r>
          </w:p>
        </w:tc>
        <w:tc>
          <w:tcPr>
            <w:tcW w:w="1078"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1040</w:t>
            </w:r>
            <w:r w:rsidR="0008118D">
              <w:rPr>
                <w:rFonts w:ascii="Calibri" w:eastAsia="Times New Roman" w:hAnsi="Calibri" w:cs="Times New Roman"/>
              </w:rPr>
              <w:t>.00</w:t>
            </w:r>
          </w:p>
        </w:tc>
        <w:tc>
          <w:tcPr>
            <w:tcW w:w="1612"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kg/ t </w:t>
            </w:r>
          </w:p>
        </w:tc>
      </w:tr>
      <w:tr w:rsidR="00124052" w:rsidRPr="0054285D" w:rsidTr="00D2436E">
        <w:trPr>
          <w:trHeight w:val="300"/>
          <w:jc w:val="center"/>
        </w:trPr>
        <w:tc>
          <w:tcPr>
            <w:tcW w:w="274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Iron Ore</w:t>
            </w:r>
          </w:p>
        </w:tc>
        <w:tc>
          <w:tcPr>
            <w:tcW w:w="1078"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120</w:t>
            </w:r>
            <w:r w:rsidR="0008118D">
              <w:rPr>
                <w:rFonts w:ascii="Calibri" w:eastAsia="Times New Roman" w:hAnsi="Calibri" w:cs="Times New Roman"/>
              </w:rPr>
              <w:t>.00</w:t>
            </w:r>
          </w:p>
        </w:tc>
        <w:tc>
          <w:tcPr>
            <w:tcW w:w="1612"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kg/ t </w:t>
            </w:r>
          </w:p>
        </w:tc>
      </w:tr>
      <w:tr w:rsidR="00124052" w:rsidRPr="0054285D" w:rsidTr="00D2436E">
        <w:trPr>
          <w:trHeight w:val="300"/>
          <w:jc w:val="center"/>
        </w:trPr>
        <w:tc>
          <w:tcPr>
            <w:tcW w:w="274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Quartz</w:t>
            </w:r>
          </w:p>
        </w:tc>
        <w:tc>
          <w:tcPr>
            <w:tcW w:w="1078"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559</w:t>
            </w:r>
            <w:r w:rsidR="0008118D">
              <w:rPr>
                <w:rFonts w:ascii="Calibri" w:eastAsia="Times New Roman" w:hAnsi="Calibri" w:cs="Times New Roman"/>
              </w:rPr>
              <w:t>.00</w:t>
            </w:r>
          </w:p>
        </w:tc>
        <w:tc>
          <w:tcPr>
            <w:tcW w:w="1612"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kg/ t </w:t>
            </w:r>
          </w:p>
        </w:tc>
      </w:tr>
      <w:tr w:rsidR="00124052" w:rsidRPr="0054285D" w:rsidTr="00D2436E">
        <w:trPr>
          <w:trHeight w:val="300"/>
          <w:jc w:val="center"/>
        </w:trPr>
        <w:tc>
          <w:tcPr>
            <w:tcW w:w="274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Dolomite</w:t>
            </w:r>
          </w:p>
        </w:tc>
        <w:tc>
          <w:tcPr>
            <w:tcW w:w="1078"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355</w:t>
            </w:r>
            <w:r w:rsidR="0008118D">
              <w:rPr>
                <w:rFonts w:ascii="Calibri" w:eastAsia="Times New Roman" w:hAnsi="Calibri" w:cs="Times New Roman"/>
              </w:rPr>
              <w:t>.00</w:t>
            </w:r>
          </w:p>
        </w:tc>
        <w:tc>
          <w:tcPr>
            <w:tcW w:w="1612"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kg/ t </w:t>
            </w:r>
          </w:p>
        </w:tc>
      </w:tr>
      <w:tr w:rsidR="00124052" w:rsidRPr="0054285D" w:rsidTr="00D2436E">
        <w:trPr>
          <w:trHeight w:val="300"/>
          <w:jc w:val="center"/>
        </w:trPr>
        <w:tc>
          <w:tcPr>
            <w:tcW w:w="274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Coke</w:t>
            </w:r>
          </w:p>
        </w:tc>
        <w:tc>
          <w:tcPr>
            <w:tcW w:w="1078"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452</w:t>
            </w:r>
            <w:r w:rsidR="0008118D">
              <w:rPr>
                <w:rFonts w:ascii="Calibri" w:eastAsia="Times New Roman" w:hAnsi="Calibri" w:cs="Times New Roman"/>
              </w:rPr>
              <w:t>.00</w:t>
            </w:r>
          </w:p>
        </w:tc>
        <w:tc>
          <w:tcPr>
            <w:tcW w:w="1612"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kg/ t </w:t>
            </w:r>
          </w:p>
        </w:tc>
      </w:tr>
      <w:tr w:rsidR="00124052" w:rsidRPr="0054285D" w:rsidTr="00D2436E">
        <w:trPr>
          <w:trHeight w:val="300"/>
          <w:jc w:val="center"/>
        </w:trPr>
        <w:tc>
          <w:tcPr>
            <w:tcW w:w="274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Coal</w:t>
            </w:r>
          </w:p>
        </w:tc>
        <w:tc>
          <w:tcPr>
            <w:tcW w:w="1078"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112</w:t>
            </w:r>
            <w:r w:rsidR="0008118D">
              <w:rPr>
                <w:rFonts w:ascii="Calibri" w:eastAsia="Times New Roman" w:hAnsi="Calibri" w:cs="Times New Roman"/>
              </w:rPr>
              <w:t>.00</w:t>
            </w:r>
          </w:p>
        </w:tc>
        <w:tc>
          <w:tcPr>
            <w:tcW w:w="1612"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kg/ t </w:t>
            </w:r>
          </w:p>
        </w:tc>
      </w:tr>
      <w:tr w:rsidR="00124052" w:rsidRPr="0054285D" w:rsidTr="00D2436E">
        <w:trPr>
          <w:trHeight w:val="300"/>
          <w:jc w:val="center"/>
        </w:trPr>
        <w:tc>
          <w:tcPr>
            <w:tcW w:w="274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Electrode</w:t>
            </w:r>
          </w:p>
        </w:tc>
        <w:tc>
          <w:tcPr>
            <w:tcW w:w="1078"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34</w:t>
            </w:r>
            <w:r w:rsidR="0008118D">
              <w:rPr>
                <w:rFonts w:ascii="Calibri" w:eastAsia="Times New Roman" w:hAnsi="Calibri" w:cs="Times New Roman"/>
              </w:rPr>
              <w:t>.00</w:t>
            </w:r>
          </w:p>
        </w:tc>
        <w:tc>
          <w:tcPr>
            <w:tcW w:w="1612"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kg/ t </w:t>
            </w:r>
          </w:p>
        </w:tc>
      </w:tr>
      <w:tr w:rsidR="00124052" w:rsidRPr="0054285D" w:rsidTr="00D2436E">
        <w:trPr>
          <w:trHeight w:val="300"/>
          <w:jc w:val="center"/>
        </w:trPr>
        <w:tc>
          <w:tcPr>
            <w:tcW w:w="274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p>
        </w:tc>
        <w:tc>
          <w:tcPr>
            <w:tcW w:w="222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Electricity</w:t>
            </w:r>
          </w:p>
        </w:tc>
        <w:tc>
          <w:tcPr>
            <w:tcW w:w="1078"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4000</w:t>
            </w:r>
            <w:r w:rsidR="0008118D">
              <w:rPr>
                <w:rFonts w:ascii="Calibri" w:eastAsia="Times New Roman" w:hAnsi="Calibri" w:cs="Times New Roman"/>
              </w:rPr>
              <w:t>.00</w:t>
            </w:r>
          </w:p>
        </w:tc>
        <w:tc>
          <w:tcPr>
            <w:tcW w:w="1612"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kWh / t</w:t>
            </w:r>
          </w:p>
        </w:tc>
      </w:tr>
    </w:tbl>
    <w:p w:rsidR="00AE7A4C" w:rsidRPr="0054285D" w:rsidRDefault="00AE7A4C" w:rsidP="00AE7A4C">
      <w:pPr>
        <w:spacing w:line="360" w:lineRule="auto"/>
        <w:jc w:val="both"/>
        <w:rPr>
          <w:rFonts w:ascii="Times New Roman" w:eastAsia="Calibri" w:hAnsi="Times New Roman" w:cs="Times New Roman"/>
        </w:rPr>
      </w:pPr>
    </w:p>
    <w:p w:rsidR="00361475" w:rsidRPr="0054285D" w:rsidRDefault="00AA5E59" w:rsidP="00361475">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Similar to ferromanganese, silicomanganese</w:t>
      </w:r>
      <w:r w:rsidR="00AE7A4C" w:rsidRPr="0054285D">
        <w:rPr>
          <w:rFonts w:ascii="Times New Roman" w:eastAsia="Calibri" w:hAnsi="Times New Roman" w:cs="Times New Roman"/>
        </w:rPr>
        <w:t xml:space="preserve"> was also modelled in 3 separate stages (mining, sintering and ferro-alloy production).The units of the process were set to kWh/ t for energy and kg/t for mass, and t</w:t>
      </w:r>
      <w:r w:rsidRPr="0054285D">
        <w:rPr>
          <w:rFonts w:ascii="Times New Roman" w:eastAsia="Calibri" w:hAnsi="Times New Roman" w:cs="Times New Roman"/>
        </w:rPr>
        <w:t>he output set to 1000kg of silicomanganese</w:t>
      </w:r>
      <w:r w:rsidR="00AE7A4C" w:rsidRPr="0054285D">
        <w:rPr>
          <w:rFonts w:ascii="Times New Roman" w:eastAsia="Calibri" w:hAnsi="Times New Roman" w:cs="Times New Roman"/>
        </w:rPr>
        <w:t>. Each individual stage was modelled separately and then connected to make one process. The processes representing th</w:t>
      </w:r>
      <w:r w:rsidR="00361475" w:rsidRPr="0054285D">
        <w:rPr>
          <w:rFonts w:ascii="Times New Roman" w:eastAsia="Calibri" w:hAnsi="Times New Roman" w:cs="Times New Roman"/>
        </w:rPr>
        <w:t xml:space="preserve">e inputs were located from </w:t>
      </w:r>
      <w:r w:rsidR="004D2D91" w:rsidRPr="0054285D">
        <w:rPr>
          <w:rFonts w:ascii="Times New Roman" w:eastAsia="Calibri" w:hAnsi="Times New Roman" w:cs="Times New Roman"/>
        </w:rPr>
        <w:t>GaBi</w:t>
      </w:r>
      <w:r w:rsidR="00361475" w:rsidRPr="0054285D">
        <w:rPr>
          <w:rFonts w:ascii="Times New Roman" w:eastAsia="Calibri" w:hAnsi="Times New Roman" w:cs="Times New Roman"/>
        </w:rPr>
        <w:t xml:space="preserve"> and attached to the relevant stages.</w:t>
      </w:r>
    </w:p>
    <w:p w:rsidR="00AE7A4C" w:rsidRPr="0054285D" w:rsidRDefault="00AE7A4C" w:rsidP="00361475">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A number of alterations were made to the model which included carbon corrections for coal, coke and electrodes. In addition it was</w:t>
      </w:r>
      <w:r w:rsidR="00361475" w:rsidRPr="0054285D">
        <w:rPr>
          <w:rFonts w:ascii="Times New Roman" w:eastAsia="Calibri" w:hAnsi="Times New Roman" w:cs="Times New Roman"/>
        </w:rPr>
        <w:t xml:space="preserve"> assumed that there was no ferromanganese</w:t>
      </w:r>
      <w:r w:rsidRPr="0054285D">
        <w:rPr>
          <w:rFonts w:ascii="Times New Roman" w:eastAsia="Calibri" w:hAnsi="Times New Roman" w:cs="Times New Roman"/>
        </w:rPr>
        <w:t xml:space="preserve"> slag and that all the manganese came from t</w:t>
      </w:r>
      <w:r w:rsidR="00361475" w:rsidRPr="0054285D">
        <w:rPr>
          <w:rFonts w:ascii="Times New Roman" w:eastAsia="Calibri" w:hAnsi="Times New Roman" w:cs="Times New Roman"/>
        </w:rPr>
        <w:t xml:space="preserve">he ore. In terms of electricity, initially </w:t>
      </w:r>
      <w:r w:rsidRPr="0054285D">
        <w:rPr>
          <w:rFonts w:ascii="Times New Roman" w:eastAsia="Calibri" w:hAnsi="Times New Roman" w:cs="Times New Roman"/>
        </w:rPr>
        <w:t xml:space="preserve">Australia was used as the source of energy </w:t>
      </w:r>
      <w:r w:rsidR="00361475" w:rsidRPr="0054285D">
        <w:rPr>
          <w:rFonts w:ascii="Times New Roman" w:eastAsia="Calibri" w:hAnsi="Times New Roman" w:cs="Times New Roman"/>
        </w:rPr>
        <w:t>to calibrate</w:t>
      </w:r>
      <w:r w:rsidRPr="0054285D">
        <w:rPr>
          <w:rFonts w:ascii="Times New Roman" w:eastAsia="Calibri" w:hAnsi="Times New Roman" w:cs="Times New Roman"/>
        </w:rPr>
        <w:t xml:space="preserve"> the model. </w:t>
      </w:r>
      <w:r w:rsidR="00361475" w:rsidRPr="0054285D">
        <w:rPr>
          <w:rFonts w:ascii="Times New Roman" w:eastAsia="Calibri" w:hAnsi="Times New Roman" w:cs="Times New Roman"/>
        </w:rPr>
        <w:t>Whilst l</w:t>
      </w:r>
      <w:r w:rsidRPr="0054285D">
        <w:rPr>
          <w:rFonts w:ascii="Times New Roman" w:eastAsia="Calibri" w:hAnsi="Times New Roman" w:cs="Times New Roman"/>
        </w:rPr>
        <w:t>ater on an average electrici</w:t>
      </w:r>
      <w:r w:rsidR="00361475" w:rsidRPr="0054285D">
        <w:rPr>
          <w:rFonts w:ascii="Times New Roman" w:eastAsia="Calibri" w:hAnsi="Times New Roman" w:cs="Times New Roman"/>
        </w:rPr>
        <w:t>ty process based on global silicomanganese production was used in the final model</w:t>
      </w:r>
      <w:r w:rsidRPr="0054285D">
        <w:rPr>
          <w:rFonts w:ascii="Times New Roman" w:eastAsia="Calibri" w:hAnsi="Times New Roman" w:cs="Times New Roman"/>
        </w:rPr>
        <w:t>. The manganese mining and sintering stages were used since they were related upstream processes i</w:t>
      </w:r>
      <w:r w:rsidR="00361475" w:rsidRPr="0054285D">
        <w:rPr>
          <w:rFonts w:ascii="Times New Roman" w:eastAsia="Calibri" w:hAnsi="Times New Roman" w:cs="Times New Roman"/>
        </w:rPr>
        <w:t>nvolved in the creation of silicomanganese. The complete silicomanganese</w:t>
      </w:r>
      <w:r w:rsidRPr="0054285D">
        <w:rPr>
          <w:rFonts w:ascii="Times New Roman" w:eastAsia="Calibri" w:hAnsi="Times New Roman" w:cs="Times New Roman"/>
        </w:rPr>
        <w:t xml:space="preserve"> process is shown by </w:t>
      </w:r>
      <w:r w:rsidR="00A6415F" w:rsidRPr="0054285D">
        <w:fldChar w:fldCharType="begin"/>
      </w:r>
      <w:r w:rsidR="00A6415F" w:rsidRPr="0054285D">
        <w:instrText xml:space="preserve"> REF _Ref468623492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89</w:t>
      </w:r>
      <w:r w:rsidR="00A6415F" w:rsidRPr="0054285D">
        <w:fldChar w:fldCharType="end"/>
      </w:r>
      <w:r w:rsidRPr="0054285D">
        <w:rPr>
          <w:rFonts w:ascii="Times New Roman" w:eastAsia="Calibri" w:hAnsi="Times New Roman" w:cs="Times New Roman"/>
        </w:rPr>
        <w:t>.</w:t>
      </w:r>
    </w:p>
    <w:p w:rsidR="00AE7A4C" w:rsidRPr="0054285D" w:rsidRDefault="00AE7A4C" w:rsidP="00AE7A4C">
      <w:pPr>
        <w:spacing w:line="360" w:lineRule="auto"/>
        <w:rPr>
          <w:rFonts w:ascii="Times New Roman" w:eastAsia="Calibri" w:hAnsi="Times New Roman" w:cs="Times New Roman"/>
        </w:rPr>
      </w:pPr>
    </w:p>
    <w:p w:rsidR="00AE7A4C" w:rsidRPr="0054285D" w:rsidRDefault="00124052" w:rsidP="00817556">
      <w:pPr>
        <w:spacing w:line="360" w:lineRule="auto"/>
        <w:jc w:val="center"/>
        <w:rPr>
          <w:rFonts w:ascii="Times New Roman" w:eastAsia="Calibri" w:hAnsi="Times New Roman" w:cs="Times New Roman"/>
        </w:rPr>
      </w:pPr>
      <w:r w:rsidRPr="0054285D">
        <w:rPr>
          <w:noProof/>
        </w:rPr>
        <w:lastRenderedPageBreak/>
        <w:drawing>
          <wp:inline distT="0" distB="0" distL="0" distR="0">
            <wp:extent cx="5544788" cy="3243532"/>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srcRect l="31633" t="27875" r="19260" b="21054"/>
                    <a:stretch/>
                  </pic:blipFill>
                  <pic:spPr bwMode="auto">
                    <a:xfrm>
                      <a:off x="0" y="0"/>
                      <a:ext cx="5572646" cy="3259828"/>
                    </a:xfrm>
                    <a:prstGeom prst="rect">
                      <a:avLst/>
                    </a:prstGeom>
                    <a:ln>
                      <a:noFill/>
                    </a:ln>
                    <a:extLst>
                      <a:ext uri="{53640926-AAD7-44D8-BBD7-CCE9431645EC}">
                        <a14:shadowObscured xmlns:a14="http://schemas.microsoft.com/office/drawing/2010/main"/>
                      </a:ext>
                    </a:extLst>
                  </pic:spPr>
                </pic:pic>
              </a:graphicData>
            </a:graphic>
          </wp:inline>
        </w:drawing>
      </w:r>
    </w:p>
    <w:p w:rsidR="00AE7A4C" w:rsidRPr="0054285D" w:rsidRDefault="00124052" w:rsidP="00124052">
      <w:pPr>
        <w:rPr>
          <w:rFonts w:ascii="Times New Roman" w:eastAsia="Calibri" w:hAnsi="Times New Roman" w:cs="Times New Roman"/>
        </w:rPr>
      </w:pPr>
      <w:bookmarkStart w:id="362" w:name="_Ref468623492"/>
      <w:bookmarkStart w:id="363" w:name="_Toc495848422"/>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89</w:t>
      </w:r>
      <w:r w:rsidR="009A0ED7" w:rsidRPr="0054285D">
        <w:rPr>
          <w:rFonts w:ascii="Times New Roman" w:hAnsi="Times New Roman" w:cs="Times New Roman"/>
        </w:rPr>
        <w:fldChar w:fldCharType="end"/>
      </w:r>
      <w:bookmarkEnd w:id="362"/>
      <w:r w:rsidRPr="0054285D">
        <w:rPr>
          <w:rFonts w:ascii="Times New Roman" w:hAnsi="Times New Roman" w:cs="Times New Roman"/>
        </w:rPr>
        <w:t xml:space="preserve">. </w:t>
      </w:r>
      <w:r w:rsidR="00361475" w:rsidRPr="0054285D">
        <w:rPr>
          <w:rFonts w:ascii="Times New Roman" w:eastAsia="Calibri" w:hAnsi="Times New Roman" w:cs="Times New Roman"/>
        </w:rPr>
        <w:t>Silicomanganese</w:t>
      </w:r>
      <w:r w:rsidR="00AE7A4C" w:rsidRPr="0054285D">
        <w:rPr>
          <w:rFonts w:ascii="Times New Roman" w:eastAsia="Calibri" w:hAnsi="Times New Roman" w:cs="Times New Roman"/>
        </w:rPr>
        <w:t xml:space="preserve"> </w:t>
      </w:r>
      <w:r w:rsidR="00361475" w:rsidRPr="0054285D">
        <w:rPr>
          <w:rFonts w:ascii="Times New Roman" w:eastAsia="Calibri" w:hAnsi="Times New Roman" w:cs="Times New Roman"/>
        </w:rPr>
        <w:t>model utilising data from Haque</w:t>
      </w:r>
      <w:r w:rsidR="00AE7A4C" w:rsidRPr="0054285D">
        <w:rPr>
          <w:rFonts w:ascii="Times New Roman" w:eastAsia="Calibri" w:hAnsi="Times New Roman" w:cs="Times New Roman"/>
        </w:rPr>
        <w:t>.</w:t>
      </w:r>
      <w:bookmarkEnd w:id="363"/>
    </w:p>
    <w:p w:rsidR="00AE7A4C" w:rsidRPr="0054285D" w:rsidRDefault="00AE7A4C" w:rsidP="009F5B9E">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 xml:space="preserve">Data from Eurometaux was also used to create a </w:t>
      </w:r>
      <w:r w:rsidR="009F5B9E" w:rsidRPr="0054285D">
        <w:rPr>
          <w:rFonts w:ascii="Times New Roman" w:eastAsia="Calibri" w:hAnsi="Times New Roman" w:cs="Times New Roman"/>
        </w:rPr>
        <w:t xml:space="preserve">silicomanganese </w:t>
      </w:r>
      <w:r w:rsidRPr="0054285D">
        <w:rPr>
          <w:rFonts w:ascii="Times New Roman" w:eastAsia="Calibri" w:hAnsi="Times New Roman" w:cs="Times New Roman"/>
        </w:rPr>
        <w:t xml:space="preserve">process. </w:t>
      </w:r>
      <w:r w:rsidR="009F5B9E" w:rsidRPr="0054285D">
        <w:rPr>
          <w:rFonts w:ascii="Times New Roman" w:eastAsia="Calibri" w:hAnsi="Times New Roman" w:cs="Times New Roman"/>
        </w:rPr>
        <w:t>With this data source t</w:t>
      </w:r>
      <w:r w:rsidRPr="0054285D">
        <w:rPr>
          <w:rFonts w:ascii="Times New Roman" w:eastAsia="Calibri" w:hAnsi="Times New Roman" w:cs="Times New Roman"/>
        </w:rPr>
        <w:t xml:space="preserve">he production route was assumed to be via submerged electric arc furnace. The functional unit for </w:t>
      </w:r>
      <w:r w:rsidR="009F5B9E" w:rsidRPr="0054285D">
        <w:rPr>
          <w:rFonts w:ascii="Times New Roman" w:eastAsia="Calibri" w:hAnsi="Times New Roman" w:cs="Times New Roman"/>
        </w:rPr>
        <w:t>the process was 1000 kg of silicomanganese</w:t>
      </w:r>
      <w:r w:rsidRPr="0054285D">
        <w:rPr>
          <w:rFonts w:ascii="Times New Roman" w:eastAsia="Calibri" w:hAnsi="Times New Roman" w:cs="Times New Roman"/>
        </w:rPr>
        <w:t>, and the key components of the process can be seen below.</w:t>
      </w:r>
    </w:p>
    <w:p w:rsidR="00AE7A4C" w:rsidRPr="0054285D" w:rsidRDefault="00124052" w:rsidP="009F5B9E">
      <w:pPr>
        <w:spacing w:line="360" w:lineRule="auto"/>
        <w:jc w:val="both"/>
        <w:rPr>
          <w:rFonts w:ascii="Times New Roman" w:eastAsia="Calibri" w:hAnsi="Times New Roman" w:cs="Times New Roman"/>
        </w:rPr>
      </w:pPr>
      <w:bookmarkStart w:id="364" w:name="_Toc474486569"/>
      <w:bookmarkStart w:id="365" w:name="_Toc495852740"/>
      <w:r w:rsidRPr="0054285D">
        <w:rPr>
          <w:rFonts w:ascii="Times New Roman" w:hAnsi="Times New Roman" w:cs="Times New Roman"/>
        </w:rPr>
        <w:t xml:space="preserve">Table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Table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62</w:t>
      </w:r>
      <w:r w:rsidR="009A0ED7" w:rsidRPr="0054285D">
        <w:rPr>
          <w:rFonts w:ascii="Times New Roman" w:hAnsi="Times New Roman" w:cs="Times New Roman"/>
        </w:rPr>
        <w:fldChar w:fldCharType="end"/>
      </w:r>
      <w:r w:rsidRPr="0054285D">
        <w:rPr>
          <w:rFonts w:ascii="Times New Roman" w:hAnsi="Times New Roman" w:cs="Times New Roman"/>
        </w:rPr>
        <w:t xml:space="preserve">. </w:t>
      </w:r>
      <w:r w:rsidR="00AE7A4C" w:rsidRPr="0054285D">
        <w:rPr>
          <w:rFonts w:ascii="Times New Roman" w:eastAsia="Calibri" w:hAnsi="Times New Roman" w:cs="Times New Roman"/>
        </w:rPr>
        <w:t>Inventory from Eurometaux for Si-Mn process.</w:t>
      </w:r>
      <w:bookmarkEnd w:id="364"/>
      <w:bookmarkEnd w:id="365"/>
    </w:p>
    <w:tbl>
      <w:tblPr>
        <w:tblW w:w="4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078"/>
        <w:gridCol w:w="1460"/>
      </w:tblGrid>
      <w:tr w:rsidR="00124052" w:rsidRPr="0054285D" w:rsidTr="00D2436E">
        <w:trPr>
          <w:trHeight w:val="300"/>
          <w:jc w:val="center"/>
        </w:trPr>
        <w:tc>
          <w:tcPr>
            <w:tcW w:w="2547"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Input </w:t>
            </w:r>
          </w:p>
        </w:tc>
        <w:tc>
          <w:tcPr>
            <w:tcW w:w="751"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Inventory</w:t>
            </w:r>
          </w:p>
        </w:tc>
        <w:tc>
          <w:tcPr>
            <w:tcW w:w="146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Units</w:t>
            </w:r>
          </w:p>
        </w:tc>
      </w:tr>
      <w:tr w:rsidR="00124052" w:rsidRPr="0054285D" w:rsidTr="00D2436E">
        <w:trPr>
          <w:trHeight w:val="300"/>
          <w:jc w:val="center"/>
        </w:trPr>
        <w:tc>
          <w:tcPr>
            <w:tcW w:w="2547"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Mn Ore </w:t>
            </w:r>
          </w:p>
        </w:tc>
        <w:tc>
          <w:tcPr>
            <w:tcW w:w="751"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500.00</w:t>
            </w:r>
          </w:p>
        </w:tc>
        <w:tc>
          <w:tcPr>
            <w:tcW w:w="146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kg/t</w:t>
            </w:r>
          </w:p>
        </w:tc>
      </w:tr>
      <w:tr w:rsidR="00124052" w:rsidRPr="0054285D" w:rsidTr="00D2436E">
        <w:trPr>
          <w:trHeight w:val="300"/>
          <w:jc w:val="center"/>
        </w:trPr>
        <w:tc>
          <w:tcPr>
            <w:tcW w:w="2547"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Coke</w:t>
            </w:r>
          </w:p>
        </w:tc>
        <w:tc>
          <w:tcPr>
            <w:tcW w:w="751"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400.00</w:t>
            </w:r>
          </w:p>
        </w:tc>
        <w:tc>
          <w:tcPr>
            <w:tcW w:w="146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kg/t</w:t>
            </w:r>
          </w:p>
        </w:tc>
      </w:tr>
      <w:tr w:rsidR="00124052" w:rsidRPr="0054285D" w:rsidTr="00D2436E">
        <w:trPr>
          <w:trHeight w:val="300"/>
          <w:jc w:val="center"/>
        </w:trPr>
        <w:tc>
          <w:tcPr>
            <w:tcW w:w="2547"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Electrode</w:t>
            </w:r>
          </w:p>
        </w:tc>
        <w:tc>
          <w:tcPr>
            <w:tcW w:w="751"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10.00</w:t>
            </w:r>
          </w:p>
        </w:tc>
        <w:tc>
          <w:tcPr>
            <w:tcW w:w="146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kg/t</w:t>
            </w:r>
          </w:p>
        </w:tc>
      </w:tr>
      <w:tr w:rsidR="00124052" w:rsidRPr="0054285D" w:rsidTr="00D2436E">
        <w:trPr>
          <w:trHeight w:val="345"/>
          <w:jc w:val="center"/>
        </w:trPr>
        <w:tc>
          <w:tcPr>
            <w:tcW w:w="2547"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Cooling Water</w:t>
            </w:r>
          </w:p>
        </w:tc>
        <w:tc>
          <w:tcPr>
            <w:tcW w:w="751"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1.50</w:t>
            </w:r>
          </w:p>
        </w:tc>
        <w:tc>
          <w:tcPr>
            <w:tcW w:w="146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m</w:t>
            </w:r>
            <w:r w:rsidRPr="0054285D">
              <w:rPr>
                <w:rFonts w:ascii="Calibri" w:eastAsia="Times New Roman" w:hAnsi="Calibri" w:cs="Times New Roman"/>
                <w:vertAlign w:val="superscript"/>
              </w:rPr>
              <w:t>3</w:t>
            </w:r>
            <w:r w:rsidRPr="0054285D">
              <w:rPr>
                <w:rFonts w:ascii="Calibri" w:eastAsia="Times New Roman" w:hAnsi="Calibri" w:cs="Times New Roman"/>
              </w:rPr>
              <w:t>/t</w:t>
            </w:r>
          </w:p>
        </w:tc>
      </w:tr>
      <w:tr w:rsidR="00124052" w:rsidRPr="0054285D" w:rsidTr="00D2436E">
        <w:trPr>
          <w:trHeight w:val="300"/>
          <w:jc w:val="center"/>
        </w:trPr>
        <w:tc>
          <w:tcPr>
            <w:tcW w:w="2547"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Electricity </w:t>
            </w:r>
          </w:p>
        </w:tc>
        <w:tc>
          <w:tcPr>
            <w:tcW w:w="751"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3800.00</w:t>
            </w:r>
          </w:p>
        </w:tc>
        <w:tc>
          <w:tcPr>
            <w:tcW w:w="146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 xml:space="preserve">kWh/ t </w:t>
            </w:r>
          </w:p>
        </w:tc>
      </w:tr>
      <w:tr w:rsidR="00124052" w:rsidRPr="0054285D" w:rsidTr="00D2436E">
        <w:trPr>
          <w:trHeight w:val="300"/>
          <w:jc w:val="center"/>
        </w:trPr>
        <w:tc>
          <w:tcPr>
            <w:tcW w:w="2547"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Fe-Mn Slag</w:t>
            </w:r>
          </w:p>
        </w:tc>
        <w:tc>
          <w:tcPr>
            <w:tcW w:w="751"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400.00</w:t>
            </w:r>
          </w:p>
        </w:tc>
        <w:tc>
          <w:tcPr>
            <w:tcW w:w="1460" w:type="dxa"/>
            <w:shd w:val="clear" w:color="auto" w:fill="auto"/>
            <w:noWrap/>
            <w:vAlign w:val="bottom"/>
            <w:hideMark/>
          </w:tcPr>
          <w:p w:rsidR="00124052" w:rsidRPr="0054285D" w:rsidRDefault="00124052" w:rsidP="00EC3CBF">
            <w:pPr>
              <w:spacing w:after="0" w:line="240" w:lineRule="auto"/>
              <w:jc w:val="center"/>
              <w:rPr>
                <w:rFonts w:ascii="Calibri" w:eastAsia="Times New Roman" w:hAnsi="Calibri" w:cs="Times New Roman"/>
              </w:rPr>
            </w:pPr>
            <w:r w:rsidRPr="0054285D">
              <w:rPr>
                <w:rFonts w:ascii="Calibri" w:eastAsia="Times New Roman" w:hAnsi="Calibri" w:cs="Times New Roman"/>
              </w:rPr>
              <w:t>kg/t</w:t>
            </w:r>
          </w:p>
        </w:tc>
      </w:tr>
    </w:tbl>
    <w:p w:rsidR="00AE7A4C" w:rsidRPr="0054285D" w:rsidRDefault="00AE7A4C" w:rsidP="00AE7A4C">
      <w:pPr>
        <w:spacing w:line="360" w:lineRule="auto"/>
        <w:rPr>
          <w:rFonts w:ascii="Times New Roman" w:eastAsia="Calibri" w:hAnsi="Times New Roman" w:cs="Times New Roman"/>
          <w:b/>
        </w:rPr>
      </w:pPr>
    </w:p>
    <w:p w:rsidR="00AE7A4C" w:rsidRPr="0054285D" w:rsidRDefault="009F5B9E" w:rsidP="00124052">
      <w:pPr>
        <w:spacing w:after="0" w:line="360" w:lineRule="auto"/>
        <w:ind w:firstLine="720"/>
        <w:jc w:val="both"/>
        <w:rPr>
          <w:rFonts w:ascii="Times New Roman" w:eastAsia="Calibri" w:hAnsi="Times New Roman" w:cs="Times New Roman"/>
        </w:rPr>
      </w:pPr>
      <w:r w:rsidRPr="0054285D">
        <w:rPr>
          <w:rFonts w:ascii="Times New Roman" w:eastAsia="Calibri" w:hAnsi="Times New Roman" w:cs="Times New Roman"/>
        </w:rPr>
        <w:t>The silicomanganese</w:t>
      </w:r>
      <w:r w:rsidR="00AE7A4C" w:rsidRPr="0054285D">
        <w:rPr>
          <w:rFonts w:ascii="Times New Roman" w:eastAsia="Calibri" w:hAnsi="Times New Roman" w:cs="Times New Roman"/>
        </w:rPr>
        <w:t xml:space="preserve"> process was modelled as a single stage with all inputs inserted int</w:t>
      </w:r>
      <w:r w:rsidRPr="0054285D">
        <w:rPr>
          <w:rFonts w:ascii="Times New Roman" w:eastAsia="Calibri" w:hAnsi="Times New Roman" w:cs="Times New Roman"/>
        </w:rPr>
        <w:t>o a central process called silicomanganese</w:t>
      </w:r>
      <w:r w:rsidR="00AE7A4C" w:rsidRPr="0054285D">
        <w:rPr>
          <w:rFonts w:ascii="Times New Roman" w:eastAsia="Calibri" w:hAnsi="Times New Roman" w:cs="Times New Roman"/>
        </w:rPr>
        <w:t xml:space="preserve"> as flows. The relevant processes were then located in </w:t>
      </w:r>
      <w:r w:rsidR="004D2D91" w:rsidRPr="0054285D">
        <w:rPr>
          <w:rFonts w:ascii="Times New Roman" w:eastAsia="Calibri" w:hAnsi="Times New Roman" w:cs="Times New Roman"/>
        </w:rPr>
        <w:t>GaBi</w:t>
      </w:r>
      <w:r w:rsidR="00AE7A4C" w:rsidRPr="0054285D">
        <w:rPr>
          <w:rFonts w:ascii="Times New Roman" w:eastAsia="Calibri" w:hAnsi="Times New Roman" w:cs="Times New Roman"/>
        </w:rPr>
        <w:t xml:space="preserve"> database and flows attached linking the input processes to the central process. Carbon corrections were made for coke and electrode as well as altering electricity to come from Australia. Finall</w:t>
      </w:r>
      <w:r w:rsidRPr="0054285D">
        <w:rPr>
          <w:rFonts w:ascii="Times New Roman" w:eastAsia="Calibri" w:hAnsi="Times New Roman" w:cs="Times New Roman"/>
        </w:rPr>
        <w:t>y, there was no process for ferromanganese</w:t>
      </w:r>
      <w:r w:rsidR="00AE7A4C" w:rsidRPr="0054285D">
        <w:rPr>
          <w:rFonts w:ascii="Times New Roman" w:eastAsia="Calibri" w:hAnsi="Times New Roman" w:cs="Times New Roman"/>
        </w:rPr>
        <w:t xml:space="preserve"> slag</w:t>
      </w:r>
      <w:r w:rsidRPr="0054285D">
        <w:rPr>
          <w:rFonts w:ascii="Times New Roman" w:eastAsia="Calibri" w:hAnsi="Times New Roman" w:cs="Times New Roman"/>
        </w:rPr>
        <w:t xml:space="preserve"> in </w:t>
      </w:r>
      <w:r w:rsidR="004D2D91" w:rsidRPr="0054285D">
        <w:rPr>
          <w:rFonts w:ascii="Times New Roman" w:eastAsia="Calibri" w:hAnsi="Times New Roman" w:cs="Times New Roman"/>
        </w:rPr>
        <w:t>GaBi</w:t>
      </w:r>
      <w:r w:rsidRPr="0054285D">
        <w:rPr>
          <w:rFonts w:ascii="Times New Roman" w:eastAsia="Calibri" w:hAnsi="Times New Roman" w:cs="Times New Roman"/>
        </w:rPr>
        <w:t xml:space="preserve"> so ferromanganese</w:t>
      </w:r>
      <w:r w:rsidR="00AE7A4C" w:rsidRPr="0054285D">
        <w:rPr>
          <w:rFonts w:ascii="Times New Roman" w:eastAsia="Calibri" w:hAnsi="Times New Roman" w:cs="Times New Roman"/>
        </w:rPr>
        <w:t xml:space="preserve"> was used as an alternativ</w:t>
      </w:r>
      <w:r w:rsidRPr="0054285D">
        <w:rPr>
          <w:rFonts w:ascii="Times New Roman" w:eastAsia="Calibri" w:hAnsi="Times New Roman" w:cs="Times New Roman"/>
        </w:rPr>
        <w:t>e, In this case it was the ferromanganese</w:t>
      </w:r>
      <w:r w:rsidR="00AE7A4C" w:rsidRPr="0054285D">
        <w:rPr>
          <w:rFonts w:ascii="Times New Roman" w:eastAsia="Calibri" w:hAnsi="Times New Roman" w:cs="Times New Roman"/>
        </w:rPr>
        <w:t xml:space="preserve"> produced from Haque that was used. The complete</w:t>
      </w:r>
      <w:r w:rsidR="00A6450F" w:rsidRPr="0054285D">
        <w:rPr>
          <w:rFonts w:ascii="Times New Roman" w:eastAsia="Calibri" w:hAnsi="Times New Roman" w:cs="Times New Roman"/>
        </w:rPr>
        <w:t xml:space="preserve"> process can be seen in </w:t>
      </w:r>
      <w:r w:rsidR="00A6415F" w:rsidRPr="0054285D">
        <w:fldChar w:fldCharType="begin"/>
      </w:r>
      <w:r w:rsidR="00A6415F" w:rsidRPr="0054285D">
        <w:instrText xml:space="preserve"> REF _Ref468623608 \h  \* MERGEFORMAT </w:instrText>
      </w:r>
      <w:r w:rsidR="00A6415F" w:rsidRPr="0054285D">
        <w:fldChar w:fldCharType="separate"/>
      </w:r>
      <w:r w:rsidR="009F5483" w:rsidRPr="0054285D">
        <w:rPr>
          <w:rFonts w:ascii="Times New Roman" w:hAnsi="Times New Roman" w:cs="Times New Roman"/>
        </w:rPr>
        <w:t xml:space="preserve">Figure </w:t>
      </w:r>
      <w:r w:rsidR="009F5483">
        <w:rPr>
          <w:rFonts w:ascii="Times New Roman" w:hAnsi="Times New Roman" w:cs="Times New Roman"/>
          <w:noProof/>
        </w:rPr>
        <w:t>90</w:t>
      </w:r>
      <w:r w:rsidR="00A6415F" w:rsidRPr="0054285D">
        <w:fldChar w:fldCharType="end"/>
      </w:r>
      <w:r w:rsidR="00AE7A4C" w:rsidRPr="0054285D">
        <w:rPr>
          <w:rFonts w:ascii="Times New Roman" w:eastAsia="Calibri" w:hAnsi="Times New Roman" w:cs="Times New Roman"/>
        </w:rPr>
        <w:t>.</w:t>
      </w:r>
    </w:p>
    <w:p w:rsidR="00AE7A4C" w:rsidRPr="0054285D" w:rsidRDefault="00AE7A4C" w:rsidP="00124052">
      <w:pPr>
        <w:spacing w:after="0"/>
        <w:rPr>
          <w:rFonts w:ascii="Times New Roman" w:eastAsia="Calibri" w:hAnsi="Times New Roman" w:cs="Times New Roman"/>
        </w:rPr>
      </w:pPr>
    </w:p>
    <w:p w:rsidR="00124052" w:rsidRPr="0054285D" w:rsidRDefault="003601AA" w:rsidP="00D2436E">
      <w:pPr>
        <w:jc w:val="center"/>
        <w:rPr>
          <w:rFonts w:ascii="Times New Roman" w:hAnsi="Times New Roman" w:cs="Times New Roman"/>
        </w:rPr>
      </w:pPr>
      <w:r w:rsidRPr="0054285D">
        <w:rPr>
          <w:noProof/>
        </w:rPr>
        <w:lastRenderedPageBreak/>
        <w:drawing>
          <wp:inline distT="0" distB="0" distL="0" distR="0" wp14:anchorId="005194C5" wp14:editId="54C50A01">
            <wp:extent cx="5637475" cy="3154849"/>
            <wp:effectExtent l="0" t="0" r="1905"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cstate="print"/>
                    <a:srcRect l="36079" t="36009" r="19537" b="19832"/>
                    <a:stretch/>
                  </pic:blipFill>
                  <pic:spPr bwMode="auto">
                    <a:xfrm>
                      <a:off x="0" y="0"/>
                      <a:ext cx="5646578" cy="3159943"/>
                    </a:xfrm>
                    <a:prstGeom prst="rect">
                      <a:avLst/>
                    </a:prstGeom>
                    <a:ln>
                      <a:noFill/>
                    </a:ln>
                    <a:extLst>
                      <a:ext uri="{53640926-AAD7-44D8-BBD7-CCE9431645EC}">
                        <a14:shadowObscured xmlns:a14="http://schemas.microsoft.com/office/drawing/2010/main"/>
                      </a:ext>
                    </a:extLst>
                  </pic:spPr>
                </pic:pic>
              </a:graphicData>
            </a:graphic>
          </wp:inline>
        </w:drawing>
      </w:r>
    </w:p>
    <w:p w:rsidR="009F5B9E" w:rsidRDefault="00124052" w:rsidP="009F5B9E">
      <w:pPr>
        <w:rPr>
          <w:rFonts w:ascii="Times New Roman" w:eastAsia="Calibri" w:hAnsi="Times New Roman" w:cs="Times New Roman"/>
        </w:rPr>
      </w:pPr>
      <w:bookmarkStart w:id="366" w:name="_Ref468623608"/>
      <w:bookmarkStart w:id="367" w:name="_Toc495848423"/>
      <w:r w:rsidRPr="0054285D">
        <w:rPr>
          <w:rFonts w:ascii="Times New Roman" w:hAnsi="Times New Roman" w:cs="Times New Roman"/>
        </w:rPr>
        <w:t xml:space="preserve">Figure </w:t>
      </w:r>
      <w:r w:rsidR="009A0ED7" w:rsidRPr="0054285D">
        <w:rPr>
          <w:rFonts w:ascii="Times New Roman" w:hAnsi="Times New Roman" w:cs="Times New Roman"/>
        </w:rPr>
        <w:fldChar w:fldCharType="begin"/>
      </w:r>
      <w:r w:rsidRPr="0054285D">
        <w:rPr>
          <w:rFonts w:ascii="Times New Roman" w:hAnsi="Times New Roman" w:cs="Times New Roman"/>
        </w:rPr>
        <w:instrText xml:space="preserve"> SEQ Figure \* ARABIC </w:instrText>
      </w:r>
      <w:r w:rsidR="009A0ED7" w:rsidRPr="0054285D">
        <w:rPr>
          <w:rFonts w:ascii="Times New Roman" w:hAnsi="Times New Roman" w:cs="Times New Roman"/>
        </w:rPr>
        <w:fldChar w:fldCharType="separate"/>
      </w:r>
      <w:r w:rsidR="009F5483">
        <w:rPr>
          <w:rFonts w:ascii="Times New Roman" w:hAnsi="Times New Roman" w:cs="Times New Roman"/>
          <w:noProof/>
        </w:rPr>
        <w:t>90</w:t>
      </w:r>
      <w:r w:rsidR="009A0ED7" w:rsidRPr="0054285D">
        <w:rPr>
          <w:rFonts w:ascii="Times New Roman" w:hAnsi="Times New Roman" w:cs="Times New Roman"/>
        </w:rPr>
        <w:fldChar w:fldCharType="end"/>
      </w:r>
      <w:bookmarkEnd w:id="366"/>
      <w:r w:rsidRPr="0054285D">
        <w:rPr>
          <w:rFonts w:ascii="Times New Roman" w:hAnsi="Times New Roman" w:cs="Times New Roman"/>
        </w:rPr>
        <w:t xml:space="preserve">. </w:t>
      </w:r>
      <w:r w:rsidR="009F5B9E" w:rsidRPr="0054285D">
        <w:rPr>
          <w:rFonts w:ascii="Times New Roman" w:eastAsia="Calibri" w:hAnsi="Times New Roman" w:cs="Times New Roman"/>
        </w:rPr>
        <w:t>Silicomanganese model from Eurometaux data.</w:t>
      </w:r>
      <w:bookmarkEnd w:id="367"/>
    </w:p>
    <w:p w:rsidR="000014F1" w:rsidRPr="0054285D" w:rsidRDefault="000014F1" w:rsidP="009F5B9E">
      <w:pPr>
        <w:rPr>
          <w:rFonts w:ascii="Times New Roman" w:eastAsia="Calibri" w:hAnsi="Times New Roman" w:cs="Times New Roman"/>
        </w:rPr>
      </w:pPr>
    </w:p>
    <w:p w:rsidR="00EC3CBF" w:rsidRPr="0054285D" w:rsidRDefault="00EC3CBF" w:rsidP="00124052">
      <w:pPr>
        <w:spacing w:after="0" w:line="360" w:lineRule="auto"/>
        <w:ind w:firstLine="720"/>
        <w:jc w:val="both"/>
        <w:rPr>
          <w:rFonts w:ascii="Times New Roman" w:eastAsia="Calibri" w:hAnsi="Times New Roman" w:cs="Times New Roman"/>
        </w:rPr>
        <w:sectPr w:rsidR="00EC3CBF" w:rsidRPr="0054285D" w:rsidSect="00C24042">
          <w:pgSz w:w="11906" w:h="16838"/>
          <w:pgMar w:top="1440" w:right="1440" w:bottom="1440" w:left="1440" w:header="708" w:footer="708" w:gutter="0"/>
          <w:cols w:space="708"/>
          <w:docGrid w:linePitch="360"/>
        </w:sectPr>
      </w:pPr>
    </w:p>
    <w:p w:rsidR="00AE7A4C" w:rsidRPr="005B3139" w:rsidRDefault="00AE7A4C" w:rsidP="00AE7A4C">
      <w:pPr>
        <w:pStyle w:val="Heading1"/>
        <w:rPr>
          <w:rFonts w:eastAsia="Calibri Light"/>
        </w:rPr>
      </w:pPr>
      <w:r w:rsidRPr="005B3139">
        <w:rPr>
          <w:rFonts w:eastAsia="Calibri Light"/>
        </w:rPr>
        <w:lastRenderedPageBreak/>
        <w:t>E. Breakdown of grades of steel calculations</w:t>
      </w:r>
      <w:r w:rsidR="0054285D">
        <w:rPr>
          <w:rFonts w:eastAsia="Calibri Light"/>
        </w:rPr>
        <w:t xml:space="preserve"> </w:t>
      </w:r>
    </w:p>
    <w:p w:rsidR="00AE7A4C" w:rsidRPr="00EC3CBF" w:rsidRDefault="00EC3CBF" w:rsidP="00EC3CBF">
      <w:pPr>
        <w:rPr>
          <w:rFonts w:ascii="Times New Roman" w:eastAsia="Calibri" w:hAnsi="Times New Roman" w:cs="Times New Roman"/>
        </w:rPr>
      </w:pPr>
      <w:bookmarkStart w:id="368" w:name="_Toc474486570"/>
      <w:bookmarkStart w:id="369" w:name="_Toc495852741"/>
      <w:r w:rsidRPr="00EC3CBF">
        <w:rPr>
          <w:rFonts w:ascii="Times New Roman" w:hAnsi="Times New Roman" w:cs="Times New Roman"/>
        </w:rPr>
        <w:t xml:space="preserve">Table </w:t>
      </w:r>
      <w:r w:rsidR="009A0ED7" w:rsidRPr="00EC3CBF">
        <w:rPr>
          <w:rFonts w:ascii="Times New Roman" w:hAnsi="Times New Roman" w:cs="Times New Roman"/>
        </w:rPr>
        <w:fldChar w:fldCharType="begin"/>
      </w:r>
      <w:r w:rsidRPr="00EC3CBF">
        <w:rPr>
          <w:rFonts w:ascii="Times New Roman" w:hAnsi="Times New Roman" w:cs="Times New Roman"/>
        </w:rPr>
        <w:instrText xml:space="preserve"> SEQ Table \* ARABIC </w:instrText>
      </w:r>
      <w:r w:rsidR="009A0ED7" w:rsidRPr="00EC3CBF">
        <w:rPr>
          <w:rFonts w:ascii="Times New Roman" w:hAnsi="Times New Roman" w:cs="Times New Roman"/>
        </w:rPr>
        <w:fldChar w:fldCharType="separate"/>
      </w:r>
      <w:r w:rsidR="009F5483">
        <w:rPr>
          <w:rFonts w:ascii="Times New Roman" w:hAnsi="Times New Roman" w:cs="Times New Roman"/>
          <w:noProof/>
        </w:rPr>
        <w:t>63</w:t>
      </w:r>
      <w:r w:rsidR="009A0ED7" w:rsidRPr="00EC3CBF">
        <w:rPr>
          <w:rFonts w:ascii="Times New Roman" w:hAnsi="Times New Roman" w:cs="Times New Roman"/>
        </w:rPr>
        <w:fldChar w:fldCharType="end"/>
      </w:r>
      <w:r w:rsidRPr="00EC3CBF">
        <w:rPr>
          <w:rFonts w:ascii="Times New Roman" w:hAnsi="Times New Roman" w:cs="Times New Roman"/>
        </w:rPr>
        <w:t xml:space="preserve">. </w:t>
      </w:r>
      <w:r w:rsidR="00AE7A4C" w:rsidRPr="00EC3CBF">
        <w:rPr>
          <w:rFonts w:ascii="Times New Roman" w:eastAsia="Calibri" w:hAnsi="Times New Roman" w:cs="Times New Roman"/>
        </w:rPr>
        <w:t>Breakdown of additional CO</w:t>
      </w:r>
      <w:r w:rsidR="00AE7A4C" w:rsidRPr="00EC3CBF">
        <w:rPr>
          <w:rFonts w:ascii="Times New Roman" w:eastAsia="Calibri" w:hAnsi="Times New Roman" w:cs="Times New Roman"/>
          <w:vertAlign w:val="subscript"/>
        </w:rPr>
        <w:t>2</w:t>
      </w:r>
      <w:r w:rsidR="00AE7A4C" w:rsidRPr="00EC3CBF">
        <w:rPr>
          <w:rFonts w:ascii="Times New Roman" w:eastAsia="Calibri" w:hAnsi="Times New Roman" w:cs="Times New Roman"/>
        </w:rPr>
        <w:t xml:space="preserve"> impact due to alloying additions (kgCO</w:t>
      </w:r>
      <w:r w:rsidR="00AE7A4C" w:rsidRPr="00EC3CBF">
        <w:rPr>
          <w:rFonts w:ascii="Times New Roman" w:eastAsia="Calibri" w:hAnsi="Times New Roman" w:cs="Times New Roman"/>
          <w:vertAlign w:val="subscript"/>
        </w:rPr>
        <w:t>2</w:t>
      </w:r>
      <w:r w:rsidR="00AE7A4C" w:rsidRPr="00EC3CBF">
        <w:rPr>
          <w:rFonts w:ascii="Times New Roman" w:eastAsia="Calibri" w:hAnsi="Times New Roman" w:cs="Times New Roman"/>
        </w:rPr>
        <w:t>/kg) for Boron steel grade.</w:t>
      </w:r>
      <w:bookmarkEnd w:id="368"/>
      <w:bookmarkEnd w:id="369"/>
    </w:p>
    <w:tbl>
      <w:tblPr>
        <w:tblW w:w="14460" w:type="dxa"/>
        <w:tblLook w:val="04A0" w:firstRow="1" w:lastRow="0" w:firstColumn="1" w:lastColumn="0" w:noHBand="0" w:noVBand="1"/>
      </w:tblPr>
      <w:tblGrid>
        <w:gridCol w:w="960"/>
        <w:gridCol w:w="3680"/>
        <w:gridCol w:w="1500"/>
        <w:gridCol w:w="1500"/>
        <w:gridCol w:w="1244"/>
        <w:gridCol w:w="1240"/>
        <w:gridCol w:w="1120"/>
        <w:gridCol w:w="1120"/>
        <w:gridCol w:w="1194"/>
        <w:gridCol w:w="1194"/>
      </w:tblGrid>
      <w:tr w:rsidR="00EC3CBF" w:rsidRPr="00EC3CBF" w:rsidTr="00EC3CBF">
        <w:trPr>
          <w:trHeight w:val="810"/>
        </w:trPr>
        <w:tc>
          <w:tcPr>
            <w:tcW w:w="960" w:type="dxa"/>
            <w:tcBorders>
              <w:top w:val="single" w:sz="4" w:space="0" w:color="auto"/>
              <w:left w:val="single" w:sz="4" w:space="0" w:color="auto"/>
              <w:bottom w:val="nil"/>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Grade</w:t>
            </w:r>
          </w:p>
        </w:tc>
        <w:tc>
          <w:tcPr>
            <w:tcW w:w="368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Alloying Addition</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Amount Added for Boron Cast (kg)</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Amount Added for Boron Cast (t)</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Emission Factor (kgCO</w:t>
            </w:r>
            <w:r w:rsidRPr="00EC3CBF">
              <w:rPr>
                <w:rFonts w:ascii="Arial" w:eastAsia="Times New Roman" w:hAnsi="Arial" w:cs="Arial"/>
                <w:b/>
                <w:bCs/>
                <w:sz w:val="20"/>
                <w:szCs w:val="20"/>
                <w:vertAlign w:val="subscript"/>
              </w:rPr>
              <w:t>2</w:t>
            </w:r>
            <w:r w:rsidRPr="00EC3CBF">
              <w:rPr>
                <w:rFonts w:ascii="Arial" w:eastAsia="Times New Roman" w:hAnsi="Arial" w:cs="Arial"/>
                <w:b/>
                <w:bCs/>
                <w:sz w:val="20"/>
                <w:szCs w:val="20"/>
              </w:rPr>
              <w:t>/kg)</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Emission Factor (kgCO</w:t>
            </w:r>
            <w:r w:rsidRPr="00EC3CBF">
              <w:rPr>
                <w:rFonts w:ascii="Arial" w:eastAsia="Times New Roman" w:hAnsi="Arial" w:cs="Arial"/>
                <w:b/>
                <w:bCs/>
                <w:sz w:val="20"/>
                <w:szCs w:val="20"/>
                <w:vertAlign w:val="subscript"/>
              </w:rPr>
              <w:t>2</w:t>
            </w:r>
            <w:r w:rsidRPr="00EC3CBF">
              <w:rPr>
                <w:rFonts w:ascii="Arial" w:eastAsia="Times New Roman" w:hAnsi="Arial" w:cs="Arial"/>
                <w:b/>
                <w:bCs/>
                <w:sz w:val="20"/>
                <w:szCs w:val="20"/>
              </w:rPr>
              <w:t>/t)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EC3CBF" w:rsidRPr="007678D9"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CO</w:t>
            </w:r>
            <w:r w:rsidRPr="00EC3CBF">
              <w:rPr>
                <w:rFonts w:ascii="Arial" w:eastAsia="Times New Roman" w:hAnsi="Arial" w:cs="Arial"/>
                <w:b/>
                <w:bCs/>
                <w:sz w:val="20"/>
                <w:szCs w:val="20"/>
                <w:vertAlign w:val="subscript"/>
              </w:rPr>
              <w:t>2</w:t>
            </w:r>
            <w:r w:rsidRPr="00EC3CBF">
              <w:rPr>
                <w:rFonts w:ascii="Arial" w:eastAsia="Times New Roman" w:hAnsi="Arial" w:cs="Arial"/>
                <w:b/>
                <w:bCs/>
                <w:sz w:val="20"/>
                <w:szCs w:val="20"/>
              </w:rPr>
              <w:t xml:space="preserve"> for this cast</w:t>
            </w:r>
            <w:r w:rsidR="007678D9">
              <w:rPr>
                <w:rFonts w:ascii="Arial" w:eastAsia="Times New Roman" w:hAnsi="Arial" w:cs="Arial"/>
                <w:b/>
                <w:bCs/>
                <w:sz w:val="20"/>
                <w:szCs w:val="20"/>
              </w:rPr>
              <w:t xml:space="preserve"> </w:t>
            </w:r>
            <w:r w:rsidR="007678D9" w:rsidRPr="00EC3CBF">
              <w:rPr>
                <w:rFonts w:ascii="Arial" w:eastAsia="Times New Roman" w:hAnsi="Arial" w:cs="Arial"/>
                <w:b/>
                <w:bCs/>
                <w:sz w:val="20"/>
                <w:szCs w:val="20"/>
              </w:rPr>
              <w:t>(kgCO</w:t>
            </w:r>
            <w:r w:rsidR="007678D9" w:rsidRPr="00EC3CBF">
              <w:rPr>
                <w:rFonts w:ascii="Arial" w:eastAsia="Times New Roman" w:hAnsi="Arial" w:cs="Arial"/>
                <w:b/>
                <w:bCs/>
                <w:sz w:val="20"/>
                <w:szCs w:val="20"/>
                <w:vertAlign w:val="subscript"/>
              </w:rPr>
              <w:t>2</w:t>
            </w:r>
            <w:r w:rsidR="007678D9">
              <w:rPr>
                <w:rFonts w:ascii="Arial" w:eastAsia="Times New Roman" w:hAnsi="Arial" w:cs="Arial"/>
                <w:b/>
                <w:bCs/>
                <w:sz w:val="20"/>
                <w:szCs w:val="20"/>
              </w:rPr>
              <w: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Total impact per 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Additional impact per 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Additional impact per kg</w:t>
            </w:r>
          </w:p>
        </w:tc>
      </w:tr>
      <w:tr w:rsidR="00EC3CBF" w:rsidRPr="00EC3CBF" w:rsidTr="00EC3CBF">
        <w:trPr>
          <w:trHeight w:val="255"/>
        </w:trPr>
        <w:tc>
          <w:tcPr>
            <w:tcW w:w="960" w:type="dxa"/>
            <w:vMerge w:val="restart"/>
            <w:tcBorders>
              <w:top w:val="single" w:sz="8" w:space="0" w:color="auto"/>
              <w:left w:val="single" w:sz="8" w:space="0" w:color="auto"/>
              <w:bottom w:val="single" w:sz="8" w:space="0" w:color="000000"/>
              <w:right w:val="single" w:sz="8" w:space="0" w:color="auto"/>
            </w:tcBorders>
            <w:shd w:val="clear" w:color="000000" w:fill="00B0F0"/>
            <w:noWrap/>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Boron</w:t>
            </w: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Carbon</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255</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0.255</w:t>
            </w:r>
          </w:p>
        </w:tc>
        <w:tc>
          <w:tcPr>
            <w:tcW w:w="1100" w:type="dxa"/>
            <w:tcBorders>
              <w:top w:val="nil"/>
              <w:left w:val="nil"/>
              <w:bottom w:val="single" w:sz="4" w:space="0" w:color="auto"/>
              <w:right w:val="single" w:sz="4" w:space="0" w:color="auto"/>
            </w:tcBorders>
            <w:shd w:val="clear" w:color="000000" w:fill="92D05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0.00</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vAlign w:val="center"/>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High Carbon Ferro Manganese</w:t>
            </w:r>
          </w:p>
        </w:tc>
        <w:tc>
          <w:tcPr>
            <w:tcW w:w="1500" w:type="dxa"/>
            <w:tcBorders>
              <w:top w:val="nil"/>
              <w:left w:val="single" w:sz="4" w:space="0" w:color="auto"/>
              <w:bottom w:val="single" w:sz="4" w:space="0" w:color="auto"/>
              <w:right w:val="single" w:sz="4" w:space="0" w:color="auto"/>
            </w:tcBorders>
            <w:shd w:val="clear" w:color="000000" w:fill="FFFFFF"/>
            <w:noWrap/>
            <w:vAlign w:val="center"/>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w:t>
            </w:r>
            <w:r w:rsidR="0008118D">
              <w:rPr>
                <w:rFonts w:ascii="Arial" w:eastAsia="Times New Roman" w:hAnsi="Arial" w:cs="Arial"/>
                <w:sz w:val="20"/>
                <w:szCs w:val="20"/>
              </w:rPr>
              <w:t>,</w:t>
            </w:r>
            <w:r w:rsidRPr="00EC3CBF">
              <w:rPr>
                <w:rFonts w:ascii="Arial" w:eastAsia="Times New Roman" w:hAnsi="Arial" w:cs="Arial"/>
                <w:sz w:val="20"/>
                <w:szCs w:val="20"/>
              </w:rPr>
              <w:t>300</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1.300</w:t>
            </w:r>
          </w:p>
        </w:tc>
        <w:tc>
          <w:tcPr>
            <w:tcW w:w="1100" w:type="dxa"/>
            <w:tcBorders>
              <w:top w:val="nil"/>
              <w:left w:val="nil"/>
              <w:bottom w:val="single" w:sz="4" w:space="0" w:color="auto"/>
              <w:right w:val="single" w:sz="4" w:space="0" w:color="auto"/>
            </w:tcBorders>
            <w:shd w:val="clear" w:color="000000" w:fill="FFFF0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4.56</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w:t>
            </w:r>
            <w:r w:rsidR="0008118D">
              <w:rPr>
                <w:rFonts w:ascii="Arial" w:eastAsia="Times New Roman" w:hAnsi="Arial" w:cs="Arial"/>
                <w:sz w:val="20"/>
                <w:szCs w:val="20"/>
              </w:rPr>
              <w:t>,</w:t>
            </w:r>
            <w:r w:rsidRPr="00EC3CBF">
              <w:rPr>
                <w:rFonts w:ascii="Arial" w:eastAsia="Times New Roman" w:hAnsi="Arial" w:cs="Arial"/>
                <w:sz w:val="20"/>
                <w:szCs w:val="20"/>
              </w:rPr>
              <w:t>560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5</w:t>
            </w:r>
            <w:r w:rsidR="0008118D">
              <w:rPr>
                <w:rFonts w:ascii="Arial" w:eastAsia="Times New Roman" w:hAnsi="Arial" w:cs="Arial"/>
                <w:sz w:val="20"/>
                <w:szCs w:val="20"/>
              </w:rPr>
              <w:t>,</w:t>
            </w:r>
            <w:r w:rsidRPr="00EC3CBF">
              <w:rPr>
                <w:rFonts w:ascii="Arial" w:eastAsia="Times New Roman" w:hAnsi="Arial" w:cs="Arial"/>
                <w:sz w:val="20"/>
                <w:szCs w:val="20"/>
              </w:rPr>
              <w:t>928</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Ferro Silicon</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100</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0.100</w:t>
            </w:r>
          </w:p>
        </w:tc>
        <w:tc>
          <w:tcPr>
            <w:tcW w:w="1100" w:type="dxa"/>
            <w:tcBorders>
              <w:top w:val="nil"/>
              <w:left w:val="nil"/>
              <w:bottom w:val="single" w:sz="4" w:space="0" w:color="auto"/>
              <w:right w:val="single" w:sz="4" w:space="0" w:color="auto"/>
            </w:tcBorders>
            <w:shd w:val="clear" w:color="000000" w:fill="FFFF0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11.50</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11</w:t>
            </w:r>
            <w:r w:rsidR="0008118D">
              <w:rPr>
                <w:rFonts w:ascii="Arial" w:eastAsia="Times New Roman" w:hAnsi="Arial" w:cs="Arial"/>
                <w:sz w:val="20"/>
                <w:szCs w:val="20"/>
              </w:rPr>
              <w:t>,</w:t>
            </w:r>
            <w:r w:rsidRPr="00EC3CBF">
              <w:rPr>
                <w:rFonts w:ascii="Arial" w:eastAsia="Times New Roman" w:hAnsi="Arial" w:cs="Arial"/>
                <w:sz w:val="20"/>
                <w:szCs w:val="20"/>
              </w:rPr>
              <w:t>500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w:t>
            </w:r>
            <w:r w:rsidR="0008118D">
              <w:rPr>
                <w:rFonts w:ascii="Arial" w:eastAsia="Times New Roman" w:hAnsi="Arial" w:cs="Arial"/>
                <w:sz w:val="20"/>
                <w:szCs w:val="20"/>
              </w:rPr>
              <w:t>,</w:t>
            </w:r>
            <w:r w:rsidRPr="00EC3CBF">
              <w:rPr>
                <w:rFonts w:ascii="Arial" w:eastAsia="Times New Roman" w:hAnsi="Arial" w:cs="Arial"/>
                <w:sz w:val="20"/>
                <w:szCs w:val="20"/>
              </w:rPr>
              <w:t>150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High Carbon Ferro Chrome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w:t>
            </w:r>
            <w:r w:rsidR="0008118D">
              <w:rPr>
                <w:rFonts w:ascii="Arial" w:eastAsia="Times New Roman" w:hAnsi="Arial" w:cs="Arial"/>
                <w:sz w:val="20"/>
                <w:szCs w:val="20"/>
              </w:rPr>
              <w:t>,</w:t>
            </w:r>
            <w:r w:rsidRPr="00EC3CBF">
              <w:rPr>
                <w:rFonts w:ascii="Arial" w:eastAsia="Times New Roman" w:hAnsi="Arial" w:cs="Arial"/>
                <w:sz w:val="20"/>
                <w:szCs w:val="20"/>
              </w:rPr>
              <w:t>155</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1.155</w:t>
            </w:r>
          </w:p>
        </w:tc>
        <w:tc>
          <w:tcPr>
            <w:tcW w:w="1100" w:type="dxa"/>
            <w:tcBorders>
              <w:top w:val="nil"/>
              <w:left w:val="nil"/>
              <w:bottom w:val="single" w:sz="4" w:space="0" w:color="auto"/>
              <w:right w:val="single" w:sz="4" w:space="0" w:color="auto"/>
            </w:tcBorders>
            <w:shd w:val="clear" w:color="000000" w:fill="FFFF0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7.60</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7</w:t>
            </w:r>
            <w:r w:rsidR="0008118D">
              <w:rPr>
                <w:rFonts w:ascii="Arial" w:eastAsia="Times New Roman" w:hAnsi="Arial" w:cs="Arial"/>
                <w:sz w:val="20"/>
                <w:szCs w:val="20"/>
              </w:rPr>
              <w:t>,</w:t>
            </w:r>
            <w:r w:rsidRPr="00EC3CBF">
              <w:rPr>
                <w:rFonts w:ascii="Arial" w:eastAsia="Times New Roman" w:hAnsi="Arial" w:cs="Arial"/>
                <w:sz w:val="20"/>
                <w:szCs w:val="20"/>
              </w:rPr>
              <w:t>600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8</w:t>
            </w:r>
            <w:r w:rsidR="0008118D">
              <w:rPr>
                <w:rFonts w:ascii="Arial" w:eastAsia="Times New Roman" w:hAnsi="Arial" w:cs="Arial"/>
                <w:sz w:val="20"/>
                <w:szCs w:val="20"/>
              </w:rPr>
              <w:t>,</w:t>
            </w:r>
            <w:r w:rsidRPr="00EC3CBF">
              <w:rPr>
                <w:rFonts w:ascii="Arial" w:eastAsia="Times New Roman" w:hAnsi="Arial" w:cs="Arial"/>
                <w:sz w:val="20"/>
                <w:szCs w:val="20"/>
              </w:rPr>
              <w:t>778</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Ferro Titanium</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125</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0.125</w:t>
            </w:r>
          </w:p>
        </w:tc>
        <w:tc>
          <w:tcPr>
            <w:tcW w:w="1100" w:type="dxa"/>
            <w:tcBorders>
              <w:top w:val="nil"/>
              <w:left w:val="nil"/>
              <w:bottom w:val="single" w:sz="4" w:space="0" w:color="auto"/>
              <w:right w:val="single" w:sz="4" w:space="0" w:color="auto"/>
            </w:tcBorders>
            <w:shd w:val="clear" w:color="000000" w:fill="FFFF0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4.30</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w:t>
            </w:r>
            <w:r w:rsidR="0008118D">
              <w:rPr>
                <w:rFonts w:ascii="Arial" w:eastAsia="Times New Roman" w:hAnsi="Arial" w:cs="Arial"/>
                <w:sz w:val="20"/>
                <w:szCs w:val="20"/>
              </w:rPr>
              <w:t>,</w:t>
            </w:r>
            <w:r w:rsidRPr="00EC3CBF">
              <w:rPr>
                <w:rFonts w:ascii="Arial" w:eastAsia="Times New Roman" w:hAnsi="Arial" w:cs="Arial"/>
                <w:sz w:val="20"/>
                <w:szCs w:val="20"/>
              </w:rPr>
              <w:t>296</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537</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Ferro Boron</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55</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0.055</w:t>
            </w:r>
          </w:p>
        </w:tc>
        <w:tc>
          <w:tcPr>
            <w:tcW w:w="1100" w:type="dxa"/>
            <w:tcBorders>
              <w:top w:val="nil"/>
              <w:left w:val="nil"/>
              <w:bottom w:val="single" w:sz="4" w:space="0" w:color="auto"/>
              <w:right w:val="single" w:sz="4" w:space="0" w:color="auto"/>
            </w:tcBorders>
            <w:shd w:val="clear" w:color="000000" w:fill="FFFF0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19.87</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19</w:t>
            </w:r>
            <w:r w:rsidR="0008118D">
              <w:rPr>
                <w:rFonts w:ascii="Arial" w:eastAsia="Times New Roman" w:hAnsi="Arial" w:cs="Arial"/>
                <w:sz w:val="20"/>
                <w:szCs w:val="20"/>
              </w:rPr>
              <w:t>,</w:t>
            </w:r>
            <w:r w:rsidRPr="00EC3CBF">
              <w:rPr>
                <w:rFonts w:ascii="Arial" w:eastAsia="Times New Roman" w:hAnsi="Arial" w:cs="Arial"/>
                <w:sz w:val="20"/>
                <w:szCs w:val="20"/>
              </w:rPr>
              <w:t>870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w:t>
            </w:r>
            <w:r w:rsidR="0008118D">
              <w:rPr>
                <w:rFonts w:ascii="Arial" w:eastAsia="Times New Roman" w:hAnsi="Arial" w:cs="Arial"/>
                <w:sz w:val="20"/>
                <w:szCs w:val="20"/>
              </w:rPr>
              <w:t>,</w:t>
            </w:r>
            <w:r w:rsidRPr="00EC3CBF">
              <w:rPr>
                <w:rFonts w:ascii="Arial" w:eastAsia="Times New Roman" w:hAnsi="Arial" w:cs="Arial"/>
                <w:sz w:val="20"/>
                <w:szCs w:val="20"/>
              </w:rPr>
              <w:t>093</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Calcium-Silicate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w:t>
            </w:r>
            <w:r w:rsidR="0008118D">
              <w:rPr>
                <w:rFonts w:ascii="Arial" w:eastAsia="Times New Roman" w:hAnsi="Arial" w:cs="Arial"/>
                <w:sz w:val="20"/>
                <w:szCs w:val="20"/>
              </w:rPr>
              <w:t>,</w:t>
            </w:r>
            <w:r w:rsidRPr="00EC3CBF">
              <w:rPr>
                <w:rFonts w:ascii="Arial" w:eastAsia="Times New Roman" w:hAnsi="Arial" w:cs="Arial"/>
                <w:sz w:val="20"/>
                <w:szCs w:val="20"/>
              </w:rPr>
              <w:t>600</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1.600</w:t>
            </w:r>
          </w:p>
        </w:tc>
        <w:tc>
          <w:tcPr>
            <w:tcW w:w="1100" w:type="dxa"/>
            <w:tcBorders>
              <w:top w:val="nil"/>
              <w:left w:val="nil"/>
              <w:bottom w:val="single" w:sz="4" w:space="0" w:color="auto"/>
              <w:right w:val="single" w:sz="4" w:space="0" w:color="auto"/>
            </w:tcBorders>
            <w:shd w:val="clear" w:color="000000" w:fill="DA9694"/>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0.14</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144</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230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 xml:space="preserve">Aluminium </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700</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0.700</w:t>
            </w:r>
          </w:p>
        </w:tc>
        <w:tc>
          <w:tcPr>
            <w:tcW w:w="1100" w:type="dxa"/>
            <w:tcBorders>
              <w:top w:val="nil"/>
              <w:left w:val="nil"/>
              <w:bottom w:val="single" w:sz="4" w:space="0" w:color="auto"/>
              <w:right w:val="single" w:sz="4" w:space="0" w:color="auto"/>
            </w:tcBorders>
            <w:shd w:val="clear" w:color="000000" w:fill="DA9694"/>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9.06</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9</w:t>
            </w:r>
            <w:r w:rsidR="0008118D">
              <w:rPr>
                <w:rFonts w:ascii="Arial" w:eastAsia="Times New Roman" w:hAnsi="Arial" w:cs="Arial"/>
                <w:sz w:val="20"/>
                <w:szCs w:val="20"/>
              </w:rPr>
              <w:t>,</w:t>
            </w:r>
            <w:r w:rsidRPr="00EC3CBF">
              <w:rPr>
                <w:rFonts w:ascii="Arial" w:eastAsia="Times New Roman" w:hAnsi="Arial" w:cs="Arial"/>
                <w:sz w:val="20"/>
                <w:szCs w:val="20"/>
              </w:rPr>
              <w:t>060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6</w:t>
            </w:r>
            <w:r w:rsidR="0008118D">
              <w:rPr>
                <w:rFonts w:ascii="Arial" w:eastAsia="Times New Roman" w:hAnsi="Arial" w:cs="Arial"/>
                <w:sz w:val="20"/>
                <w:szCs w:val="20"/>
              </w:rPr>
              <w:t>,</w:t>
            </w:r>
            <w:r w:rsidRPr="00EC3CBF">
              <w:rPr>
                <w:rFonts w:ascii="Arial" w:eastAsia="Times New Roman" w:hAnsi="Arial" w:cs="Arial"/>
                <w:sz w:val="20"/>
                <w:szCs w:val="20"/>
              </w:rPr>
              <w:t>342</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High Carbon Ferro Manganese Large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w:t>
            </w:r>
            <w:r w:rsidR="0008118D">
              <w:rPr>
                <w:rFonts w:ascii="Arial" w:eastAsia="Times New Roman" w:hAnsi="Arial" w:cs="Arial"/>
                <w:sz w:val="20"/>
                <w:szCs w:val="20"/>
              </w:rPr>
              <w:t>,</w:t>
            </w:r>
            <w:r w:rsidRPr="00EC3CBF">
              <w:rPr>
                <w:rFonts w:ascii="Arial" w:eastAsia="Times New Roman" w:hAnsi="Arial" w:cs="Arial"/>
                <w:sz w:val="20"/>
                <w:szCs w:val="20"/>
              </w:rPr>
              <w:t>500</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1.500</w:t>
            </w:r>
          </w:p>
        </w:tc>
        <w:tc>
          <w:tcPr>
            <w:tcW w:w="1100" w:type="dxa"/>
            <w:tcBorders>
              <w:top w:val="nil"/>
              <w:left w:val="nil"/>
              <w:bottom w:val="single" w:sz="4" w:space="0" w:color="auto"/>
              <w:right w:val="single" w:sz="4" w:space="0" w:color="auto"/>
            </w:tcBorders>
            <w:shd w:val="clear" w:color="000000" w:fill="FFFF0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4.56</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w:t>
            </w:r>
            <w:r w:rsidR="0008118D">
              <w:rPr>
                <w:rFonts w:ascii="Arial" w:eastAsia="Times New Roman" w:hAnsi="Arial" w:cs="Arial"/>
                <w:sz w:val="20"/>
                <w:szCs w:val="20"/>
              </w:rPr>
              <w:t>,</w:t>
            </w:r>
            <w:r w:rsidRPr="00EC3CBF">
              <w:rPr>
                <w:rFonts w:ascii="Arial" w:eastAsia="Times New Roman" w:hAnsi="Arial" w:cs="Arial"/>
                <w:sz w:val="20"/>
                <w:szCs w:val="20"/>
              </w:rPr>
              <w:t>560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6</w:t>
            </w:r>
            <w:r w:rsidR="0008118D">
              <w:rPr>
                <w:rFonts w:ascii="Arial" w:eastAsia="Times New Roman" w:hAnsi="Arial" w:cs="Arial"/>
                <w:sz w:val="20"/>
                <w:szCs w:val="20"/>
              </w:rPr>
              <w:t>,</w:t>
            </w:r>
            <w:r w:rsidRPr="00EC3CBF">
              <w:rPr>
                <w:rFonts w:ascii="Arial" w:eastAsia="Times New Roman" w:hAnsi="Arial" w:cs="Arial"/>
                <w:sz w:val="20"/>
                <w:szCs w:val="20"/>
              </w:rPr>
              <w:t>840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Silica-Manganese Large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2</w:t>
            </w:r>
            <w:r w:rsidR="0008118D">
              <w:rPr>
                <w:rFonts w:ascii="Arial" w:eastAsia="Times New Roman" w:hAnsi="Arial" w:cs="Arial"/>
                <w:sz w:val="20"/>
                <w:szCs w:val="20"/>
              </w:rPr>
              <w:t>,</w:t>
            </w:r>
            <w:r w:rsidRPr="00EC3CBF">
              <w:rPr>
                <w:rFonts w:ascii="Arial" w:eastAsia="Times New Roman" w:hAnsi="Arial" w:cs="Arial"/>
                <w:sz w:val="20"/>
                <w:szCs w:val="20"/>
              </w:rPr>
              <w:t>500</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2.500</w:t>
            </w:r>
          </w:p>
        </w:tc>
        <w:tc>
          <w:tcPr>
            <w:tcW w:w="1100" w:type="dxa"/>
            <w:tcBorders>
              <w:top w:val="nil"/>
              <w:left w:val="nil"/>
              <w:bottom w:val="single" w:sz="4" w:space="0" w:color="auto"/>
              <w:right w:val="single" w:sz="4" w:space="0" w:color="auto"/>
            </w:tcBorders>
            <w:shd w:val="clear" w:color="000000" w:fill="FFFF0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7.17</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7</w:t>
            </w:r>
            <w:r w:rsidR="0008118D">
              <w:rPr>
                <w:rFonts w:ascii="Arial" w:eastAsia="Times New Roman" w:hAnsi="Arial" w:cs="Arial"/>
                <w:sz w:val="20"/>
                <w:szCs w:val="20"/>
              </w:rPr>
              <w:t>,</w:t>
            </w:r>
            <w:r w:rsidRPr="00EC3CBF">
              <w:rPr>
                <w:rFonts w:ascii="Arial" w:eastAsia="Times New Roman" w:hAnsi="Arial" w:cs="Arial"/>
                <w:sz w:val="20"/>
                <w:szCs w:val="20"/>
              </w:rPr>
              <w:t>173</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17</w:t>
            </w:r>
            <w:r w:rsidR="0008118D">
              <w:rPr>
                <w:rFonts w:ascii="Arial" w:eastAsia="Times New Roman" w:hAnsi="Arial" w:cs="Arial"/>
                <w:sz w:val="20"/>
                <w:szCs w:val="20"/>
              </w:rPr>
              <w:t>,</w:t>
            </w:r>
            <w:r w:rsidRPr="00EC3CBF">
              <w:rPr>
                <w:rFonts w:ascii="Arial" w:eastAsia="Times New Roman" w:hAnsi="Arial" w:cs="Arial"/>
                <w:sz w:val="20"/>
                <w:szCs w:val="20"/>
              </w:rPr>
              <w:t>932</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nil"/>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Mild Steel</w:t>
            </w:r>
          </w:p>
        </w:tc>
        <w:tc>
          <w:tcPr>
            <w:tcW w:w="1500" w:type="dxa"/>
            <w:tcBorders>
              <w:top w:val="nil"/>
              <w:left w:val="single" w:sz="4" w:space="0" w:color="auto"/>
              <w:bottom w:val="nil"/>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325,000</w:t>
            </w:r>
          </w:p>
        </w:tc>
        <w:tc>
          <w:tcPr>
            <w:tcW w:w="1500" w:type="dxa"/>
            <w:tcBorders>
              <w:top w:val="nil"/>
              <w:left w:val="nil"/>
              <w:bottom w:val="nil"/>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325.000</w:t>
            </w:r>
          </w:p>
        </w:tc>
        <w:tc>
          <w:tcPr>
            <w:tcW w:w="1100" w:type="dxa"/>
            <w:tcBorders>
              <w:top w:val="nil"/>
              <w:left w:val="nil"/>
              <w:bottom w:val="nil"/>
              <w:right w:val="single" w:sz="4" w:space="0" w:color="auto"/>
            </w:tcBorders>
            <w:shd w:val="clear" w:color="000000" w:fill="92D05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1.90</w:t>
            </w:r>
          </w:p>
        </w:tc>
        <w:tc>
          <w:tcPr>
            <w:tcW w:w="1240" w:type="dxa"/>
            <w:tcBorders>
              <w:top w:val="nil"/>
              <w:left w:val="nil"/>
              <w:bottom w:val="nil"/>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w:t>
            </w:r>
            <w:r w:rsidR="0008118D">
              <w:rPr>
                <w:rFonts w:ascii="Arial" w:eastAsia="Times New Roman" w:hAnsi="Arial" w:cs="Arial"/>
                <w:sz w:val="20"/>
                <w:szCs w:val="20"/>
              </w:rPr>
              <w:t>,</w:t>
            </w:r>
            <w:r w:rsidRPr="00EC3CBF">
              <w:rPr>
                <w:rFonts w:ascii="Arial" w:eastAsia="Times New Roman" w:hAnsi="Arial" w:cs="Arial"/>
                <w:sz w:val="20"/>
                <w:szCs w:val="20"/>
              </w:rPr>
              <w:t>900</w:t>
            </w:r>
          </w:p>
        </w:tc>
        <w:tc>
          <w:tcPr>
            <w:tcW w:w="1120" w:type="dxa"/>
            <w:tcBorders>
              <w:top w:val="nil"/>
              <w:left w:val="nil"/>
              <w:bottom w:val="nil"/>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617</w:t>
            </w:r>
            <w:r w:rsidR="0008118D">
              <w:rPr>
                <w:rFonts w:ascii="Arial" w:eastAsia="Times New Roman" w:hAnsi="Arial" w:cs="Arial"/>
                <w:sz w:val="20"/>
                <w:szCs w:val="20"/>
              </w:rPr>
              <w:t>,</w:t>
            </w:r>
            <w:r w:rsidRPr="00EC3CBF">
              <w:rPr>
                <w:rFonts w:ascii="Arial" w:eastAsia="Times New Roman" w:hAnsi="Arial" w:cs="Arial"/>
                <w:sz w:val="20"/>
                <w:szCs w:val="20"/>
              </w:rPr>
              <w:t>500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nil"/>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31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single" w:sz="8" w:space="0" w:color="auto"/>
              <w:left w:val="nil"/>
              <w:bottom w:val="single" w:sz="8" w:space="0" w:color="auto"/>
              <w:right w:val="nil"/>
            </w:tcBorders>
            <w:shd w:val="clear" w:color="auto" w:fill="auto"/>
            <w:noWrap/>
            <w:vAlign w:val="bottom"/>
            <w:hideMark/>
          </w:tcPr>
          <w:p w:rsidR="00EC3CBF" w:rsidRPr="00EC3CBF" w:rsidRDefault="00EC3CBF" w:rsidP="00EC3CBF">
            <w:pPr>
              <w:spacing w:after="0" w:line="240" w:lineRule="auto"/>
              <w:jc w:val="center"/>
              <w:rPr>
                <w:rFonts w:ascii="Calibri" w:eastAsia="Times New Roman" w:hAnsi="Calibri" w:cs="Arial"/>
                <w:b/>
                <w:bCs/>
                <w:color w:val="000000"/>
              </w:rPr>
            </w:pPr>
            <w:r w:rsidRPr="00EC3CBF">
              <w:rPr>
                <w:rFonts w:ascii="Calibri" w:eastAsia="Times New Roman" w:hAnsi="Calibri" w:cs="Arial"/>
                <w:b/>
                <w:bCs/>
                <w:color w:val="000000"/>
              </w:rPr>
              <w:t>Total</w:t>
            </w:r>
          </w:p>
        </w:tc>
        <w:tc>
          <w:tcPr>
            <w:tcW w:w="1500"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334,290</w:t>
            </w:r>
          </w:p>
        </w:tc>
        <w:tc>
          <w:tcPr>
            <w:tcW w:w="1500" w:type="dxa"/>
            <w:tcBorders>
              <w:top w:val="single" w:sz="8" w:space="0" w:color="auto"/>
              <w:left w:val="nil"/>
              <w:bottom w:val="single" w:sz="8" w:space="0" w:color="auto"/>
              <w:right w:val="single" w:sz="8"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334.290</w:t>
            </w:r>
          </w:p>
        </w:tc>
        <w:tc>
          <w:tcPr>
            <w:tcW w:w="1100" w:type="dxa"/>
            <w:tcBorders>
              <w:top w:val="single" w:sz="8" w:space="0" w:color="auto"/>
              <w:left w:val="nil"/>
              <w:bottom w:val="single" w:sz="8" w:space="0" w:color="auto"/>
              <w:right w:val="single" w:sz="4" w:space="0" w:color="auto"/>
            </w:tcBorders>
            <w:shd w:val="clear" w:color="auto" w:fill="auto"/>
            <w:noWrap/>
            <w:vAlign w:val="bottom"/>
            <w:hideMark/>
          </w:tcPr>
          <w:p w:rsidR="00EC3CBF" w:rsidRPr="00EC3CBF" w:rsidRDefault="00EC3CBF" w:rsidP="00EC3CBF">
            <w:pPr>
              <w:spacing w:after="0" w:line="240" w:lineRule="auto"/>
              <w:jc w:val="right"/>
              <w:rPr>
                <w:rFonts w:ascii="Arial" w:eastAsia="Times New Roman" w:hAnsi="Arial" w:cs="Arial"/>
                <w:b/>
                <w:bCs/>
                <w:sz w:val="20"/>
                <w:szCs w:val="20"/>
              </w:rPr>
            </w:pPr>
            <w:r w:rsidRPr="00EC3CBF">
              <w:rPr>
                <w:rFonts w:ascii="Arial" w:eastAsia="Times New Roman" w:hAnsi="Arial" w:cs="Arial"/>
                <w:b/>
                <w:bCs/>
                <w:sz w:val="20"/>
                <w:szCs w:val="20"/>
              </w:rPr>
              <w:t> </w:t>
            </w:r>
          </w:p>
        </w:tc>
        <w:tc>
          <w:tcPr>
            <w:tcW w:w="1240" w:type="dxa"/>
            <w:tcBorders>
              <w:top w:val="single" w:sz="8" w:space="0" w:color="auto"/>
              <w:left w:val="nil"/>
              <w:bottom w:val="single" w:sz="8" w:space="0" w:color="auto"/>
              <w:right w:val="nil"/>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 </w:t>
            </w:r>
          </w:p>
        </w:tc>
        <w:tc>
          <w:tcPr>
            <w:tcW w:w="11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666</w:t>
            </w:r>
            <w:r w:rsidR="0008118D">
              <w:rPr>
                <w:rFonts w:ascii="Arial" w:eastAsia="Times New Roman" w:hAnsi="Arial" w:cs="Arial"/>
                <w:b/>
                <w:bCs/>
                <w:sz w:val="20"/>
                <w:szCs w:val="20"/>
              </w:rPr>
              <w:t>,</w:t>
            </w:r>
            <w:r w:rsidRPr="00EC3CBF">
              <w:rPr>
                <w:rFonts w:ascii="Arial" w:eastAsia="Times New Roman" w:hAnsi="Arial" w:cs="Arial"/>
                <w:b/>
                <w:bCs/>
                <w:sz w:val="20"/>
                <w:szCs w:val="20"/>
              </w:rPr>
              <w:t>330</w:t>
            </w:r>
          </w:p>
        </w:tc>
        <w:tc>
          <w:tcPr>
            <w:tcW w:w="1120" w:type="dxa"/>
            <w:tcBorders>
              <w:top w:val="single" w:sz="8" w:space="0" w:color="auto"/>
              <w:left w:val="nil"/>
              <w:bottom w:val="single" w:sz="8" w:space="0" w:color="auto"/>
              <w:right w:val="single" w:sz="8"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1993.27</w:t>
            </w:r>
          </w:p>
        </w:tc>
        <w:tc>
          <w:tcPr>
            <w:tcW w:w="1120" w:type="dxa"/>
            <w:tcBorders>
              <w:top w:val="single" w:sz="8" w:space="0" w:color="auto"/>
              <w:left w:val="nil"/>
              <w:bottom w:val="single" w:sz="8" w:space="0" w:color="auto"/>
              <w:right w:val="single" w:sz="8"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93.27</w:t>
            </w:r>
          </w:p>
        </w:tc>
        <w:tc>
          <w:tcPr>
            <w:tcW w:w="1120" w:type="dxa"/>
            <w:tcBorders>
              <w:top w:val="single" w:sz="8" w:space="0" w:color="auto"/>
              <w:left w:val="nil"/>
              <w:bottom w:val="single" w:sz="8" w:space="0" w:color="auto"/>
              <w:right w:val="single" w:sz="8"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0.093</w:t>
            </w:r>
          </w:p>
        </w:tc>
      </w:tr>
    </w:tbl>
    <w:p w:rsidR="00AE7A4C" w:rsidRPr="005B3139" w:rsidRDefault="00AE7A4C" w:rsidP="00EC3CBF">
      <w:pPr>
        <w:spacing w:after="0" w:line="360" w:lineRule="auto"/>
        <w:rPr>
          <w:rFonts w:ascii="Times New Roman" w:eastAsia="Calibri" w:hAnsi="Times New Roman" w:cs="Times New Roman"/>
        </w:rPr>
      </w:pPr>
      <w:r w:rsidRPr="005B3139">
        <w:rPr>
          <w:rFonts w:ascii="Times New Roman" w:eastAsia="Calibri" w:hAnsi="Times New Roman" w:cs="Times New Roman"/>
        </w:rPr>
        <w:t xml:space="preserve">Key: </w:t>
      </w:r>
    </w:p>
    <w:p w:rsidR="00AE7A4C" w:rsidRPr="005B3139" w:rsidRDefault="00AE7A4C" w:rsidP="00EE7761">
      <w:pPr>
        <w:numPr>
          <w:ilvl w:val="0"/>
          <w:numId w:val="10"/>
        </w:numPr>
        <w:spacing w:after="0" w:line="360" w:lineRule="auto"/>
        <w:ind w:left="720" w:hanging="360"/>
        <w:jc w:val="both"/>
        <w:rPr>
          <w:rFonts w:ascii="Times New Roman" w:eastAsia="Calibri" w:hAnsi="Times New Roman" w:cs="Times New Roman"/>
        </w:rPr>
      </w:pPr>
      <w:r w:rsidRPr="005B3139">
        <w:rPr>
          <w:rFonts w:ascii="Times New Roman" w:eastAsia="Calibri" w:hAnsi="Times New Roman" w:cs="Times New Roman"/>
        </w:rPr>
        <w:t>Green = Assumptions [Carbon: The carbon that is used will come from onsite processes and so like the Fe-P, the CO</w:t>
      </w:r>
      <w:r w:rsidRPr="005B3139">
        <w:rPr>
          <w:rFonts w:ascii="Times New Roman" w:eastAsia="Calibri" w:hAnsi="Times New Roman" w:cs="Times New Roman"/>
          <w:vertAlign w:val="subscript"/>
        </w:rPr>
        <w:t>2</w:t>
      </w:r>
      <w:r w:rsidRPr="005B3139">
        <w:rPr>
          <w:rFonts w:ascii="Times New Roman" w:eastAsia="Calibri" w:hAnsi="Times New Roman" w:cs="Times New Roman"/>
        </w:rPr>
        <w:t xml:space="preserve"> emissions related to its production will have already been included within the overall steel figure and so no additional value is required.] [Fe-P: As the Fe-P is produced as a result of the steel-making process, which is already included within the overall CO</w:t>
      </w:r>
      <w:r w:rsidRPr="00477424">
        <w:rPr>
          <w:rFonts w:ascii="Times New Roman" w:eastAsia="Calibri" w:hAnsi="Times New Roman" w:cs="Times New Roman"/>
          <w:vertAlign w:val="subscript"/>
        </w:rPr>
        <w:t xml:space="preserve">2 </w:t>
      </w:r>
      <w:r w:rsidRPr="005B3139">
        <w:rPr>
          <w:rFonts w:ascii="Times New Roman" w:eastAsia="Calibri" w:hAnsi="Times New Roman" w:cs="Times New Roman"/>
        </w:rPr>
        <w:t>value for steel-making of 2.2399kg of CO</w:t>
      </w:r>
      <w:r w:rsidRPr="00477424">
        <w:rPr>
          <w:rFonts w:ascii="Times New Roman" w:eastAsia="Calibri" w:hAnsi="Times New Roman" w:cs="Times New Roman"/>
          <w:vertAlign w:val="subscript"/>
        </w:rPr>
        <w:t>2</w:t>
      </w:r>
      <w:r w:rsidRPr="005B3139">
        <w:rPr>
          <w:rFonts w:ascii="Times New Roman" w:eastAsia="Calibri" w:hAnsi="Times New Roman" w:cs="Times New Roman"/>
        </w:rPr>
        <w:t xml:space="preserve"> per kg of steel, it was decided that it was reasonable to assume that there was no additional CO</w:t>
      </w:r>
      <w:r w:rsidRPr="00477424">
        <w:rPr>
          <w:rFonts w:ascii="Times New Roman" w:eastAsia="Calibri" w:hAnsi="Times New Roman" w:cs="Times New Roman"/>
          <w:vertAlign w:val="subscript"/>
        </w:rPr>
        <w:t>2</w:t>
      </w:r>
      <w:r w:rsidRPr="005B3139">
        <w:rPr>
          <w:rFonts w:ascii="Times New Roman" w:eastAsia="Calibri" w:hAnsi="Times New Roman" w:cs="Times New Roman"/>
        </w:rPr>
        <w:t xml:space="preserve"> value associated with Fe-P that needed to be incorporated.] [Mild Steel: Assume that the CO</w:t>
      </w:r>
      <w:r w:rsidRPr="005B3139">
        <w:rPr>
          <w:rFonts w:ascii="Times New Roman" w:eastAsia="Calibri" w:hAnsi="Times New Roman" w:cs="Times New Roman"/>
          <w:vertAlign w:val="subscript"/>
        </w:rPr>
        <w:t xml:space="preserve">2 </w:t>
      </w:r>
      <w:r w:rsidRPr="005B3139">
        <w:rPr>
          <w:rFonts w:ascii="Times New Roman" w:eastAsia="Calibri" w:hAnsi="Times New Roman" w:cs="Times New Roman"/>
        </w:rPr>
        <w:t>emissions for a cold rolled coil, up to and including the secondary steel-making process, is 1.9kg of CO</w:t>
      </w:r>
      <w:r w:rsidRPr="005B3139">
        <w:rPr>
          <w:rFonts w:ascii="Times New Roman" w:eastAsia="Calibri" w:hAnsi="Times New Roman" w:cs="Times New Roman"/>
          <w:vertAlign w:val="subscript"/>
        </w:rPr>
        <w:t>2</w:t>
      </w:r>
      <w:r w:rsidRPr="005B3139">
        <w:rPr>
          <w:rFonts w:ascii="Times New Roman" w:eastAsia="Calibri" w:hAnsi="Times New Roman" w:cs="Times New Roman"/>
        </w:rPr>
        <w:t xml:space="preserve"> per kg cold rolled coil.]</w:t>
      </w:r>
    </w:p>
    <w:p w:rsidR="00AE7A4C" w:rsidRPr="005B3139" w:rsidRDefault="00AE7A4C" w:rsidP="00EE7761">
      <w:pPr>
        <w:numPr>
          <w:ilvl w:val="0"/>
          <w:numId w:val="10"/>
        </w:numPr>
        <w:spacing w:after="0" w:line="360" w:lineRule="auto"/>
        <w:ind w:left="720" w:hanging="360"/>
        <w:jc w:val="both"/>
        <w:rPr>
          <w:rFonts w:ascii="Times New Roman" w:eastAsia="Calibri" w:hAnsi="Times New Roman" w:cs="Times New Roman"/>
        </w:rPr>
      </w:pPr>
      <w:r w:rsidRPr="005B3139">
        <w:rPr>
          <w:rFonts w:ascii="Times New Roman" w:eastAsia="Calibri" w:hAnsi="Times New Roman" w:cs="Times New Roman"/>
        </w:rPr>
        <w:t>Yellow = Emission factor values calculated from created ferro-alloy models.</w:t>
      </w:r>
    </w:p>
    <w:p w:rsidR="00AE7A4C" w:rsidRPr="005B3139" w:rsidRDefault="00AE7A4C" w:rsidP="00EE7761">
      <w:pPr>
        <w:numPr>
          <w:ilvl w:val="0"/>
          <w:numId w:val="10"/>
        </w:numPr>
        <w:spacing w:after="0" w:line="360" w:lineRule="auto"/>
        <w:ind w:left="720" w:hanging="360"/>
        <w:jc w:val="both"/>
        <w:rPr>
          <w:rFonts w:ascii="Times New Roman" w:eastAsia="Calibri" w:hAnsi="Times New Roman" w:cs="Times New Roman"/>
        </w:rPr>
      </w:pPr>
      <w:r w:rsidRPr="005B3139">
        <w:rPr>
          <w:rFonts w:ascii="Times New Roman" w:eastAsia="Calibri" w:hAnsi="Times New Roman" w:cs="Times New Roman"/>
        </w:rPr>
        <w:t xml:space="preserve">Light Red = Emission factor values from </w:t>
      </w:r>
      <w:r w:rsidR="004D2D91">
        <w:rPr>
          <w:rFonts w:ascii="Times New Roman" w:eastAsia="Calibri" w:hAnsi="Times New Roman" w:cs="Times New Roman"/>
        </w:rPr>
        <w:t>GaBi</w:t>
      </w:r>
      <w:r w:rsidRPr="005B3139">
        <w:rPr>
          <w:rFonts w:ascii="Times New Roman" w:eastAsia="Calibri" w:hAnsi="Times New Roman" w:cs="Times New Roman"/>
        </w:rPr>
        <w:t xml:space="preserve"> software.</w:t>
      </w:r>
    </w:p>
    <w:p w:rsidR="00AE7A4C" w:rsidRDefault="00AE7A4C" w:rsidP="00EE7761">
      <w:pPr>
        <w:numPr>
          <w:ilvl w:val="0"/>
          <w:numId w:val="10"/>
        </w:numPr>
        <w:spacing w:after="0" w:line="360" w:lineRule="auto"/>
        <w:ind w:left="720" w:hanging="360"/>
        <w:jc w:val="both"/>
        <w:rPr>
          <w:rFonts w:ascii="Times New Roman" w:eastAsia="Calibri" w:hAnsi="Times New Roman" w:cs="Times New Roman"/>
        </w:rPr>
      </w:pPr>
      <w:r w:rsidRPr="005B3139">
        <w:rPr>
          <w:rFonts w:ascii="Times New Roman" w:eastAsia="Calibri" w:hAnsi="Times New Roman" w:cs="Times New Roman"/>
        </w:rPr>
        <w:t>Blue = Calculation of emission factor using extrapolation. In this particular case, MC Fe-Mn was calculated based on values from HC and LC Fe-Mn.</w:t>
      </w:r>
    </w:p>
    <w:p w:rsidR="00EC3CBF" w:rsidRDefault="00EC3CBF" w:rsidP="00EC3CBF">
      <w:pPr>
        <w:spacing w:line="360" w:lineRule="auto"/>
        <w:ind w:left="720"/>
        <w:jc w:val="both"/>
        <w:rPr>
          <w:rFonts w:ascii="Times New Roman" w:eastAsia="Calibri" w:hAnsi="Times New Roman" w:cs="Times New Roman"/>
        </w:rPr>
        <w:sectPr w:rsidR="00EC3CBF" w:rsidSect="00593B2F">
          <w:footerReference w:type="default" r:id="rId154"/>
          <w:pgSz w:w="16838" w:h="11906" w:orient="landscape"/>
          <w:pgMar w:top="1440" w:right="1440" w:bottom="1440" w:left="1440" w:header="708" w:footer="708" w:gutter="0"/>
          <w:cols w:space="708"/>
          <w:titlePg/>
          <w:docGrid w:linePitch="360"/>
        </w:sectPr>
      </w:pPr>
    </w:p>
    <w:p w:rsidR="00AE7A4C" w:rsidRPr="00EC3CBF" w:rsidRDefault="00EC3CBF" w:rsidP="00EC3CBF">
      <w:pPr>
        <w:rPr>
          <w:rFonts w:ascii="Times New Roman" w:eastAsia="Calibri" w:hAnsi="Times New Roman" w:cs="Times New Roman"/>
        </w:rPr>
      </w:pPr>
      <w:bookmarkStart w:id="370" w:name="_Toc474486571"/>
      <w:bookmarkStart w:id="371" w:name="_Toc495852742"/>
      <w:r w:rsidRPr="00EC3CBF">
        <w:rPr>
          <w:rFonts w:ascii="Times New Roman" w:hAnsi="Times New Roman" w:cs="Times New Roman"/>
        </w:rPr>
        <w:lastRenderedPageBreak/>
        <w:t xml:space="preserve">Table </w:t>
      </w:r>
      <w:r w:rsidR="009A0ED7" w:rsidRPr="00EC3CBF">
        <w:rPr>
          <w:rFonts w:ascii="Times New Roman" w:hAnsi="Times New Roman" w:cs="Times New Roman"/>
        </w:rPr>
        <w:fldChar w:fldCharType="begin"/>
      </w:r>
      <w:r w:rsidRPr="00EC3CBF">
        <w:rPr>
          <w:rFonts w:ascii="Times New Roman" w:hAnsi="Times New Roman" w:cs="Times New Roman"/>
        </w:rPr>
        <w:instrText xml:space="preserve"> SEQ Table \* ARABIC </w:instrText>
      </w:r>
      <w:r w:rsidR="009A0ED7" w:rsidRPr="00EC3CBF">
        <w:rPr>
          <w:rFonts w:ascii="Times New Roman" w:hAnsi="Times New Roman" w:cs="Times New Roman"/>
        </w:rPr>
        <w:fldChar w:fldCharType="separate"/>
      </w:r>
      <w:r w:rsidR="009F5483">
        <w:rPr>
          <w:rFonts w:ascii="Times New Roman" w:hAnsi="Times New Roman" w:cs="Times New Roman"/>
          <w:noProof/>
        </w:rPr>
        <w:t>64</w:t>
      </w:r>
      <w:r w:rsidR="009A0ED7" w:rsidRPr="00EC3CBF">
        <w:rPr>
          <w:rFonts w:ascii="Times New Roman" w:hAnsi="Times New Roman" w:cs="Times New Roman"/>
        </w:rPr>
        <w:fldChar w:fldCharType="end"/>
      </w:r>
      <w:r w:rsidRPr="00EC3CBF">
        <w:rPr>
          <w:rFonts w:ascii="Times New Roman" w:hAnsi="Times New Roman" w:cs="Times New Roman"/>
        </w:rPr>
        <w:t xml:space="preserve">. </w:t>
      </w:r>
      <w:r w:rsidR="00AE7A4C" w:rsidRPr="00EC3CBF">
        <w:rPr>
          <w:rFonts w:ascii="Times New Roman" w:eastAsia="Calibri" w:hAnsi="Times New Roman" w:cs="Times New Roman"/>
        </w:rPr>
        <w:t>Breakdown of additional CO</w:t>
      </w:r>
      <w:r w:rsidR="00AE7A4C" w:rsidRPr="00EC3CBF">
        <w:rPr>
          <w:rFonts w:ascii="Times New Roman" w:eastAsia="Calibri" w:hAnsi="Times New Roman" w:cs="Times New Roman"/>
          <w:vertAlign w:val="subscript"/>
        </w:rPr>
        <w:t>2</w:t>
      </w:r>
      <w:r w:rsidR="00AE7A4C" w:rsidRPr="00EC3CBF">
        <w:rPr>
          <w:rFonts w:ascii="Times New Roman" w:eastAsia="Calibri" w:hAnsi="Times New Roman" w:cs="Times New Roman"/>
        </w:rPr>
        <w:t xml:space="preserve"> impact due to alloying additions (kgCO</w:t>
      </w:r>
      <w:r w:rsidR="00AE7A4C" w:rsidRPr="00EC3CBF">
        <w:rPr>
          <w:rFonts w:ascii="Times New Roman" w:eastAsia="Calibri" w:hAnsi="Times New Roman" w:cs="Times New Roman"/>
          <w:vertAlign w:val="subscript"/>
        </w:rPr>
        <w:t>2</w:t>
      </w:r>
      <w:r w:rsidR="00AE7A4C" w:rsidRPr="00EC3CBF">
        <w:rPr>
          <w:rFonts w:ascii="Times New Roman" w:eastAsia="Calibri" w:hAnsi="Times New Roman" w:cs="Times New Roman"/>
        </w:rPr>
        <w:t>/kg) for DP800 steel grade.</w:t>
      </w:r>
      <w:bookmarkEnd w:id="370"/>
      <w:bookmarkEnd w:id="371"/>
    </w:p>
    <w:tbl>
      <w:tblPr>
        <w:tblW w:w="14460" w:type="dxa"/>
        <w:tblLook w:val="04A0" w:firstRow="1" w:lastRow="0" w:firstColumn="1" w:lastColumn="0" w:noHBand="0" w:noVBand="1"/>
      </w:tblPr>
      <w:tblGrid>
        <w:gridCol w:w="960"/>
        <w:gridCol w:w="3680"/>
        <w:gridCol w:w="1500"/>
        <w:gridCol w:w="1500"/>
        <w:gridCol w:w="1244"/>
        <w:gridCol w:w="1240"/>
        <w:gridCol w:w="1120"/>
        <w:gridCol w:w="1120"/>
        <w:gridCol w:w="1194"/>
        <w:gridCol w:w="1194"/>
      </w:tblGrid>
      <w:tr w:rsidR="00EC3CBF" w:rsidRPr="00EC3CBF" w:rsidTr="00EC3CBF">
        <w:trPr>
          <w:trHeight w:val="1035"/>
        </w:trPr>
        <w:tc>
          <w:tcPr>
            <w:tcW w:w="960" w:type="dxa"/>
            <w:tcBorders>
              <w:top w:val="single" w:sz="4" w:space="0" w:color="auto"/>
              <w:left w:val="single" w:sz="4" w:space="0" w:color="auto"/>
              <w:bottom w:val="nil"/>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Grade</w:t>
            </w:r>
          </w:p>
        </w:tc>
        <w:tc>
          <w:tcPr>
            <w:tcW w:w="368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Alloying Addition</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Amount Added for Boron Cast (kg)</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Amount Added for Boron Cast (t)</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Emission Factor (kgCO</w:t>
            </w:r>
            <w:r w:rsidRPr="00EC3CBF">
              <w:rPr>
                <w:rFonts w:ascii="Arial" w:eastAsia="Times New Roman" w:hAnsi="Arial" w:cs="Arial"/>
                <w:b/>
                <w:bCs/>
                <w:sz w:val="20"/>
                <w:szCs w:val="20"/>
                <w:vertAlign w:val="subscript"/>
              </w:rPr>
              <w:t>2</w:t>
            </w:r>
            <w:r w:rsidRPr="00EC3CBF">
              <w:rPr>
                <w:rFonts w:ascii="Arial" w:eastAsia="Times New Roman" w:hAnsi="Arial" w:cs="Arial"/>
                <w:b/>
                <w:bCs/>
                <w:sz w:val="20"/>
                <w:szCs w:val="20"/>
              </w:rPr>
              <w:t>/kg)</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Emission Factor (kgCO</w:t>
            </w:r>
            <w:r w:rsidRPr="00EC3CBF">
              <w:rPr>
                <w:rFonts w:ascii="Arial" w:eastAsia="Times New Roman" w:hAnsi="Arial" w:cs="Arial"/>
                <w:b/>
                <w:bCs/>
                <w:sz w:val="20"/>
                <w:szCs w:val="20"/>
                <w:vertAlign w:val="subscript"/>
              </w:rPr>
              <w:t>2</w:t>
            </w:r>
            <w:r w:rsidRPr="00EC3CBF">
              <w:rPr>
                <w:rFonts w:ascii="Arial" w:eastAsia="Times New Roman" w:hAnsi="Arial" w:cs="Arial"/>
                <w:b/>
                <w:bCs/>
                <w:sz w:val="20"/>
                <w:szCs w:val="20"/>
              </w:rPr>
              <w:t>/t)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7678D9"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CO</w:t>
            </w:r>
            <w:r w:rsidRPr="00EC3CBF">
              <w:rPr>
                <w:rFonts w:ascii="Arial" w:eastAsia="Times New Roman" w:hAnsi="Arial" w:cs="Arial"/>
                <w:b/>
                <w:bCs/>
                <w:sz w:val="20"/>
                <w:szCs w:val="20"/>
                <w:vertAlign w:val="subscript"/>
              </w:rPr>
              <w:t>2</w:t>
            </w:r>
            <w:r w:rsidRPr="00EC3CBF">
              <w:rPr>
                <w:rFonts w:ascii="Arial" w:eastAsia="Times New Roman" w:hAnsi="Arial" w:cs="Arial"/>
                <w:b/>
                <w:bCs/>
                <w:sz w:val="20"/>
                <w:szCs w:val="20"/>
              </w:rPr>
              <w:t xml:space="preserve"> for this cast</w:t>
            </w:r>
          </w:p>
          <w:p w:rsidR="00EC3CBF" w:rsidRPr="00EC3CBF" w:rsidRDefault="007678D9"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(kgCO</w:t>
            </w:r>
            <w:r w:rsidRPr="00EC3CBF">
              <w:rPr>
                <w:rFonts w:ascii="Arial" w:eastAsia="Times New Roman" w:hAnsi="Arial" w:cs="Arial"/>
                <w:b/>
                <w:bCs/>
                <w:sz w:val="20"/>
                <w:szCs w:val="20"/>
                <w:vertAlign w:val="subscript"/>
              </w:rPr>
              <w:t>2</w:t>
            </w:r>
            <w:r>
              <w:rPr>
                <w:rFonts w:ascii="Arial" w:eastAsia="Times New Roman" w:hAnsi="Arial" w:cs="Arial"/>
                <w:b/>
                <w:bCs/>
                <w:sz w:val="20"/>
                <w:szCs w:val="20"/>
              </w:rPr>
              <w: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Total impact per 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Additional impact per 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Additional impact per kg</w:t>
            </w:r>
          </w:p>
        </w:tc>
      </w:tr>
      <w:tr w:rsidR="00EC3CBF" w:rsidRPr="00EC3CBF" w:rsidTr="00EC3CBF">
        <w:trPr>
          <w:trHeight w:val="255"/>
        </w:trPr>
        <w:tc>
          <w:tcPr>
            <w:tcW w:w="960" w:type="dxa"/>
            <w:vMerge w:val="restart"/>
            <w:tcBorders>
              <w:top w:val="single" w:sz="8" w:space="0" w:color="auto"/>
              <w:left w:val="single" w:sz="8" w:space="0" w:color="auto"/>
              <w:bottom w:val="single" w:sz="8" w:space="0" w:color="000000"/>
              <w:right w:val="single" w:sz="8" w:space="0" w:color="auto"/>
            </w:tcBorders>
            <w:shd w:val="clear" w:color="000000" w:fill="00B0F0"/>
            <w:noWrap/>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DP800</w:t>
            </w:r>
          </w:p>
        </w:tc>
        <w:tc>
          <w:tcPr>
            <w:tcW w:w="3680" w:type="dxa"/>
            <w:tcBorders>
              <w:top w:val="nil"/>
              <w:left w:val="nil"/>
              <w:bottom w:val="single" w:sz="4" w:space="0" w:color="auto"/>
              <w:right w:val="nil"/>
            </w:tcBorders>
            <w:shd w:val="clear" w:color="000000" w:fill="FFFFFF"/>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Carbon</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60</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0.060</w:t>
            </w:r>
          </w:p>
        </w:tc>
        <w:tc>
          <w:tcPr>
            <w:tcW w:w="1100" w:type="dxa"/>
            <w:tcBorders>
              <w:top w:val="nil"/>
              <w:left w:val="nil"/>
              <w:bottom w:val="single" w:sz="4" w:space="0" w:color="auto"/>
              <w:right w:val="single" w:sz="4" w:space="0" w:color="auto"/>
            </w:tcBorders>
            <w:shd w:val="clear" w:color="000000" w:fill="92D05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0.00</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High Carbon Ferro Manganese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625</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0.625</w:t>
            </w:r>
          </w:p>
        </w:tc>
        <w:tc>
          <w:tcPr>
            <w:tcW w:w="1100" w:type="dxa"/>
            <w:tcBorders>
              <w:top w:val="nil"/>
              <w:left w:val="nil"/>
              <w:bottom w:val="single" w:sz="4" w:space="0" w:color="auto"/>
              <w:right w:val="single" w:sz="4" w:space="0" w:color="auto"/>
            </w:tcBorders>
            <w:shd w:val="clear" w:color="000000" w:fill="FFFF0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4.56</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w:t>
            </w:r>
            <w:r w:rsidR="0008118D">
              <w:rPr>
                <w:rFonts w:ascii="Arial" w:eastAsia="Times New Roman" w:hAnsi="Arial" w:cs="Arial"/>
                <w:sz w:val="20"/>
                <w:szCs w:val="20"/>
              </w:rPr>
              <w:t>,</w:t>
            </w:r>
            <w:r w:rsidRPr="00EC3CBF">
              <w:rPr>
                <w:rFonts w:ascii="Arial" w:eastAsia="Times New Roman" w:hAnsi="Arial" w:cs="Arial"/>
                <w:sz w:val="20"/>
                <w:szCs w:val="20"/>
              </w:rPr>
              <w:t>560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2</w:t>
            </w:r>
            <w:r w:rsidR="0008118D">
              <w:rPr>
                <w:rFonts w:ascii="Arial" w:eastAsia="Times New Roman" w:hAnsi="Arial" w:cs="Arial"/>
                <w:sz w:val="20"/>
                <w:szCs w:val="20"/>
              </w:rPr>
              <w:t>,</w:t>
            </w:r>
            <w:r w:rsidRPr="00EC3CBF">
              <w:rPr>
                <w:rFonts w:ascii="Arial" w:eastAsia="Times New Roman" w:hAnsi="Arial" w:cs="Arial"/>
                <w:sz w:val="20"/>
                <w:szCs w:val="20"/>
              </w:rPr>
              <w:t>850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Ferro Silicon</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725</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0.725</w:t>
            </w:r>
          </w:p>
        </w:tc>
        <w:tc>
          <w:tcPr>
            <w:tcW w:w="1100" w:type="dxa"/>
            <w:tcBorders>
              <w:top w:val="nil"/>
              <w:left w:val="nil"/>
              <w:bottom w:val="single" w:sz="4" w:space="0" w:color="auto"/>
              <w:right w:val="single" w:sz="4" w:space="0" w:color="auto"/>
            </w:tcBorders>
            <w:shd w:val="clear" w:color="000000" w:fill="FFFF0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11.50</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11</w:t>
            </w:r>
            <w:r w:rsidR="0008118D">
              <w:rPr>
                <w:rFonts w:ascii="Arial" w:eastAsia="Times New Roman" w:hAnsi="Arial" w:cs="Arial"/>
                <w:sz w:val="20"/>
                <w:szCs w:val="20"/>
              </w:rPr>
              <w:t>,</w:t>
            </w:r>
            <w:r w:rsidRPr="00EC3CBF">
              <w:rPr>
                <w:rFonts w:ascii="Arial" w:eastAsia="Times New Roman" w:hAnsi="Arial" w:cs="Arial"/>
                <w:sz w:val="20"/>
                <w:szCs w:val="20"/>
              </w:rPr>
              <w:t>500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8</w:t>
            </w:r>
            <w:r w:rsidR="0008118D">
              <w:rPr>
                <w:rFonts w:ascii="Arial" w:eastAsia="Times New Roman" w:hAnsi="Arial" w:cs="Arial"/>
                <w:sz w:val="20"/>
                <w:szCs w:val="20"/>
              </w:rPr>
              <w:t>,</w:t>
            </w:r>
            <w:r w:rsidRPr="00EC3CBF">
              <w:rPr>
                <w:rFonts w:ascii="Arial" w:eastAsia="Times New Roman" w:hAnsi="Arial" w:cs="Arial"/>
                <w:sz w:val="20"/>
                <w:szCs w:val="20"/>
              </w:rPr>
              <w:t>338</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High Carbon Ferro Chrome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2</w:t>
            </w:r>
            <w:r w:rsidR="0008118D">
              <w:rPr>
                <w:rFonts w:ascii="Arial" w:eastAsia="Times New Roman" w:hAnsi="Arial" w:cs="Arial"/>
                <w:sz w:val="20"/>
                <w:szCs w:val="20"/>
              </w:rPr>
              <w:t>,</w:t>
            </w:r>
            <w:r w:rsidRPr="00EC3CBF">
              <w:rPr>
                <w:rFonts w:ascii="Arial" w:eastAsia="Times New Roman" w:hAnsi="Arial" w:cs="Arial"/>
                <w:sz w:val="20"/>
                <w:szCs w:val="20"/>
              </w:rPr>
              <w:t>620</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2.620</w:t>
            </w:r>
          </w:p>
        </w:tc>
        <w:tc>
          <w:tcPr>
            <w:tcW w:w="1100" w:type="dxa"/>
            <w:tcBorders>
              <w:top w:val="nil"/>
              <w:left w:val="nil"/>
              <w:bottom w:val="single" w:sz="4" w:space="0" w:color="auto"/>
              <w:right w:val="single" w:sz="4" w:space="0" w:color="auto"/>
            </w:tcBorders>
            <w:shd w:val="clear" w:color="000000" w:fill="FFFF0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7.60</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7</w:t>
            </w:r>
            <w:r w:rsidR="0008118D">
              <w:rPr>
                <w:rFonts w:ascii="Arial" w:eastAsia="Times New Roman" w:hAnsi="Arial" w:cs="Arial"/>
                <w:sz w:val="20"/>
                <w:szCs w:val="20"/>
              </w:rPr>
              <w:t>,</w:t>
            </w:r>
            <w:r w:rsidRPr="00EC3CBF">
              <w:rPr>
                <w:rFonts w:ascii="Arial" w:eastAsia="Times New Roman" w:hAnsi="Arial" w:cs="Arial"/>
                <w:sz w:val="20"/>
                <w:szCs w:val="20"/>
              </w:rPr>
              <w:t>600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19</w:t>
            </w:r>
            <w:r w:rsidR="0008118D">
              <w:rPr>
                <w:rFonts w:ascii="Arial" w:eastAsia="Times New Roman" w:hAnsi="Arial" w:cs="Arial"/>
                <w:sz w:val="20"/>
                <w:szCs w:val="20"/>
              </w:rPr>
              <w:t>,</w:t>
            </w:r>
            <w:r w:rsidRPr="00EC3CBF">
              <w:rPr>
                <w:rFonts w:ascii="Arial" w:eastAsia="Times New Roman" w:hAnsi="Arial" w:cs="Arial"/>
                <w:sz w:val="20"/>
                <w:szCs w:val="20"/>
              </w:rPr>
              <w:t>912</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Ferro Niobium</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125</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0.125</w:t>
            </w:r>
          </w:p>
        </w:tc>
        <w:tc>
          <w:tcPr>
            <w:tcW w:w="1100" w:type="dxa"/>
            <w:tcBorders>
              <w:top w:val="nil"/>
              <w:left w:val="nil"/>
              <w:bottom w:val="single" w:sz="4" w:space="0" w:color="auto"/>
              <w:right w:val="single" w:sz="4" w:space="0" w:color="auto"/>
            </w:tcBorders>
            <w:shd w:val="clear" w:color="000000" w:fill="FFFF0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4.83</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w:t>
            </w:r>
            <w:r w:rsidR="0008118D">
              <w:rPr>
                <w:rFonts w:ascii="Arial" w:eastAsia="Times New Roman" w:hAnsi="Arial" w:cs="Arial"/>
                <w:sz w:val="20"/>
                <w:szCs w:val="20"/>
              </w:rPr>
              <w:t>,</w:t>
            </w:r>
            <w:r w:rsidRPr="00EC3CBF">
              <w:rPr>
                <w:rFonts w:ascii="Arial" w:eastAsia="Times New Roman" w:hAnsi="Arial" w:cs="Arial"/>
                <w:sz w:val="20"/>
                <w:szCs w:val="20"/>
              </w:rPr>
              <w:t>833</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604</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Ferro Titanium</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125</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0.125</w:t>
            </w:r>
          </w:p>
        </w:tc>
        <w:tc>
          <w:tcPr>
            <w:tcW w:w="1100" w:type="dxa"/>
            <w:tcBorders>
              <w:top w:val="nil"/>
              <w:left w:val="nil"/>
              <w:bottom w:val="single" w:sz="4" w:space="0" w:color="auto"/>
              <w:right w:val="single" w:sz="4" w:space="0" w:color="auto"/>
            </w:tcBorders>
            <w:shd w:val="clear" w:color="000000" w:fill="FFFF0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4.30</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w:t>
            </w:r>
            <w:r w:rsidR="0008118D">
              <w:rPr>
                <w:rFonts w:ascii="Arial" w:eastAsia="Times New Roman" w:hAnsi="Arial" w:cs="Arial"/>
                <w:sz w:val="20"/>
                <w:szCs w:val="20"/>
              </w:rPr>
              <w:t>,</w:t>
            </w:r>
            <w:r w:rsidRPr="00EC3CBF">
              <w:rPr>
                <w:rFonts w:ascii="Arial" w:eastAsia="Times New Roman" w:hAnsi="Arial" w:cs="Arial"/>
                <w:sz w:val="20"/>
                <w:szCs w:val="20"/>
              </w:rPr>
              <w:t>296</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537</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Electrolytic-Manganese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5</w:t>
            </w:r>
            <w:r w:rsidR="0008118D">
              <w:rPr>
                <w:rFonts w:ascii="Arial" w:eastAsia="Times New Roman" w:hAnsi="Arial" w:cs="Arial"/>
                <w:sz w:val="20"/>
                <w:szCs w:val="20"/>
              </w:rPr>
              <w:t>,</w:t>
            </w:r>
            <w:r w:rsidRPr="00EC3CBF">
              <w:rPr>
                <w:rFonts w:ascii="Arial" w:eastAsia="Times New Roman" w:hAnsi="Arial" w:cs="Arial"/>
                <w:sz w:val="20"/>
                <w:szCs w:val="20"/>
              </w:rPr>
              <w:t>000</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5.000</w:t>
            </w:r>
          </w:p>
        </w:tc>
        <w:tc>
          <w:tcPr>
            <w:tcW w:w="1100" w:type="dxa"/>
            <w:tcBorders>
              <w:top w:val="nil"/>
              <w:left w:val="nil"/>
              <w:bottom w:val="single" w:sz="4" w:space="0" w:color="auto"/>
              <w:right w:val="single" w:sz="4" w:space="0" w:color="auto"/>
            </w:tcBorders>
            <w:shd w:val="clear" w:color="000000" w:fill="DA9694"/>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13.70</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13</w:t>
            </w:r>
            <w:r w:rsidR="0008118D">
              <w:rPr>
                <w:rFonts w:ascii="Arial" w:eastAsia="Times New Roman" w:hAnsi="Arial" w:cs="Arial"/>
                <w:sz w:val="20"/>
                <w:szCs w:val="20"/>
              </w:rPr>
              <w:t>,</w:t>
            </w:r>
            <w:r w:rsidRPr="00EC3CBF">
              <w:rPr>
                <w:rFonts w:ascii="Arial" w:eastAsia="Times New Roman" w:hAnsi="Arial" w:cs="Arial"/>
                <w:sz w:val="20"/>
                <w:szCs w:val="20"/>
              </w:rPr>
              <w:t>700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68</w:t>
            </w:r>
            <w:r w:rsidR="0008118D">
              <w:rPr>
                <w:rFonts w:ascii="Arial" w:eastAsia="Times New Roman" w:hAnsi="Arial" w:cs="Arial"/>
                <w:sz w:val="20"/>
                <w:szCs w:val="20"/>
              </w:rPr>
              <w:t>,</w:t>
            </w:r>
            <w:r w:rsidRPr="00EC3CBF">
              <w:rPr>
                <w:rFonts w:ascii="Arial" w:eastAsia="Times New Roman" w:hAnsi="Arial" w:cs="Arial"/>
                <w:sz w:val="20"/>
                <w:szCs w:val="20"/>
              </w:rPr>
              <w:t>500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Calcium-Silicate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w:t>
            </w:r>
            <w:r w:rsidR="0008118D">
              <w:rPr>
                <w:rFonts w:ascii="Arial" w:eastAsia="Times New Roman" w:hAnsi="Arial" w:cs="Arial"/>
                <w:sz w:val="20"/>
                <w:szCs w:val="20"/>
              </w:rPr>
              <w:t>,</w:t>
            </w:r>
            <w:r w:rsidRPr="00EC3CBF">
              <w:rPr>
                <w:rFonts w:ascii="Arial" w:eastAsia="Times New Roman" w:hAnsi="Arial" w:cs="Arial"/>
                <w:sz w:val="20"/>
                <w:szCs w:val="20"/>
              </w:rPr>
              <w:t>600</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1.600</w:t>
            </w:r>
          </w:p>
        </w:tc>
        <w:tc>
          <w:tcPr>
            <w:tcW w:w="1100" w:type="dxa"/>
            <w:tcBorders>
              <w:top w:val="nil"/>
              <w:left w:val="nil"/>
              <w:bottom w:val="single" w:sz="4" w:space="0" w:color="auto"/>
              <w:right w:val="single" w:sz="4" w:space="0" w:color="auto"/>
            </w:tcBorders>
            <w:shd w:val="clear" w:color="000000" w:fill="DA9694"/>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0.14</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144</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230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 xml:space="preserve">Aluminium </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700</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0.700</w:t>
            </w:r>
          </w:p>
        </w:tc>
        <w:tc>
          <w:tcPr>
            <w:tcW w:w="1100" w:type="dxa"/>
            <w:tcBorders>
              <w:top w:val="nil"/>
              <w:left w:val="nil"/>
              <w:bottom w:val="single" w:sz="4" w:space="0" w:color="auto"/>
              <w:right w:val="single" w:sz="4" w:space="0" w:color="auto"/>
            </w:tcBorders>
            <w:shd w:val="clear" w:color="000000" w:fill="DA9694"/>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9.06</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9</w:t>
            </w:r>
            <w:r w:rsidR="0008118D">
              <w:rPr>
                <w:rFonts w:ascii="Arial" w:eastAsia="Times New Roman" w:hAnsi="Arial" w:cs="Arial"/>
                <w:sz w:val="20"/>
                <w:szCs w:val="20"/>
              </w:rPr>
              <w:t>,</w:t>
            </w:r>
            <w:r w:rsidRPr="00EC3CBF">
              <w:rPr>
                <w:rFonts w:ascii="Arial" w:eastAsia="Times New Roman" w:hAnsi="Arial" w:cs="Arial"/>
                <w:sz w:val="20"/>
                <w:szCs w:val="20"/>
              </w:rPr>
              <w:t>060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6</w:t>
            </w:r>
            <w:r w:rsidR="0008118D">
              <w:rPr>
                <w:rFonts w:ascii="Arial" w:eastAsia="Times New Roman" w:hAnsi="Arial" w:cs="Arial"/>
                <w:sz w:val="20"/>
                <w:szCs w:val="20"/>
              </w:rPr>
              <w:t>,</w:t>
            </w:r>
            <w:r w:rsidRPr="00EC3CBF">
              <w:rPr>
                <w:rFonts w:ascii="Arial" w:eastAsia="Times New Roman" w:hAnsi="Arial" w:cs="Arial"/>
                <w:sz w:val="20"/>
                <w:szCs w:val="20"/>
              </w:rPr>
              <w:t>342</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nil"/>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Mild Steel</w:t>
            </w:r>
          </w:p>
        </w:tc>
        <w:tc>
          <w:tcPr>
            <w:tcW w:w="1500" w:type="dxa"/>
            <w:tcBorders>
              <w:top w:val="nil"/>
              <w:left w:val="single" w:sz="4" w:space="0" w:color="auto"/>
              <w:bottom w:val="nil"/>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325,000</w:t>
            </w:r>
          </w:p>
        </w:tc>
        <w:tc>
          <w:tcPr>
            <w:tcW w:w="1500" w:type="dxa"/>
            <w:tcBorders>
              <w:top w:val="nil"/>
              <w:left w:val="nil"/>
              <w:bottom w:val="nil"/>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325</w:t>
            </w:r>
          </w:p>
        </w:tc>
        <w:tc>
          <w:tcPr>
            <w:tcW w:w="1100" w:type="dxa"/>
            <w:tcBorders>
              <w:top w:val="nil"/>
              <w:left w:val="nil"/>
              <w:bottom w:val="nil"/>
              <w:right w:val="single" w:sz="4" w:space="0" w:color="auto"/>
            </w:tcBorders>
            <w:shd w:val="clear" w:color="000000" w:fill="92D05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1.90</w:t>
            </w:r>
          </w:p>
        </w:tc>
        <w:tc>
          <w:tcPr>
            <w:tcW w:w="1240" w:type="dxa"/>
            <w:tcBorders>
              <w:top w:val="nil"/>
              <w:left w:val="nil"/>
              <w:bottom w:val="nil"/>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w:t>
            </w:r>
            <w:r w:rsidR="0008118D">
              <w:rPr>
                <w:rFonts w:ascii="Arial" w:eastAsia="Times New Roman" w:hAnsi="Arial" w:cs="Arial"/>
                <w:sz w:val="20"/>
                <w:szCs w:val="20"/>
              </w:rPr>
              <w:t>,</w:t>
            </w:r>
            <w:r w:rsidRPr="00EC3CBF">
              <w:rPr>
                <w:rFonts w:ascii="Arial" w:eastAsia="Times New Roman" w:hAnsi="Arial" w:cs="Arial"/>
                <w:sz w:val="20"/>
                <w:szCs w:val="20"/>
              </w:rPr>
              <w:t>900</w:t>
            </w:r>
          </w:p>
        </w:tc>
        <w:tc>
          <w:tcPr>
            <w:tcW w:w="1120" w:type="dxa"/>
            <w:tcBorders>
              <w:top w:val="nil"/>
              <w:left w:val="nil"/>
              <w:bottom w:val="nil"/>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617</w:t>
            </w:r>
            <w:r w:rsidR="0008118D">
              <w:rPr>
                <w:rFonts w:ascii="Arial" w:eastAsia="Times New Roman" w:hAnsi="Arial" w:cs="Arial"/>
                <w:sz w:val="20"/>
                <w:szCs w:val="20"/>
              </w:rPr>
              <w:t>,</w:t>
            </w:r>
            <w:r w:rsidRPr="00EC3CBF">
              <w:rPr>
                <w:rFonts w:ascii="Arial" w:eastAsia="Times New Roman" w:hAnsi="Arial" w:cs="Arial"/>
                <w:sz w:val="20"/>
                <w:szCs w:val="20"/>
              </w:rPr>
              <w:t>500</w:t>
            </w:r>
          </w:p>
        </w:tc>
        <w:tc>
          <w:tcPr>
            <w:tcW w:w="1120" w:type="dxa"/>
            <w:tcBorders>
              <w:top w:val="nil"/>
              <w:left w:val="nil"/>
              <w:bottom w:val="nil"/>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nil"/>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nil"/>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single" w:sz="8" w:space="0" w:color="auto"/>
              <w:left w:val="nil"/>
              <w:bottom w:val="single" w:sz="8"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Total</w:t>
            </w:r>
          </w:p>
        </w:tc>
        <w:tc>
          <w:tcPr>
            <w:tcW w:w="1500" w:type="dxa"/>
            <w:tcBorders>
              <w:top w:val="single" w:sz="8" w:space="0" w:color="auto"/>
              <w:left w:val="single" w:sz="4" w:space="0" w:color="auto"/>
              <w:bottom w:val="single" w:sz="8"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336,580</w:t>
            </w:r>
          </w:p>
        </w:tc>
        <w:tc>
          <w:tcPr>
            <w:tcW w:w="1500" w:type="dxa"/>
            <w:tcBorders>
              <w:top w:val="single" w:sz="8" w:space="0" w:color="auto"/>
              <w:left w:val="nil"/>
              <w:bottom w:val="single" w:sz="8"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336.580</w:t>
            </w:r>
          </w:p>
        </w:tc>
        <w:tc>
          <w:tcPr>
            <w:tcW w:w="1100" w:type="dxa"/>
            <w:tcBorders>
              <w:top w:val="single" w:sz="8" w:space="0" w:color="auto"/>
              <w:left w:val="nil"/>
              <w:bottom w:val="single" w:sz="8"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 </w:t>
            </w:r>
          </w:p>
        </w:tc>
        <w:tc>
          <w:tcPr>
            <w:tcW w:w="1240" w:type="dxa"/>
            <w:tcBorders>
              <w:top w:val="single" w:sz="8" w:space="0" w:color="auto"/>
              <w:left w:val="nil"/>
              <w:bottom w:val="single" w:sz="8"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 </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724</w:t>
            </w:r>
            <w:r w:rsidR="0008118D">
              <w:rPr>
                <w:rFonts w:ascii="Arial" w:eastAsia="Times New Roman" w:hAnsi="Arial" w:cs="Arial"/>
                <w:b/>
                <w:bCs/>
                <w:sz w:val="20"/>
                <w:szCs w:val="20"/>
              </w:rPr>
              <w:t>,</w:t>
            </w:r>
            <w:r w:rsidRPr="00EC3CBF">
              <w:rPr>
                <w:rFonts w:ascii="Arial" w:eastAsia="Times New Roman" w:hAnsi="Arial" w:cs="Arial"/>
                <w:b/>
                <w:bCs/>
                <w:sz w:val="20"/>
                <w:szCs w:val="20"/>
              </w:rPr>
              <w:t>813</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2153.46</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253.46</w:t>
            </w:r>
          </w:p>
        </w:tc>
        <w:tc>
          <w:tcPr>
            <w:tcW w:w="1120" w:type="dxa"/>
            <w:tcBorders>
              <w:top w:val="single" w:sz="8" w:space="0" w:color="auto"/>
              <w:left w:val="nil"/>
              <w:bottom w:val="single" w:sz="8" w:space="0" w:color="auto"/>
              <w:right w:val="single" w:sz="8"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0.253</w:t>
            </w:r>
          </w:p>
        </w:tc>
      </w:tr>
    </w:tbl>
    <w:p w:rsidR="00AE7A4C" w:rsidRPr="005B3139" w:rsidRDefault="00AE7A4C" w:rsidP="00AE7A4C">
      <w:pPr>
        <w:spacing w:line="360" w:lineRule="auto"/>
        <w:rPr>
          <w:rFonts w:ascii="Times New Roman" w:eastAsia="Calibri" w:hAnsi="Times New Roman" w:cs="Times New Roman"/>
        </w:rPr>
      </w:pPr>
    </w:p>
    <w:p w:rsidR="00AE7A4C" w:rsidRPr="005B3139" w:rsidRDefault="00AE7A4C" w:rsidP="00AE7A4C">
      <w:pPr>
        <w:spacing w:line="360" w:lineRule="auto"/>
        <w:rPr>
          <w:rFonts w:ascii="Times New Roman" w:eastAsia="Calibri" w:hAnsi="Times New Roman" w:cs="Times New Roman"/>
        </w:rPr>
      </w:pPr>
    </w:p>
    <w:p w:rsidR="00AE7A4C" w:rsidRPr="005B3139" w:rsidRDefault="00AE7A4C" w:rsidP="00AE7A4C">
      <w:pPr>
        <w:spacing w:line="360" w:lineRule="auto"/>
        <w:rPr>
          <w:rFonts w:ascii="Times New Roman" w:eastAsia="Calibri" w:hAnsi="Times New Roman" w:cs="Times New Roman"/>
        </w:rPr>
      </w:pPr>
    </w:p>
    <w:p w:rsidR="00AE7A4C" w:rsidRPr="005B3139" w:rsidRDefault="00AE7A4C" w:rsidP="00AE7A4C">
      <w:pPr>
        <w:spacing w:line="360" w:lineRule="auto"/>
        <w:rPr>
          <w:rFonts w:ascii="Times New Roman" w:eastAsia="Calibri" w:hAnsi="Times New Roman" w:cs="Times New Roman"/>
        </w:rPr>
      </w:pPr>
    </w:p>
    <w:p w:rsidR="00AE7A4C" w:rsidRDefault="00AE7A4C" w:rsidP="00AE7A4C">
      <w:pPr>
        <w:spacing w:line="360" w:lineRule="auto"/>
        <w:rPr>
          <w:rFonts w:ascii="Times New Roman" w:eastAsia="Calibri" w:hAnsi="Times New Roman" w:cs="Times New Roman"/>
        </w:rPr>
      </w:pPr>
    </w:p>
    <w:p w:rsidR="00EC3CBF" w:rsidRPr="005B3139" w:rsidRDefault="00EC3CBF" w:rsidP="00AE7A4C">
      <w:pPr>
        <w:spacing w:line="360" w:lineRule="auto"/>
        <w:rPr>
          <w:rFonts w:ascii="Times New Roman" w:eastAsia="Calibri" w:hAnsi="Times New Roman" w:cs="Times New Roman"/>
        </w:rPr>
      </w:pPr>
    </w:p>
    <w:p w:rsidR="00AE7A4C" w:rsidRPr="005B3139" w:rsidRDefault="00AE7A4C" w:rsidP="00AE7A4C">
      <w:pPr>
        <w:spacing w:line="360" w:lineRule="auto"/>
        <w:rPr>
          <w:rFonts w:ascii="Times New Roman" w:eastAsia="Calibri" w:hAnsi="Times New Roman" w:cs="Times New Roman"/>
        </w:rPr>
      </w:pPr>
    </w:p>
    <w:p w:rsidR="00AE7A4C" w:rsidRPr="005B3139" w:rsidRDefault="00AE7A4C" w:rsidP="00AE7A4C">
      <w:pPr>
        <w:spacing w:line="360" w:lineRule="auto"/>
        <w:rPr>
          <w:rFonts w:ascii="Times New Roman" w:eastAsia="Calibri" w:hAnsi="Times New Roman" w:cs="Times New Roman"/>
        </w:rPr>
      </w:pPr>
    </w:p>
    <w:p w:rsidR="00AE7A4C" w:rsidRPr="00EC3CBF" w:rsidRDefault="00EC3CBF" w:rsidP="00EC3CBF">
      <w:pPr>
        <w:rPr>
          <w:rFonts w:ascii="Times New Roman" w:eastAsia="Calibri" w:hAnsi="Times New Roman" w:cs="Times New Roman"/>
        </w:rPr>
      </w:pPr>
      <w:bookmarkStart w:id="372" w:name="_Toc474486572"/>
      <w:bookmarkStart w:id="373" w:name="_Toc495852743"/>
      <w:r w:rsidRPr="00EC3CBF">
        <w:rPr>
          <w:rFonts w:ascii="Times New Roman" w:hAnsi="Times New Roman" w:cs="Times New Roman"/>
        </w:rPr>
        <w:lastRenderedPageBreak/>
        <w:t xml:space="preserve">Table </w:t>
      </w:r>
      <w:r w:rsidR="009A0ED7" w:rsidRPr="00EC3CBF">
        <w:rPr>
          <w:rFonts w:ascii="Times New Roman" w:hAnsi="Times New Roman" w:cs="Times New Roman"/>
        </w:rPr>
        <w:fldChar w:fldCharType="begin"/>
      </w:r>
      <w:r w:rsidRPr="00EC3CBF">
        <w:rPr>
          <w:rFonts w:ascii="Times New Roman" w:hAnsi="Times New Roman" w:cs="Times New Roman"/>
        </w:rPr>
        <w:instrText xml:space="preserve"> SEQ Table \* ARABIC </w:instrText>
      </w:r>
      <w:r w:rsidR="009A0ED7" w:rsidRPr="00EC3CBF">
        <w:rPr>
          <w:rFonts w:ascii="Times New Roman" w:hAnsi="Times New Roman" w:cs="Times New Roman"/>
        </w:rPr>
        <w:fldChar w:fldCharType="separate"/>
      </w:r>
      <w:r w:rsidR="009F5483">
        <w:rPr>
          <w:rFonts w:ascii="Times New Roman" w:hAnsi="Times New Roman" w:cs="Times New Roman"/>
          <w:noProof/>
        </w:rPr>
        <w:t>65</w:t>
      </w:r>
      <w:r w:rsidR="009A0ED7" w:rsidRPr="00EC3CBF">
        <w:rPr>
          <w:rFonts w:ascii="Times New Roman" w:hAnsi="Times New Roman" w:cs="Times New Roman"/>
        </w:rPr>
        <w:fldChar w:fldCharType="end"/>
      </w:r>
      <w:r w:rsidRPr="00EC3CBF">
        <w:rPr>
          <w:rFonts w:ascii="Times New Roman" w:hAnsi="Times New Roman" w:cs="Times New Roman"/>
        </w:rPr>
        <w:t xml:space="preserve">. </w:t>
      </w:r>
      <w:r w:rsidR="00AE7A4C" w:rsidRPr="00EC3CBF">
        <w:rPr>
          <w:rFonts w:ascii="Times New Roman" w:eastAsia="Calibri" w:hAnsi="Times New Roman" w:cs="Times New Roman"/>
        </w:rPr>
        <w:t>Breakdown of additional CO</w:t>
      </w:r>
      <w:r w:rsidR="00AE7A4C" w:rsidRPr="00EC3CBF">
        <w:rPr>
          <w:rFonts w:ascii="Times New Roman" w:eastAsia="Calibri" w:hAnsi="Times New Roman" w:cs="Times New Roman"/>
          <w:vertAlign w:val="subscript"/>
        </w:rPr>
        <w:t>2</w:t>
      </w:r>
      <w:r w:rsidR="00AE7A4C" w:rsidRPr="00EC3CBF">
        <w:rPr>
          <w:rFonts w:ascii="Times New Roman" w:eastAsia="Calibri" w:hAnsi="Times New Roman" w:cs="Times New Roman"/>
        </w:rPr>
        <w:t xml:space="preserve"> impact due to alloying additions (kgCO</w:t>
      </w:r>
      <w:r w:rsidR="00AE7A4C" w:rsidRPr="00EC3CBF">
        <w:rPr>
          <w:rFonts w:ascii="Times New Roman" w:eastAsia="Calibri" w:hAnsi="Times New Roman" w:cs="Times New Roman"/>
          <w:vertAlign w:val="subscript"/>
        </w:rPr>
        <w:t>2</w:t>
      </w:r>
      <w:r w:rsidR="00AE7A4C" w:rsidRPr="00EC3CBF">
        <w:rPr>
          <w:rFonts w:ascii="Times New Roman" w:eastAsia="Calibri" w:hAnsi="Times New Roman" w:cs="Times New Roman"/>
        </w:rPr>
        <w:t>/kg) for DP600 steel grade.</w:t>
      </w:r>
      <w:bookmarkEnd w:id="372"/>
      <w:bookmarkEnd w:id="373"/>
    </w:p>
    <w:tbl>
      <w:tblPr>
        <w:tblW w:w="14460" w:type="dxa"/>
        <w:tblLook w:val="04A0" w:firstRow="1" w:lastRow="0" w:firstColumn="1" w:lastColumn="0" w:noHBand="0" w:noVBand="1"/>
      </w:tblPr>
      <w:tblGrid>
        <w:gridCol w:w="960"/>
        <w:gridCol w:w="3680"/>
        <w:gridCol w:w="1500"/>
        <w:gridCol w:w="1500"/>
        <w:gridCol w:w="1244"/>
        <w:gridCol w:w="1240"/>
        <w:gridCol w:w="1120"/>
        <w:gridCol w:w="1120"/>
        <w:gridCol w:w="1194"/>
        <w:gridCol w:w="1194"/>
      </w:tblGrid>
      <w:tr w:rsidR="00EC3CBF" w:rsidRPr="00EC3CBF" w:rsidTr="00EC3CBF">
        <w:trPr>
          <w:trHeight w:val="1035"/>
        </w:trPr>
        <w:tc>
          <w:tcPr>
            <w:tcW w:w="960" w:type="dxa"/>
            <w:tcBorders>
              <w:top w:val="single" w:sz="4" w:space="0" w:color="auto"/>
              <w:left w:val="single" w:sz="4" w:space="0" w:color="auto"/>
              <w:bottom w:val="nil"/>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Grade</w:t>
            </w:r>
          </w:p>
        </w:tc>
        <w:tc>
          <w:tcPr>
            <w:tcW w:w="368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Alloying Addition</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Amount Added for Boron Cast (kg)</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Amount Added for Boron Cast (t)</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Emission Factor (kgCO</w:t>
            </w:r>
            <w:r w:rsidRPr="00EC3CBF">
              <w:rPr>
                <w:rFonts w:ascii="Arial" w:eastAsia="Times New Roman" w:hAnsi="Arial" w:cs="Arial"/>
                <w:b/>
                <w:bCs/>
                <w:sz w:val="20"/>
                <w:szCs w:val="20"/>
                <w:vertAlign w:val="subscript"/>
              </w:rPr>
              <w:t>2</w:t>
            </w:r>
            <w:r w:rsidRPr="00EC3CBF">
              <w:rPr>
                <w:rFonts w:ascii="Arial" w:eastAsia="Times New Roman" w:hAnsi="Arial" w:cs="Arial"/>
                <w:b/>
                <w:bCs/>
                <w:sz w:val="20"/>
                <w:szCs w:val="20"/>
              </w:rPr>
              <w:t>/kg)</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Emission Factor (kgCO</w:t>
            </w:r>
            <w:r w:rsidRPr="00EC3CBF">
              <w:rPr>
                <w:rFonts w:ascii="Arial" w:eastAsia="Times New Roman" w:hAnsi="Arial" w:cs="Arial"/>
                <w:b/>
                <w:bCs/>
                <w:sz w:val="20"/>
                <w:szCs w:val="20"/>
                <w:vertAlign w:val="subscript"/>
              </w:rPr>
              <w:t>2</w:t>
            </w:r>
            <w:r w:rsidRPr="00EC3CBF">
              <w:rPr>
                <w:rFonts w:ascii="Arial" w:eastAsia="Times New Roman" w:hAnsi="Arial" w:cs="Arial"/>
                <w:b/>
                <w:bCs/>
                <w:sz w:val="20"/>
                <w:szCs w:val="20"/>
              </w:rPr>
              <w:t>/t)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CO</w:t>
            </w:r>
            <w:r w:rsidRPr="00EC3CBF">
              <w:rPr>
                <w:rFonts w:ascii="Arial" w:eastAsia="Times New Roman" w:hAnsi="Arial" w:cs="Arial"/>
                <w:b/>
                <w:bCs/>
                <w:sz w:val="20"/>
                <w:szCs w:val="20"/>
                <w:vertAlign w:val="subscript"/>
              </w:rPr>
              <w:t>2</w:t>
            </w:r>
            <w:r w:rsidRPr="00EC3CBF">
              <w:rPr>
                <w:rFonts w:ascii="Arial" w:eastAsia="Times New Roman" w:hAnsi="Arial" w:cs="Arial"/>
                <w:b/>
                <w:bCs/>
                <w:sz w:val="20"/>
                <w:szCs w:val="20"/>
              </w:rPr>
              <w:t xml:space="preserve"> for this cast</w:t>
            </w:r>
          </w:p>
          <w:p w:rsidR="007678D9" w:rsidRPr="00EC3CBF" w:rsidRDefault="007678D9"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(kgCO</w:t>
            </w:r>
            <w:r w:rsidRPr="00EC3CBF">
              <w:rPr>
                <w:rFonts w:ascii="Arial" w:eastAsia="Times New Roman" w:hAnsi="Arial" w:cs="Arial"/>
                <w:b/>
                <w:bCs/>
                <w:sz w:val="20"/>
                <w:szCs w:val="20"/>
                <w:vertAlign w:val="subscript"/>
              </w:rPr>
              <w:t>2</w:t>
            </w:r>
            <w:r>
              <w:rPr>
                <w:rFonts w:ascii="Arial" w:eastAsia="Times New Roman" w:hAnsi="Arial" w:cs="Arial"/>
                <w:b/>
                <w:bCs/>
                <w:sz w:val="20"/>
                <w:szCs w:val="20"/>
              </w:rPr>
              <w: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Total impact per 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Additional impact per 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Additional impact per kg</w:t>
            </w:r>
          </w:p>
        </w:tc>
      </w:tr>
      <w:tr w:rsidR="00EC3CBF" w:rsidRPr="00EC3CBF" w:rsidTr="00EC3CBF">
        <w:trPr>
          <w:trHeight w:val="255"/>
        </w:trPr>
        <w:tc>
          <w:tcPr>
            <w:tcW w:w="960" w:type="dxa"/>
            <w:vMerge w:val="restart"/>
            <w:tcBorders>
              <w:top w:val="single" w:sz="8" w:space="0" w:color="auto"/>
              <w:left w:val="single" w:sz="8" w:space="0" w:color="auto"/>
              <w:bottom w:val="single" w:sz="8" w:space="0" w:color="000000"/>
              <w:right w:val="single" w:sz="8" w:space="0" w:color="auto"/>
            </w:tcBorders>
            <w:shd w:val="clear" w:color="000000" w:fill="00B0F0"/>
            <w:noWrap/>
            <w:vAlign w:val="center"/>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DP600</w:t>
            </w:r>
          </w:p>
        </w:tc>
        <w:tc>
          <w:tcPr>
            <w:tcW w:w="3680" w:type="dxa"/>
            <w:tcBorders>
              <w:top w:val="nil"/>
              <w:left w:val="nil"/>
              <w:bottom w:val="single" w:sz="4" w:space="0" w:color="auto"/>
              <w:right w:val="nil"/>
            </w:tcBorders>
            <w:shd w:val="clear" w:color="000000" w:fill="FFFFFF"/>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High Carbon Ferro Manganese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400</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0.400</w:t>
            </w:r>
          </w:p>
        </w:tc>
        <w:tc>
          <w:tcPr>
            <w:tcW w:w="1100" w:type="dxa"/>
            <w:tcBorders>
              <w:top w:val="nil"/>
              <w:left w:val="nil"/>
              <w:bottom w:val="single" w:sz="4" w:space="0" w:color="auto"/>
              <w:right w:val="single" w:sz="4" w:space="0" w:color="auto"/>
            </w:tcBorders>
            <w:shd w:val="clear" w:color="000000" w:fill="FFFF0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4.56</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w:t>
            </w:r>
            <w:r w:rsidR="0008118D">
              <w:rPr>
                <w:rFonts w:ascii="Arial" w:eastAsia="Times New Roman" w:hAnsi="Arial" w:cs="Arial"/>
                <w:sz w:val="20"/>
                <w:szCs w:val="20"/>
              </w:rPr>
              <w:t>,</w:t>
            </w:r>
            <w:r w:rsidRPr="00EC3CBF">
              <w:rPr>
                <w:rFonts w:ascii="Arial" w:eastAsia="Times New Roman" w:hAnsi="Arial" w:cs="Arial"/>
                <w:sz w:val="20"/>
                <w:szCs w:val="20"/>
              </w:rPr>
              <w:t>560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w:t>
            </w:r>
            <w:r w:rsidR="0008118D">
              <w:rPr>
                <w:rFonts w:ascii="Arial" w:eastAsia="Times New Roman" w:hAnsi="Arial" w:cs="Arial"/>
                <w:sz w:val="20"/>
                <w:szCs w:val="20"/>
              </w:rPr>
              <w:t>,</w:t>
            </w:r>
            <w:r w:rsidRPr="00EC3CBF">
              <w:rPr>
                <w:rFonts w:ascii="Arial" w:eastAsia="Times New Roman" w:hAnsi="Arial" w:cs="Arial"/>
                <w:sz w:val="20"/>
                <w:szCs w:val="20"/>
              </w:rPr>
              <w:t>824</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Medium Carbon Ferro Manganese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925</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0.925</w:t>
            </w:r>
          </w:p>
        </w:tc>
        <w:tc>
          <w:tcPr>
            <w:tcW w:w="1100" w:type="dxa"/>
            <w:tcBorders>
              <w:top w:val="nil"/>
              <w:left w:val="nil"/>
              <w:bottom w:val="single" w:sz="4" w:space="0" w:color="auto"/>
              <w:right w:val="single" w:sz="4" w:space="0" w:color="auto"/>
            </w:tcBorders>
            <w:shd w:val="clear" w:color="000000" w:fill="00B0F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6.33</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6</w:t>
            </w:r>
            <w:r w:rsidR="0008118D">
              <w:rPr>
                <w:rFonts w:ascii="Arial" w:eastAsia="Times New Roman" w:hAnsi="Arial" w:cs="Arial"/>
                <w:sz w:val="20"/>
                <w:szCs w:val="20"/>
              </w:rPr>
              <w:t>,</w:t>
            </w:r>
            <w:r w:rsidRPr="00EC3CBF">
              <w:rPr>
                <w:rFonts w:ascii="Arial" w:eastAsia="Times New Roman" w:hAnsi="Arial" w:cs="Arial"/>
                <w:sz w:val="20"/>
                <w:szCs w:val="20"/>
              </w:rPr>
              <w:t>335</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5</w:t>
            </w:r>
            <w:r w:rsidR="0008118D">
              <w:rPr>
                <w:rFonts w:ascii="Arial" w:eastAsia="Times New Roman" w:hAnsi="Arial" w:cs="Arial"/>
                <w:sz w:val="20"/>
                <w:szCs w:val="20"/>
              </w:rPr>
              <w:t>,</w:t>
            </w:r>
            <w:r w:rsidRPr="00EC3CBF">
              <w:rPr>
                <w:rFonts w:ascii="Arial" w:eastAsia="Times New Roman" w:hAnsi="Arial" w:cs="Arial"/>
                <w:sz w:val="20"/>
                <w:szCs w:val="20"/>
              </w:rPr>
              <w:t>860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Ferro Silicon</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335</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0.335</w:t>
            </w:r>
          </w:p>
        </w:tc>
        <w:tc>
          <w:tcPr>
            <w:tcW w:w="1100" w:type="dxa"/>
            <w:tcBorders>
              <w:top w:val="nil"/>
              <w:left w:val="nil"/>
              <w:bottom w:val="single" w:sz="4" w:space="0" w:color="auto"/>
              <w:right w:val="single" w:sz="4" w:space="0" w:color="auto"/>
            </w:tcBorders>
            <w:shd w:val="clear" w:color="000000" w:fill="FFFF0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11.50</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11</w:t>
            </w:r>
            <w:r w:rsidR="0008118D">
              <w:rPr>
                <w:rFonts w:ascii="Arial" w:eastAsia="Times New Roman" w:hAnsi="Arial" w:cs="Arial"/>
                <w:sz w:val="20"/>
                <w:szCs w:val="20"/>
              </w:rPr>
              <w:t>,</w:t>
            </w:r>
            <w:r w:rsidRPr="00EC3CBF">
              <w:rPr>
                <w:rFonts w:ascii="Arial" w:eastAsia="Times New Roman" w:hAnsi="Arial" w:cs="Arial"/>
                <w:sz w:val="20"/>
                <w:szCs w:val="20"/>
              </w:rPr>
              <w:t>500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3</w:t>
            </w:r>
            <w:r w:rsidR="0008118D">
              <w:rPr>
                <w:rFonts w:ascii="Arial" w:eastAsia="Times New Roman" w:hAnsi="Arial" w:cs="Arial"/>
                <w:sz w:val="20"/>
                <w:szCs w:val="20"/>
              </w:rPr>
              <w:t>,</w:t>
            </w:r>
            <w:r w:rsidRPr="00EC3CBF">
              <w:rPr>
                <w:rFonts w:ascii="Arial" w:eastAsia="Times New Roman" w:hAnsi="Arial" w:cs="Arial"/>
                <w:sz w:val="20"/>
                <w:szCs w:val="20"/>
              </w:rPr>
              <w:t>853</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High Carbon Ferro Chrome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675</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0.675</w:t>
            </w:r>
          </w:p>
        </w:tc>
        <w:tc>
          <w:tcPr>
            <w:tcW w:w="1100" w:type="dxa"/>
            <w:tcBorders>
              <w:top w:val="nil"/>
              <w:left w:val="nil"/>
              <w:bottom w:val="single" w:sz="4" w:space="0" w:color="auto"/>
              <w:right w:val="single" w:sz="4" w:space="0" w:color="auto"/>
            </w:tcBorders>
            <w:shd w:val="clear" w:color="000000" w:fill="FFFF0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7.60</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7</w:t>
            </w:r>
            <w:r w:rsidR="0008118D">
              <w:rPr>
                <w:rFonts w:ascii="Arial" w:eastAsia="Times New Roman" w:hAnsi="Arial" w:cs="Arial"/>
                <w:sz w:val="20"/>
                <w:szCs w:val="20"/>
              </w:rPr>
              <w:t>,</w:t>
            </w:r>
            <w:r w:rsidRPr="00EC3CBF">
              <w:rPr>
                <w:rFonts w:ascii="Arial" w:eastAsia="Times New Roman" w:hAnsi="Arial" w:cs="Arial"/>
                <w:sz w:val="20"/>
                <w:szCs w:val="20"/>
              </w:rPr>
              <w:t>600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5</w:t>
            </w:r>
            <w:r w:rsidR="0008118D">
              <w:rPr>
                <w:rFonts w:ascii="Arial" w:eastAsia="Times New Roman" w:hAnsi="Arial" w:cs="Arial"/>
                <w:sz w:val="20"/>
                <w:szCs w:val="20"/>
              </w:rPr>
              <w:t>,</w:t>
            </w:r>
            <w:r w:rsidRPr="00EC3CBF">
              <w:rPr>
                <w:rFonts w:ascii="Arial" w:eastAsia="Times New Roman" w:hAnsi="Arial" w:cs="Arial"/>
                <w:sz w:val="20"/>
                <w:szCs w:val="20"/>
              </w:rPr>
              <w:t>130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 xml:space="preserve">Aluminium </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700</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0.700</w:t>
            </w:r>
          </w:p>
        </w:tc>
        <w:tc>
          <w:tcPr>
            <w:tcW w:w="1100" w:type="dxa"/>
            <w:tcBorders>
              <w:top w:val="nil"/>
              <w:left w:val="nil"/>
              <w:bottom w:val="single" w:sz="4" w:space="0" w:color="auto"/>
              <w:right w:val="single" w:sz="4" w:space="0" w:color="auto"/>
            </w:tcBorders>
            <w:shd w:val="clear" w:color="000000" w:fill="DA9694"/>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9.06</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9</w:t>
            </w:r>
            <w:r w:rsidR="0008118D">
              <w:rPr>
                <w:rFonts w:ascii="Arial" w:eastAsia="Times New Roman" w:hAnsi="Arial" w:cs="Arial"/>
                <w:sz w:val="20"/>
                <w:szCs w:val="20"/>
              </w:rPr>
              <w:t>,</w:t>
            </w:r>
            <w:r w:rsidRPr="00EC3CBF">
              <w:rPr>
                <w:rFonts w:ascii="Arial" w:eastAsia="Times New Roman" w:hAnsi="Arial" w:cs="Arial"/>
                <w:sz w:val="20"/>
                <w:szCs w:val="20"/>
              </w:rPr>
              <w:t>060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6</w:t>
            </w:r>
            <w:r w:rsidR="0008118D">
              <w:rPr>
                <w:rFonts w:ascii="Arial" w:eastAsia="Times New Roman" w:hAnsi="Arial" w:cs="Arial"/>
                <w:sz w:val="20"/>
                <w:szCs w:val="20"/>
              </w:rPr>
              <w:t>,</w:t>
            </w:r>
            <w:r w:rsidRPr="00EC3CBF">
              <w:rPr>
                <w:rFonts w:ascii="Arial" w:eastAsia="Times New Roman" w:hAnsi="Arial" w:cs="Arial"/>
                <w:sz w:val="20"/>
                <w:szCs w:val="20"/>
              </w:rPr>
              <w:t>342</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Medium Carbon Ferro Manganese Large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2</w:t>
            </w:r>
            <w:r w:rsidR="0008118D">
              <w:rPr>
                <w:rFonts w:ascii="Arial" w:eastAsia="Times New Roman" w:hAnsi="Arial" w:cs="Arial"/>
                <w:sz w:val="20"/>
                <w:szCs w:val="20"/>
              </w:rPr>
              <w:t>,</w:t>
            </w:r>
            <w:r w:rsidRPr="00EC3CBF">
              <w:rPr>
                <w:rFonts w:ascii="Arial" w:eastAsia="Times New Roman" w:hAnsi="Arial" w:cs="Arial"/>
                <w:sz w:val="20"/>
                <w:szCs w:val="20"/>
              </w:rPr>
              <w:t>000</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2.000</w:t>
            </w:r>
          </w:p>
        </w:tc>
        <w:tc>
          <w:tcPr>
            <w:tcW w:w="1100" w:type="dxa"/>
            <w:tcBorders>
              <w:top w:val="nil"/>
              <w:left w:val="nil"/>
              <w:bottom w:val="single" w:sz="4" w:space="0" w:color="auto"/>
              <w:right w:val="single" w:sz="4" w:space="0" w:color="auto"/>
            </w:tcBorders>
            <w:shd w:val="clear" w:color="000000" w:fill="00B0F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6.33</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6</w:t>
            </w:r>
            <w:r w:rsidR="0008118D">
              <w:rPr>
                <w:rFonts w:ascii="Arial" w:eastAsia="Times New Roman" w:hAnsi="Arial" w:cs="Arial"/>
                <w:sz w:val="20"/>
                <w:szCs w:val="20"/>
              </w:rPr>
              <w:t>,</w:t>
            </w:r>
            <w:r w:rsidRPr="00EC3CBF">
              <w:rPr>
                <w:rFonts w:ascii="Arial" w:eastAsia="Times New Roman" w:hAnsi="Arial" w:cs="Arial"/>
                <w:sz w:val="20"/>
                <w:szCs w:val="20"/>
              </w:rPr>
              <w:t>335</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12</w:t>
            </w:r>
            <w:r w:rsidR="0008118D">
              <w:rPr>
                <w:rFonts w:ascii="Arial" w:eastAsia="Times New Roman" w:hAnsi="Arial" w:cs="Arial"/>
                <w:sz w:val="20"/>
                <w:szCs w:val="20"/>
              </w:rPr>
              <w:t>,</w:t>
            </w:r>
            <w:r w:rsidRPr="00EC3CBF">
              <w:rPr>
                <w:rFonts w:ascii="Arial" w:eastAsia="Times New Roman" w:hAnsi="Arial" w:cs="Arial"/>
                <w:sz w:val="20"/>
                <w:szCs w:val="20"/>
              </w:rPr>
              <w:t>670</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Silica-Manganese Large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w:t>
            </w:r>
            <w:r w:rsidR="0008118D">
              <w:rPr>
                <w:rFonts w:ascii="Arial" w:eastAsia="Times New Roman" w:hAnsi="Arial" w:cs="Arial"/>
                <w:sz w:val="20"/>
                <w:szCs w:val="20"/>
              </w:rPr>
              <w:t>,</w:t>
            </w:r>
            <w:r w:rsidRPr="00EC3CBF">
              <w:rPr>
                <w:rFonts w:ascii="Arial" w:eastAsia="Times New Roman" w:hAnsi="Arial" w:cs="Arial"/>
                <w:sz w:val="20"/>
                <w:szCs w:val="20"/>
              </w:rPr>
              <w:t>000</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4.000</w:t>
            </w:r>
          </w:p>
        </w:tc>
        <w:tc>
          <w:tcPr>
            <w:tcW w:w="1100" w:type="dxa"/>
            <w:tcBorders>
              <w:top w:val="nil"/>
              <w:left w:val="nil"/>
              <w:bottom w:val="single" w:sz="4" w:space="0" w:color="auto"/>
              <w:right w:val="single" w:sz="4" w:space="0" w:color="auto"/>
            </w:tcBorders>
            <w:shd w:val="clear" w:color="000000" w:fill="FFFF0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7.17</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7</w:t>
            </w:r>
            <w:r w:rsidR="0008118D">
              <w:rPr>
                <w:rFonts w:ascii="Arial" w:eastAsia="Times New Roman" w:hAnsi="Arial" w:cs="Arial"/>
                <w:sz w:val="20"/>
                <w:szCs w:val="20"/>
              </w:rPr>
              <w:t>,</w:t>
            </w:r>
            <w:r w:rsidRPr="00EC3CBF">
              <w:rPr>
                <w:rFonts w:ascii="Arial" w:eastAsia="Times New Roman" w:hAnsi="Arial" w:cs="Arial"/>
                <w:sz w:val="20"/>
                <w:szCs w:val="20"/>
              </w:rPr>
              <w:t>173</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28</w:t>
            </w:r>
            <w:r w:rsidR="0008118D">
              <w:rPr>
                <w:rFonts w:ascii="Arial" w:eastAsia="Times New Roman" w:hAnsi="Arial" w:cs="Arial"/>
                <w:sz w:val="20"/>
                <w:szCs w:val="20"/>
              </w:rPr>
              <w:t>,</w:t>
            </w:r>
            <w:r w:rsidRPr="00EC3CBF">
              <w:rPr>
                <w:rFonts w:ascii="Arial" w:eastAsia="Times New Roman" w:hAnsi="Arial" w:cs="Arial"/>
                <w:sz w:val="20"/>
                <w:szCs w:val="20"/>
              </w:rPr>
              <w:t>691</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Low Carbon Ferro Chrome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2</w:t>
            </w:r>
            <w:r w:rsidR="0008118D">
              <w:rPr>
                <w:rFonts w:ascii="Arial" w:eastAsia="Times New Roman" w:hAnsi="Arial" w:cs="Arial"/>
                <w:sz w:val="20"/>
                <w:szCs w:val="20"/>
              </w:rPr>
              <w:t>,</w:t>
            </w:r>
            <w:r w:rsidRPr="00EC3CBF">
              <w:rPr>
                <w:rFonts w:ascii="Arial" w:eastAsia="Times New Roman" w:hAnsi="Arial" w:cs="Arial"/>
                <w:sz w:val="20"/>
                <w:szCs w:val="20"/>
              </w:rPr>
              <w:t>000</w:t>
            </w:r>
          </w:p>
        </w:tc>
        <w:tc>
          <w:tcPr>
            <w:tcW w:w="1500" w:type="dxa"/>
            <w:tcBorders>
              <w:top w:val="nil"/>
              <w:left w:val="nil"/>
              <w:bottom w:val="single" w:sz="4" w:space="0" w:color="auto"/>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2.000</w:t>
            </w:r>
          </w:p>
        </w:tc>
        <w:tc>
          <w:tcPr>
            <w:tcW w:w="1100" w:type="dxa"/>
            <w:tcBorders>
              <w:top w:val="nil"/>
              <w:left w:val="nil"/>
              <w:bottom w:val="single" w:sz="4" w:space="0" w:color="auto"/>
              <w:right w:val="single" w:sz="4" w:space="0" w:color="auto"/>
            </w:tcBorders>
            <w:shd w:val="clear" w:color="000000" w:fill="DA9694"/>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7.99</w:t>
            </w:r>
          </w:p>
        </w:tc>
        <w:tc>
          <w:tcPr>
            <w:tcW w:w="124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7</w:t>
            </w:r>
            <w:r w:rsidR="0008118D">
              <w:rPr>
                <w:rFonts w:ascii="Arial" w:eastAsia="Times New Roman" w:hAnsi="Arial" w:cs="Arial"/>
                <w:sz w:val="20"/>
                <w:szCs w:val="20"/>
              </w:rPr>
              <w:t>,</w:t>
            </w:r>
            <w:r w:rsidRPr="00EC3CBF">
              <w:rPr>
                <w:rFonts w:ascii="Arial" w:eastAsia="Times New Roman" w:hAnsi="Arial" w:cs="Arial"/>
                <w:sz w:val="20"/>
                <w:szCs w:val="20"/>
              </w:rPr>
              <w:t>991</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15</w:t>
            </w:r>
            <w:r w:rsidR="0008118D">
              <w:rPr>
                <w:rFonts w:ascii="Arial" w:eastAsia="Times New Roman" w:hAnsi="Arial" w:cs="Arial"/>
                <w:sz w:val="20"/>
                <w:szCs w:val="20"/>
              </w:rPr>
              <w:t>,</w:t>
            </w:r>
            <w:r w:rsidRPr="00EC3CBF">
              <w:rPr>
                <w:rFonts w:ascii="Arial" w:eastAsia="Times New Roman" w:hAnsi="Arial" w:cs="Arial"/>
                <w:sz w:val="20"/>
                <w:szCs w:val="20"/>
              </w:rPr>
              <w:t>981</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30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nil"/>
              <w:left w:val="nil"/>
              <w:bottom w:val="nil"/>
              <w:right w:val="nil"/>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Mild Steel</w:t>
            </w:r>
          </w:p>
        </w:tc>
        <w:tc>
          <w:tcPr>
            <w:tcW w:w="1500" w:type="dxa"/>
            <w:tcBorders>
              <w:top w:val="nil"/>
              <w:left w:val="single" w:sz="4" w:space="0" w:color="auto"/>
              <w:bottom w:val="nil"/>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325,000</w:t>
            </w:r>
          </w:p>
        </w:tc>
        <w:tc>
          <w:tcPr>
            <w:tcW w:w="1500" w:type="dxa"/>
            <w:tcBorders>
              <w:top w:val="nil"/>
              <w:left w:val="nil"/>
              <w:bottom w:val="nil"/>
              <w:right w:val="single" w:sz="4" w:space="0" w:color="auto"/>
            </w:tcBorders>
            <w:shd w:val="clear" w:color="000000" w:fill="FFFFFF"/>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325.000</w:t>
            </w:r>
          </w:p>
        </w:tc>
        <w:tc>
          <w:tcPr>
            <w:tcW w:w="1100" w:type="dxa"/>
            <w:tcBorders>
              <w:top w:val="nil"/>
              <w:left w:val="nil"/>
              <w:bottom w:val="nil"/>
              <w:right w:val="single" w:sz="4" w:space="0" w:color="auto"/>
            </w:tcBorders>
            <w:shd w:val="clear" w:color="000000" w:fill="92D050"/>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1.90</w:t>
            </w:r>
          </w:p>
        </w:tc>
        <w:tc>
          <w:tcPr>
            <w:tcW w:w="1240" w:type="dxa"/>
            <w:tcBorders>
              <w:top w:val="nil"/>
              <w:left w:val="nil"/>
              <w:bottom w:val="nil"/>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1</w:t>
            </w:r>
            <w:r w:rsidR="0008118D">
              <w:rPr>
                <w:rFonts w:ascii="Arial" w:eastAsia="Times New Roman" w:hAnsi="Arial" w:cs="Arial"/>
                <w:sz w:val="20"/>
                <w:szCs w:val="20"/>
              </w:rPr>
              <w:t>,</w:t>
            </w:r>
            <w:r w:rsidRPr="00EC3CBF">
              <w:rPr>
                <w:rFonts w:ascii="Arial" w:eastAsia="Times New Roman" w:hAnsi="Arial" w:cs="Arial"/>
                <w:sz w:val="20"/>
                <w:szCs w:val="20"/>
              </w:rPr>
              <w:t>900</w:t>
            </w:r>
          </w:p>
        </w:tc>
        <w:tc>
          <w:tcPr>
            <w:tcW w:w="1120" w:type="dxa"/>
            <w:tcBorders>
              <w:top w:val="nil"/>
              <w:left w:val="nil"/>
              <w:bottom w:val="nil"/>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sz w:val="20"/>
                <w:szCs w:val="20"/>
              </w:rPr>
            </w:pPr>
            <w:r w:rsidRPr="00EC3CBF">
              <w:rPr>
                <w:rFonts w:ascii="Arial" w:eastAsia="Times New Roman" w:hAnsi="Arial" w:cs="Arial"/>
                <w:sz w:val="20"/>
                <w:szCs w:val="20"/>
              </w:rPr>
              <w:t>617</w:t>
            </w:r>
            <w:r w:rsidR="0008118D">
              <w:rPr>
                <w:rFonts w:ascii="Arial" w:eastAsia="Times New Roman" w:hAnsi="Arial" w:cs="Arial"/>
                <w:sz w:val="20"/>
                <w:szCs w:val="20"/>
              </w:rPr>
              <w:t>,</w:t>
            </w:r>
            <w:r w:rsidRPr="00EC3CBF">
              <w:rPr>
                <w:rFonts w:ascii="Arial" w:eastAsia="Times New Roman" w:hAnsi="Arial" w:cs="Arial"/>
                <w:sz w:val="20"/>
                <w:szCs w:val="20"/>
              </w:rPr>
              <w:t>500</w:t>
            </w:r>
          </w:p>
        </w:tc>
        <w:tc>
          <w:tcPr>
            <w:tcW w:w="1120" w:type="dxa"/>
            <w:tcBorders>
              <w:top w:val="nil"/>
              <w:left w:val="nil"/>
              <w:bottom w:val="nil"/>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nil"/>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c>
          <w:tcPr>
            <w:tcW w:w="1120" w:type="dxa"/>
            <w:tcBorders>
              <w:top w:val="nil"/>
              <w:left w:val="nil"/>
              <w:bottom w:val="nil"/>
              <w:right w:val="single" w:sz="4" w:space="0" w:color="auto"/>
            </w:tcBorders>
            <w:shd w:val="clear" w:color="auto" w:fill="auto"/>
            <w:noWrap/>
            <w:vAlign w:val="bottom"/>
            <w:hideMark/>
          </w:tcPr>
          <w:p w:rsidR="00EC3CBF" w:rsidRPr="00EC3CBF" w:rsidRDefault="00EC3CBF" w:rsidP="00EC3CBF">
            <w:pPr>
              <w:spacing w:after="0" w:line="240" w:lineRule="auto"/>
              <w:rPr>
                <w:rFonts w:ascii="Arial" w:eastAsia="Times New Roman" w:hAnsi="Arial" w:cs="Arial"/>
                <w:sz w:val="20"/>
                <w:szCs w:val="20"/>
              </w:rPr>
            </w:pPr>
            <w:r w:rsidRPr="00EC3CBF">
              <w:rPr>
                <w:rFonts w:ascii="Arial" w:eastAsia="Times New Roman" w:hAnsi="Arial" w:cs="Arial"/>
                <w:sz w:val="20"/>
                <w:szCs w:val="20"/>
              </w:rPr>
              <w:t> </w:t>
            </w:r>
          </w:p>
        </w:tc>
      </w:tr>
      <w:tr w:rsidR="00EC3CBF" w:rsidRPr="00EC3CBF" w:rsidTr="00EC3CBF">
        <w:trPr>
          <w:trHeight w:val="31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EC3CBF" w:rsidRPr="00EC3CBF" w:rsidRDefault="00EC3CBF" w:rsidP="00EC3CBF">
            <w:pPr>
              <w:spacing w:after="0" w:line="240" w:lineRule="auto"/>
              <w:rPr>
                <w:rFonts w:ascii="Arial" w:eastAsia="Times New Roman" w:hAnsi="Arial" w:cs="Arial"/>
                <w:b/>
                <w:bCs/>
                <w:sz w:val="20"/>
                <w:szCs w:val="20"/>
              </w:rPr>
            </w:pPr>
          </w:p>
        </w:tc>
        <w:tc>
          <w:tcPr>
            <w:tcW w:w="3680" w:type="dxa"/>
            <w:tcBorders>
              <w:top w:val="single" w:sz="8" w:space="0" w:color="auto"/>
              <w:left w:val="nil"/>
              <w:bottom w:val="single" w:sz="8" w:space="0" w:color="auto"/>
              <w:right w:val="nil"/>
            </w:tcBorders>
            <w:shd w:val="clear" w:color="auto" w:fill="auto"/>
            <w:noWrap/>
            <w:vAlign w:val="bottom"/>
            <w:hideMark/>
          </w:tcPr>
          <w:p w:rsidR="00EC3CBF" w:rsidRPr="00EC3CBF" w:rsidRDefault="00EC3CBF" w:rsidP="00EC3CBF">
            <w:pPr>
              <w:spacing w:after="0" w:line="240" w:lineRule="auto"/>
              <w:jc w:val="center"/>
              <w:rPr>
                <w:rFonts w:ascii="Calibri" w:eastAsia="Times New Roman" w:hAnsi="Calibri" w:cs="Arial"/>
                <w:b/>
                <w:bCs/>
                <w:color w:val="000000"/>
              </w:rPr>
            </w:pPr>
            <w:r w:rsidRPr="00EC3CBF">
              <w:rPr>
                <w:rFonts w:ascii="Calibri" w:eastAsia="Times New Roman" w:hAnsi="Calibri" w:cs="Arial"/>
                <w:b/>
                <w:bCs/>
                <w:color w:val="000000"/>
              </w:rPr>
              <w:t>Total</w:t>
            </w:r>
          </w:p>
        </w:tc>
        <w:tc>
          <w:tcPr>
            <w:tcW w:w="150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336</w:t>
            </w:r>
            <w:r w:rsidR="0008118D">
              <w:rPr>
                <w:rFonts w:ascii="Arial" w:eastAsia="Times New Roman" w:hAnsi="Arial" w:cs="Arial"/>
                <w:b/>
                <w:bCs/>
                <w:sz w:val="20"/>
                <w:szCs w:val="20"/>
              </w:rPr>
              <w:t>,</w:t>
            </w:r>
            <w:r w:rsidRPr="00EC3CBF">
              <w:rPr>
                <w:rFonts w:ascii="Arial" w:eastAsia="Times New Roman" w:hAnsi="Arial" w:cs="Arial"/>
                <w:b/>
                <w:bCs/>
                <w:sz w:val="20"/>
                <w:szCs w:val="20"/>
              </w:rPr>
              <w:t>035</w:t>
            </w:r>
          </w:p>
        </w:tc>
        <w:tc>
          <w:tcPr>
            <w:tcW w:w="1500" w:type="dxa"/>
            <w:tcBorders>
              <w:top w:val="single" w:sz="8" w:space="0" w:color="auto"/>
              <w:left w:val="nil"/>
              <w:bottom w:val="single" w:sz="8"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336.035</w:t>
            </w:r>
          </w:p>
        </w:tc>
        <w:tc>
          <w:tcPr>
            <w:tcW w:w="1100" w:type="dxa"/>
            <w:tcBorders>
              <w:top w:val="single" w:sz="8" w:space="0" w:color="auto"/>
              <w:left w:val="nil"/>
              <w:bottom w:val="single" w:sz="8"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 </w:t>
            </w:r>
          </w:p>
        </w:tc>
        <w:tc>
          <w:tcPr>
            <w:tcW w:w="1240" w:type="dxa"/>
            <w:tcBorders>
              <w:top w:val="single" w:sz="8" w:space="0" w:color="auto"/>
              <w:left w:val="nil"/>
              <w:bottom w:val="single" w:sz="8"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 </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697</w:t>
            </w:r>
            <w:r w:rsidR="0008118D">
              <w:rPr>
                <w:rFonts w:ascii="Arial" w:eastAsia="Times New Roman" w:hAnsi="Arial" w:cs="Arial"/>
                <w:b/>
                <w:bCs/>
                <w:sz w:val="20"/>
                <w:szCs w:val="20"/>
              </w:rPr>
              <w:t>,</w:t>
            </w:r>
            <w:r w:rsidRPr="00EC3CBF">
              <w:rPr>
                <w:rFonts w:ascii="Arial" w:eastAsia="Times New Roman" w:hAnsi="Arial" w:cs="Arial"/>
                <w:b/>
                <w:bCs/>
                <w:sz w:val="20"/>
                <w:szCs w:val="20"/>
              </w:rPr>
              <w:t>850</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2076.72</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176.72</w:t>
            </w:r>
          </w:p>
        </w:tc>
        <w:tc>
          <w:tcPr>
            <w:tcW w:w="1120" w:type="dxa"/>
            <w:tcBorders>
              <w:top w:val="single" w:sz="8" w:space="0" w:color="auto"/>
              <w:left w:val="nil"/>
              <w:bottom w:val="single" w:sz="8" w:space="0" w:color="auto"/>
              <w:right w:val="single" w:sz="8" w:space="0" w:color="auto"/>
            </w:tcBorders>
            <w:shd w:val="clear" w:color="auto" w:fill="auto"/>
            <w:noWrap/>
            <w:vAlign w:val="bottom"/>
            <w:hideMark/>
          </w:tcPr>
          <w:p w:rsidR="00EC3CBF" w:rsidRPr="00EC3CBF" w:rsidRDefault="00EC3CBF" w:rsidP="00EC3CBF">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0.177</w:t>
            </w:r>
          </w:p>
        </w:tc>
      </w:tr>
    </w:tbl>
    <w:p w:rsidR="00AE7A4C" w:rsidRPr="00EC3CBF" w:rsidRDefault="00EC3CBF" w:rsidP="00EC3CBF">
      <w:pPr>
        <w:rPr>
          <w:rFonts w:ascii="Times New Roman" w:eastAsia="Calibri" w:hAnsi="Times New Roman" w:cs="Times New Roman"/>
        </w:rPr>
      </w:pPr>
      <w:bookmarkStart w:id="374" w:name="_Toc474486573"/>
      <w:bookmarkStart w:id="375" w:name="_Toc495852744"/>
      <w:r w:rsidRPr="00EC3CBF">
        <w:rPr>
          <w:rFonts w:ascii="Times New Roman" w:hAnsi="Times New Roman" w:cs="Times New Roman"/>
        </w:rPr>
        <w:t xml:space="preserve">Table </w:t>
      </w:r>
      <w:r w:rsidR="009A0ED7" w:rsidRPr="00EC3CBF">
        <w:rPr>
          <w:rFonts w:ascii="Times New Roman" w:hAnsi="Times New Roman" w:cs="Times New Roman"/>
        </w:rPr>
        <w:fldChar w:fldCharType="begin"/>
      </w:r>
      <w:r w:rsidRPr="00EC3CBF">
        <w:rPr>
          <w:rFonts w:ascii="Times New Roman" w:hAnsi="Times New Roman" w:cs="Times New Roman"/>
        </w:rPr>
        <w:instrText xml:space="preserve"> SEQ Table \* ARABIC </w:instrText>
      </w:r>
      <w:r w:rsidR="009A0ED7" w:rsidRPr="00EC3CBF">
        <w:rPr>
          <w:rFonts w:ascii="Times New Roman" w:hAnsi="Times New Roman" w:cs="Times New Roman"/>
        </w:rPr>
        <w:fldChar w:fldCharType="separate"/>
      </w:r>
      <w:r w:rsidR="009F5483">
        <w:rPr>
          <w:rFonts w:ascii="Times New Roman" w:hAnsi="Times New Roman" w:cs="Times New Roman"/>
          <w:noProof/>
        </w:rPr>
        <w:t>66</w:t>
      </w:r>
      <w:r w:rsidR="009A0ED7" w:rsidRPr="00EC3CBF">
        <w:rPr>
          <w:rFonts w:ascii="Times New Roman" w:hAnsi="Times New Roman" w:cs="Times New Roman"/>
        </w:rPr>
        <w:fldChar w:fldCharType="end"/>
      </w:r>
      <w:r w:rsidRPr="00EC3CBF">
        <w:rPr>
          <w:rFonts w:ascii="Times New Roman" w:hAnsi="Times New Roman" w:cs="Times New Roman"/>
        </w:rPr>
        <w:t xml:space="preserve">. </w:t>
      </w:r>
      <w:r w:rsidR="00AE7A4C" w:rsidRPr="00EC3CBF">
        <w:rPr>
          <w:rFonts w:ascii="Times New Roman" w:eastAsia="Calibri" w:hAnsi="Times New Roman" w:cs="Times New Roman"/>
        </w:rPr>
        <w:t>Breakdown of additional CO</w:t>
      </w:r>
      <w:r w:rsidR="00AE7A4C" w:rsidRPr="00EC3CBF">
        <w:rPr>
          <w:rFonts w:ascii="Times New Roman" w:eastAsia="Calibri" w:hAnsi="Times New Roman" w:cs="Times New Roman"/>
          <w:vertAlign w:val="subscript"/>
        </w:rPr>
        <w:t>2</w:t>
      </w:r>
      <w:r w:rsidR="00AE7A4C" w:rsidRPr="00EC3CBF">
        <w:rPr>
          <w:rFonts w:ascii="Times New Roman" w:eastAsia="Calibri" w:hAnsi="Times New Roman" w:cs="Times New Roman"/>
        </w:rPr>
        <w:t xml:space="preserve"> impact due to alloying additions (kgCO</w:t>
      </w:r>
      <w:r w:rsidR="00AE7A4C" w:rsidRPr="00EC3CBF">
        <w:rPr>
          <w:rFonts w:ascii="Times New Roman" w:eastAsia="Calibri" w:hAnsi="Times New Roman" w:cs="Times New Roman"/>
          <w:vertAlign w:val="subscript"/>
        </w:rPr>
        <w:t>2</w:t>
      </w:r>
      <w:r w:rsidR="00AE7A4C" w:rsidRPr="00EC3CBF">
        <w:rPr>
          <w:rFonts w:ascii="Times New Roman" w:eastAsia="Calibri" w:hAnsi="Times New Roman" w:cs="Times New Roman"/>
        </w:rPr>
        <w:t>/kg) for S450 steel grade.</w:t>
      </w:r>
      <w:bookmarkEnd w:id="374"/>
      <w:bookmarkEnd w:id="375"/>
    </w:p>
    <w:tbl>
      <w:tblPr>
        <w:tblW w:w="14460" w:type="dxa"/>
        <w:tblLook w:val="04A0" w:firstRow="1" w:lastRow="0" w:firstColumn="1" w:lastColumn="0" w:noHBand="0" w:noVBand="1"/>
      </w:tblPr>
      <w:tblGrid>
        <w:gridCol w:w="960"/>
        <w:gridCol w:w="3680"/>
        <w:gridCol w:w="1500"/>
        <w:gridCol w:w="1500"/>
        <w:gridCol w:w="1244"/>
        <w:gridCol w:w="1240"/>
        <w:gridCol w:w="1120"/>
        <w:gridCol w:w="1120"/>
        <w:gridCol w:w="1194"/>
        <w:gridCol w:w="1194"/>
      </w:tblGrid>
      <w:tr w:rsidR="00A229B8" w:rsidRPr="00A229B8" w:rsidTr="00A229B8">
        <w:trPr>
          <w:trHeight w:val="1035"/>
        </w:trPr>
        <w:tc>
          <w:tcPr>
            <w:tcW w:w="960" w:type="dxa"/>
            <w:tcBorders>
              <w:top w:val="single" w:sz="4" w:space="0" w:color="auto"/>
              <w:left w:val="single" w:sz="4" w:space="0" w:color="auto"/>
              <w:bottom w:val="nil"/>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Grade</w:t>
            </w:r>
          </w:p>
        </w:tc>
        <w:tc>
          <w:tcPr>
            <w:tcW w:w="368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Alloying Addition</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Amount Added for Boron Cast (kg)</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Amount Added for Boron Cast (t)</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Emission Factor (kgCO</w:t>
            </w:r>
            <w:r w:rsidRPr="00A229B8">
              <w:rPr>
                <w:rFonts w:ascii="Arial" w:eastAsia="Times New Roman" w:hAnsi="Arial" w:cs="Arial"/>
                <w:b/>
                <w:bCs/>
                <w:sz w:val="20"/>
                <w:szCs w:val="20"/>
                <w:vertAlign w:val="subscript"/>
              </w:rPr>
              <w:t>2</w:t>
            </w:r>
            <w:r w:rsidRPr="00A229B8">
              <w:rPr>
                <w:rFonts w:ascii="Arial" w:eastAsia="Times New Roman" w:hAnsi="Arial" w:cs="Arial"/>
                <w:b/>
                <w:bCs/>
                <w:sz w:val="20"/>
                <w:szCs w:val="20"/>
              </w:rPr>
              <w:t>/kg)</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Emission Factor (kgCO</w:t>
            </w:r>
            <w:r w:rsidRPr="00A229B8">
              <w:rPr>
                <w:rFonts w:ascii="Arial" w:eastAsia="Times New Roman" w:hAnsi="Arial" w:cs="Arial"/>
                <w:b/>
                <w:bCs/>
                <w:sz w:val="20"/>
                <w:szCs w:val="20"/>
                <w:vertAlign w:val="subscript"/>
              </w:rPr>
              <w:t>2</w:t>
            </w:r>
            <w:r w:rsidRPr="00A229B8">
              <w:rPr>
                <w:rFonts w:ascii="Arial" w:eastAsia="Times New Roman" w:hAnsi="Arial" w:cs="Arial"/>
                <w:b/>
                <w:bCs/>
                <w:sz w:val="20"/>
                <w:szCs w:val="20"/>
              </w:rPr>
              <w:t>/t)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CO</w:t>
            </w:r>
            <w:r w:rsidRPr="00A229B8">
              <w:rPr>
                <w:rFonts w:ascii="Arial" w:eastAsia="Times New Roman" w:hAnsi="Arial" w:cs="Arial"/>
                <w:b/>
                <w:bCs/>
                <w:sz w:val="20"/>
                <w:szCs w:val="20"/>
                <w:vertAlign w:val="subscript"/>
              </w:rPr>
              <w:t>2</w:t>
            </w:r>
            <w:r w:rsidRPr="00A229B8">
              <w:rPr>
                <w:rFonts w:ascii="Arial" w:eastAsia="Times New Roman" w:hAnsi="Arial" w:cs="Arial"/>
                <w:b/>
                <w:bCs/>
                <w:sz w:val="20"/>
                <w:szCs w:val="20"/>
              </w:rPr>
              <w:t xml:space="preserve"> for this cast</w:t>
            </w:r>
          </w:p>
          <w:p w:rsidR="007678D9" w:rsidRPr="00A229B8" w:rsidRDefault="007678D9" w:rsidP="00A229B8">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(kgCO</w:t>
            </w:r>
            <w:r w:rsidRPr="00EC3CBF">
              <w:rPr>
                <w:rFonts w:ascii="Arial" w:eastAsia="Times New Roman" w:hAnsi="Arial" w:cs="Arial"/>
                <w:b/>
                <w:bCs/>
                <w:sz w:val="20"/>
                <w:szCs w:val="20"/>
                <w:vertAlign w:val="subscript"/>
              </w:rPr>
              <w:t>2</w:t>
            </w:r>
            <w:r>
              <w:rPr>
                <w:rFonts w:ascii="Arial" w:eastAsia="Times New Roman" w:hAnsi="Arial" w:cs="Arial"/>
                <w:b/>
                <w:bCs/>
                <w:sz w:val="20"/>
                <w:szCs w:val="20"/>
              </w:rPr>
              <w: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Total impact per 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Additional impact per 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Additional impact per kg</w:t>
            </w:r>
          </w:p>
        </w:tc>
      </w:tr>
      <w:tr w:rsidR="00A229B8" w:rsidRPr="00A229B8" w:rsidTr="00A229B8">
        <w:trPr>
          <w:trHeight w:val="255"/>
        </w:trPr>
        <w:tc>
          <w:tcPr>
            <w:tcW w:w="960" w:type="dxa"/>
            <w:vMerge w:val="restart"/>
            <w:tcBorders>
              <w:top w:val="single" w:sz="8" w:space="0" w:color="auto"/>
              <w:left w:val="single" w:sz="8" w:space="0" w:color="auto"/>
              <w:bottom w:val="single" w:sz="8" w:space="0" w:color="000000"/>
              <w:right w:val="single" w:sz="8" w:space="0" w:color="auto"/>
            </w:tcBorders>
            <w:shd w:val="clear" w:color="000000" w:fill="00B0F0"/>
            <w:noWrap/>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S450</w:t>
            </w:r>
          </w:p>
        </w:tc>
        <w:tc>
          <w:tcPr>
            <w:tcW w:w="3680" w:type="dxa"/>
            <w:tcBorders>
              <w:top w:val="nil"/>
              <w:left w:val="nil"/>
              <w:bottom w:val="single" w:sz="4" w:space="0" w:color="auto"/>
              <w:right w:val="nil"/>
            </w:tcBorders>
            <w:shd w:val="clear" w:color="000000" w:fill="FFFFFF"/>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High Carbon Ferro Manganese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625</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0.625</w:t>
            </w:r>
          </w:p>
        </w:tc>
        <w:tc>
          <w:tcPr>
            <w:tcW w:w="1100" w:type="dxa"/>
            <w:tcBorders>
              <w:top w:val="nil"/>
              <w:left w:val="nil"/>
              <w:bottom w:val="single" w:sz="4" w:space="0" w:color="auto"/>
              <w:right w:val="single" w:sz="4" w:space="0" w:color="auto"/>
            </w:tcBorders>
            <w:shd w:val="clear" w:color="000000" w:fill="FFFF0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4.56</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w:t>
            </w:r>
            <w:r w:rsidR="0008118D">
              <w:rPr>
                <w:rFonts w:ascii="Arial" w:eastAsia="Times New Roman" w:hAnsi="Arial" w:cs="Arial"/>
                <w:sz w:val="20"/>
                <w:szCs w:val="20"/>
              </w:rPr>
              <w:t>,</w:t>
            </w:r>
            <w:r w:rsidRPr="00A229B8">
              <w:rPr>
                <w:rFonts w:ascii="Arial" w:eastAsia="Times New Roman" w:hAnsi="Arial" w:cs="Arial"/>
                <w:sz w:val="20"/>
                <w:szCs w:val="20"/>
              </w:rPr>
              <w:t>560</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2</w:t>
            </w:r>
            <w:r w:rsidR="0008118D">
              <w:rPr>
                <w:rFonts w:ascii="Arial" w:eastAsia="Times New Roman" w:hAnsi="Arial" w:cs="Arial"/>
                <w:sz w:val="20"/>
                <w:szCs w:val="20"/>
              </w:rPr>
              <w:t>,</w:t>
            </w:r>
            <w:r w:rsidRPr="00A229B8">
              <w:rPr>
                <w:rFonts w:ascii="Arial" w:eastAsia="Times New Roman" w:hAnsi="Arial" w:cs="Arial"/>
                <w:sz w:val="20"/>
                <w:szCs w:val="20"/>
              </w:rPr>
              <w:t>850</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Medium Carbon Ferro Manganese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w:t>
            </w:r>
            <w:r w:rsidR="0008118D">
              <w:rPr>
                <w:rFonts w:ascii="Arial" w:eastAsia="Times New Roman" w:hAnsi="Arial" w:cs="Arial"/>
                <w:sz w:val="20"/>
                <w:szCs w:val="20"/>
              </w:rPr>
              <w:t>,</w:t>
            </w:r>
            <w:r w:rsidRPr="00A229B8">
              <w:rPr>
                <w:rFonts w:ascii="Arial" w:eastAsia="Times New Roman" w:hAnsi="Arial" w:cs="Arial"/>
                <w:sz w:val="20"/>
                <w:szCs w:val="20"/>
              </w:rPr>
              <w:t>250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1.250</w:t>
            </w:r>
          </w:p>
        </w:tc>
        <w:tc>
          <w:tcPr>
            <w:tcW w:w="1100" w:type="dxa"/>
            <w:tcBorders>
              <w:top w:val="nil"/>
              <w:left w:val="nil"/>
              <w:bottom w:val="single" w:sz="4" w:space="0" w:color="auto"/>
              <w:right w:val="single" w:sz="4" w:space="0" w:color="auto"/>
            </w:tcBorders>
            <w:shd w:val="clear" w:color="000000" w:fill="00B0F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6.33</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w:t>
            </w:r>
            <w:r w:rsidR="0008118D">
              <w:rPr>
                <w:rFonts w:ascii="Arial" w:eastAsia="Times New Roman" w:hAnsi="Arial" w:cs="Arial"/>
                <w:sz w:val="20"/>
                <w:szCs w:val="20"/>
              </w:rPr>
              <w:t>,</w:t>
            </w:r>
            <w:r w:rsidRPr="00A229B8">
              <w:rPr>
                <w:rFonts w:ascii="Arial" w:eastAsia="Times New Roman" w:hAnsi="Arial" w:cs="Arial"/>
                <w:sz w:val="20"/>
                <w:szCs w:val="20"/>
              </w:rPr>
              <w:t>335</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7</w:t>
            </w:r>
            <w:r w:rsidR="0008118D">
              <w:rPr>
                <w:rFonts w:ascii="Arial" w:eastAsia="Times New Roman" w:hAnsi="Arial" w:cs="Arial"/>
                <w:sz w:val="20"/>
                <w:szCs w:val="20"/>
              </w:rPr>
              <w:t>,</w:t>
            </w:r>
            <w:r w:rsidRPr="00A229B8">
              <w:rPr>
                <w:rFonts w:ascii="Arial" w:eastAsia="Times New Roman" w:hAnsi="Arial" w:cs="Arial"/>
                <w:sz w:val="20"/>
                <w:szCs w:val="20"/>
              </w:rPr>
              <w:t>919</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Ferro Phosphorous</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925</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0.925</w:t>
            </w:r>
          </w:p>
        </w:tc>
        <w:tc>
          <w:tcPr>
            <w:tcW w:w="1100" w:type="dxa"/>
            <w:tcBorders>
              <w:top w:val="nil"/>
              <w:left w:val="nil"/>
              <w:bottom w:val="single" w:sz="4" w:space="0" w:color="auto"/>
              <w:right w:val="single" w:sz="4" w:space="0" w:color="auto"/>
            </w:tcBorders>
            <w:shd w:val="clear" w:color="000000" w:fill="92D05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0.00</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Ferro Niobium</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185</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0.185</w:t>
            </w:r>
          </w:p>
        </w:tc>
        <w:tc>
          <w:tcPr>
            <w:tcW w:w="1100" w:type="dxa"/>
            <w:tcBorders>
              <w:top w:val="nil"/>
              <w:left w:val="nil"/>
              <w:bottom w:val="single" w:sz="4" w:space="0" w:color="auto"/>
              <w:right w:val="single" w:sz="4" w:space="0" w:color="auto"/>
            </w:tcBorders>
            <w:shd w:val="clear" w:color="000000" w:fill="FFFF0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4.83</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w:t>
            </w:r>
            <w:r w:rsidR="0008118D">
              <w:rPr>
                <w:rFonts w:ascii="Arial" w:eastAsia="Times New Roman" w:hAnsi="Arial" w:cs="Arial"/>
                <w:sz w:val="20"/>
                <w:szCs w:val="20"/>
              </w:rPr>
              <w:t>,</w:t>
            </w:r>
            <w:r w:rsidRPr="00A229B8">
              <w:rPr>
                <w:rFonts w:ascii="Arial" w:eastAsia="Times New Roman" w:hAnsi="Arial" w:cs="Arial"/>
                <w:sz w:val="20"/>
                <w:szCs w:val="20"/>
              </w:rPr>
              <w:t>833</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894</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 xml:space="preserve">Aluminium </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600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0.600</w:t>
            </w:r>
          </w:p>
        </w:tc>
        <w:tc>
          <w:tcPr>
            <w:tcW w:w="1100" w:type="dxa"/>
            <w:tcBorders>
              <w:top w:val="nil"/>
              <w:left w:val="nil"/>
              <w:bottom w:val="single" w:sz="4" w:space="0" w:color="auto"/>
              <w:right w:val="single" w:sz="4" w:space="0" w:color="auto"/>
            </w:tcBorders>
            <w:shd w:val="clear" w:color="000000" w:fill="DA9694"/>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9.06</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9</w:t>
            </w:r>
            <w:r w:rsidR="0008118D">
              <w:rPr>
                <w:rFonts w:ascii="Arial" w:eastAsia="Times New Roman" w:hAnsi="Arial" w:cs="Arial"/>
                <w:sz w:val="20"/>
                <w:szCs w:val="20"/>
              </w:rPr>
              <w:t>,</w:t>
            </w:r>
            <w:r w:rsidRPr="00A229B8">
              <w:rPr>
                <w:rFonts w:ascii="Arial" w:eastAsia="Times New Roman" w:hAnsi="Arial" w:cs="Arial"/>
                <w:sz w:val="20"/>
                <w:szCs w:val="20"/>
              </w:rPr>
              <w:t>060</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5</w:t>
            </w:r>
            <w:r w:rsidR="0008118D">
              <w:rPr>
                <w:rFonts w:ascii="Arial" w:eastAsia="Times New Roman" w:hAnsi="Arial" w:cs="Arial"/>
                <w:sz w:val="20"/>
                <w:szCs w:val="20"/>
              </w:rPr>
              <w:t>,</w:t>
            </w:r>
            <w:r w:rsidRPr="00A229B8">
              <w:rPr>
                <w:rFonts w:ascii="Arial" w:eastAsia="Times New Roman" w:hAnsi="Arial" w:cs="Arial"/>
                <w:sz w:val="20"/>
                <w:szCs w:val="20"/>
              </w:rPr>
              <w:t>436</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Medium Carbon Ferro Manganese Large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3</w:t>
            </w:r>
            <w:r w:rsidR="0008118D">
              <w:rPr>
                <w:rFonts w:ascii="Arial" w:eastAsia="Times New Roman" w:hAnsi="Arial" w:cs="Arial"/>
                <w:sz w:val="20"/>
                <w:szCs w:val="20"/>
              </w:rPr>
              <w:t>,</w:t>
            </w:r>
            <w:r w:rsidRPr="00A229B8">
              <w:rPr>
                <w:rFonts w:ascii="Arial" w:eastAsia="Times New Roman" w:hAnsi="Arial" w:cs="Arial"/>
                <w:sz w:val="20"/>
                <w:szCs w:val="20"/>
              </w:rPr>
              <w:t>000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3.000</w:t>
            </w:r>
          </w:p>
        </w:tc>
        <w:tc>
          <w:tcPr>
            <w:tcW w:w="1100" w:type="dxa"/>
            <w:tcBorders>
              <w:top w:val="nil"/>
              <w:left w:val="nil"/>
              <w:bottom w:val="single" w:sz="4" w:space="0" w:color="auto"/>
              <w:right w:val="single" w:sz="4" w:space="0" w:color="auto"/>
            </w:tcBorders>
            <w:shd w:val="clear" w:color="000000" w:fill="00B0F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6.33</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w:t>
            </w:r>
            <w:r w:rsidR="0008118D">
              <w:rPr>
                <w:rFonts w:ascii="Arial" w:eastAsia="Times New Roman" w:hAnsi="Arial" w:cs="Arial"/>
                <w:sz w:val="20"/>
                <w:szCs w:val="20"/>
              </w:rPr>
              <w:t>,</w:t>
            </w:r>
            <w:r w:rsidRPr="00A229B8">
              <w:rPr>
                <w:rFonts w:ascii="Arial" w:eastAsia="Times New Roman" w:hAnsi="Arial" w:cs="Arial"/>
                <w:sz w:val="20"/>
                <w:szCs w:val="20"/>
              </w:rPr>
              <w:t>335</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19</w:t>
            </w:r>
            <w:r w:rsidR="0008118D">
              <w:rPr>
                <w:rFonts w:ascii="Arial" w:eastAsia="Times New Roman" w:hAnsi="Arial" w:cs="Arial"/>
                <w:sz w:val="20"/>
                <w:szCs w:val="20"/>
              </w:rPr>
              <w:t>,</w:t>
            </w:r>
            <w:r w:rsidRPr="00A229B8">
              <w:rPr>
                <w:rFonts w:ascii="Arial" w:eastAsia="Times New Roman" w:hAnsi="Arial" w:cs="Arial"/>
                <w:sz w:val="20"/>
                <w:szCs w:val="20"/>
              </w:rPr>
              <w:t>004</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nil"/>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Mild Steel</w:t>
            </w:r>
          </w:p>
        </w:tc>
        <w:tc>
          <w:tcPr>
            <w:tcW w:w="1500" w:type="dxa"/>
            <w:tcBorders>
              <w:top w:val="nil"/>
              <w:left w:val="single" w:sz="4" w:space="0" w:color="auto"/>
              <w:bottom w:val="nil"/>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325,000</w:t>
            </w:r>
          </w:p>
        </w:tc>
        <w:tc>
          <w:tcPr>
            <w:tcW w:w="1500" w:type="dxa"/>
            <w:tcBorders>
              <w:top w:val="nil"/>
              <w:left w:val="nil"/>
              <w:bottom w:val="nil"/>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325.000</w:t>
            </w:r>
          </w:p>
        </w:tc>
        <w:tc>
          <w:tcPr>
            <w:tcW w:w="1100" w:type="dxa"/>
            <w:tcBorders>
              <w:top w:val="nil"/>
              <w:left w:val="nil"/>
              <w:bottom w:val="nil"/>
              <w:right w:val="single" w:sz="4" w:space="0" w:color="auto"/>
            </w:tcBorders>
            <w:shd w:val="clear" w:color="000000" w:fill="92D05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1.90</w:t>
            </w:r>
          </w:p>
        </w:tc>
        <w:tc>
          <w:tcPr>
            <w:tcW w:w="124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w:t>
            </w:r>
            <w:r w:rsidR="0008118D">
              <w:rPr>
                <w:rFonts w:ascii="Arial" w:eastAsia="Times New Roman" w:hAnsi="Arial" w:cs="Arial"/>
                <w:sz w:val="20"/>
                <w:szCs w:val="20"/>
              </w:rPr>
              <w:t>,</w:t>
            </w:r>
            <w:r w:rsidRPr="00A229B8">
              <w:rPr>
                <w:rFonts w:ascii="Arial" w:eastAsia="Times New Roman" w:hAnsi="Arial" w:cs="Arial"/>
                <w:sz w:val="20"/>
                <w:szCs w:val="20"/>
              </w:rPr>
              <w:t>900</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617</w:t>
            </w:r>
            <w:r w:rsidR="0008118D">
              <w:rPr>
                <w:rFonts w:ascii="Arial" w:eastAsia="Times New Roman" w:hAnsi="Arial" w:cs="Arial"/>
                <w:sz w:val="20"/>
                <w:szCs w:val="20"/>
              </w:rPr>
              <w:t>,</w:t>
            </w:r>
            <w:r w:rsidRPr="00A229B8">
              <w:rPr>
                <w:rFonts w:ascii="Arial" w:eastAsia="Times New Roman" w:hAnsi="Arial" w:cs="Arial"/>
                <w:sz w:val="20"/>
                <w:szCs w:val="20"/>
              </w:rPr>
              <w:t>500</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31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single" w:sz="8" w:space="0" w:color="auto"/>
              <w:left w:val="nil"/>
              <w:bottom w:val="single" w:sz="8" w:space="0" w:color="auto"/>
              <w:right w:val="nil"/>
            </w:tcBorders>
            <w:shd w:val="clear" w:color="auto" w:fill="auto"/>
            <w:noWrap/>
            <w:vAlign w:val="bottom"/>
            <w:hideMark/>
          </w:tcPr>
          <w:p w:rsidR="00A229B8" w:rsidRPr="00A229B8" w:rsidRDefault="00A229B8" w:rsidP="00A229B8">
            <w:pPr>
              <w:spacing w:after="0" w:line="240" w:lineRule="auto"/>
              <w:jc w:val="center"/>
              <w:rPr>
                <w:rFonts w:ascii="Calibri" w:eastAsia="Times New Roman" w:hAnsi="Calibri" w:cs="Arial"/>
                <w:b/>
                <w:bCs/>
                <w:color w:val="000000"/>
              </w:rPr>
            </w:pPr>
            <w:r w:rsidRPr="00A229B8">
              <w:rPr>
                <w:rFonts w:ascii="Calibri" w:eastAsia="Times New Roman" w:hAnsi="Calibri" w:cs="Arial"/>
                <w:b/>
                <w:bCs/>
                <w:color w:val="000000"/>
              </w:rPr>
              <w:t>Total</w:t>
            </w:r>
          </w:p>
        </w:tc>
        <w:tc>
          <w:tcPr>
            <w:tcW w:w="150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331</w:t>
            </w:r>
            <w:r w:rsidR="0008118D">
              <w:rPr>
                <w:rFonts w:ascii="Arial" w:eastAsia="Times New Roman" w:hAnsi="Arial" w:cs="Arial"/>
                <w:b/>
                <w:bCs/>
                <w:sz w:val="20"/>
                <w:szCs w:val="20"/>
              </w:rPr>
              <w:t>,</w:t>
            </w:r>
            <w:r w:rsidRPr="00A229B8">
              <w:rPr>
                <w:rFonts w:ascii="Arial" w:eastAsia="Times New Roman" w:hAnsi="Arial" w:cs="Arial"/>
                <w:b/>
                <w:bCs/>
                <w:sz w:val="20"/>
                <w:szCs w:val="20"/>
              </w:rPr>
              <w:t>585</w:t>
            </w:r>
          </w:p>
        </w:tc>
        <w:tc>
          <w:tcPr>
            <w:tcW w:w="150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331.585</w:t>
            </w:r>
          </w:p>
        </w:tc>
        <w:tc>
          <w:tcPr>
            <w:tcW w:w="110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 </w:t>
            </w:r>
          </w:p>
        </w:tc>
        <w:tc>
          <w:tcPr>
            <w:tcW w:w="124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 </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653</w:t>
            </w:r>
            <w:r w:rsidR="0008118D">
              <w:rPr>
                <w:rFonts w:ascii="Arial" w:eastAsia="Times New Roman" w:hAnsi="Arial" w:cs="Arial"/>
                <w:b/>
                <w:bCs/>
                <w:sz w:val="20"/>
                <w:szCs w:val="20"/>
              </w:rPr>
              <w:t>,</w:t>
            </w:r>
            <w:r w:rsidRPr="00A229B8">
              <w:rPr>
                <w:rFonts w:ascii="Arial" w:eastAsia="Times New Roman" w:hAnsi="Arial" w:cs="Arial"/>
                <w:b/>
                <w:bCs/>
                <w:sz w:val="20"/>
                <w:szCs w:val="20"/>
              </w:rPr>
              <w:t>603</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1971.15</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71.15</w:t>
            </w:r>
          </w:p>
        </w:tc>
        <w:tc>
          <w:tcPr>
            <w:tcW w:w="1120" w:type="dxa"/>
            <w:tcBorders>
              <w:top w:val="single" w:sz="8" w:space="0" w:color="auto"/>
              <w:left w:val="nil"/>
              <w:bottom w:val="single" w:sz="8" w:space="0" w:color="auto"/>
              <w:right w:val="single" w:sz="8"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0.071</w:t>
            </w:r>
          </w:p>
        </w:tc>
      </w:tr>
    </w:tbl>
    <w:p w:rsidR="0008118D" w:rsidRDefault="0008118D" w:rsidP="00AE7A4C">
      <w:pPr>
        <w:spacing w:line="360" w:lineRule="auto"/>
        <w:rPr>
          <w:rFonts w:ascii="Times New Roman" w:eastAsia="Calibri" w:hAnsi="Times New Roman" w:cs="Times New Roman"/>
        </w:rPr>
        <w:sectPr w:rsidR="0008118D" w:rsidSect="00593B2F">
          <w:footerReference w:type="first" r:id="rId155"/>
          <w:pgSz w:w="16838" w:h="11906" w:orient="landscape"/>
          <w:pgMar w:top="1440" w:right="1440" w:bottom="1440" w:left="1440" w:header="708" w:footer="708" w:gutter="0"/>
          <w:cols w:space="708"/>
          <w:titlePg/>
          <w:docGrid w:linePitch="360"/>
        </w:sectPr>
      </w:pPr>
    </w:p>
    <w:p w:rsidR="00AE7A4C" w:rsidRPr="00EC3CBF" w:rsidRDefault="00EC3CBF" w:rsidP="00EC3CBF">
      <w:pPr>
        <w:rPr>
          <w:rFonts w:ascii="Times New Roman" w:eastAsia="Calibri" w:hAnsi="Times New Roman" w:cs="Times New Roman"/>
        </w:rPr>
      </w:pPr>
      <w:bookmarkStart w:id="376" w:name="_Toc474486574"/>
      <w:bookmarkStart w:id="377" w:name="_Toc495852745"/>
      <w:r w:rsidRPr="00EC3CBF">
        <w:rPr>
          <w:rFonts w:ascii="Times New Roman" w:hAnsi="Times New Roman" w:cs="Times New Roman"/>
        </w:rPr>
        <w:lastRenderedPageBreak/>
        <w:t xml:space="preserve">Table </w:t>
      </w:r>
      <w:r w:rsidR="009A0ED7" w:rsidRPr="00EC3CBF">
        <w:rPr>
          <w:rFonts w:ascii="Times New Roman" w:hAnsi="Times New Roman" w:cs="Times New Roman"/>
        </w:rPr>
        <w:fldChar w:fldCharType="begin"/>
      </w:r>
      <w:r w:rsidRPr="00EC3CBF">
        <w:rPr>
          <w:rFonts w:ascii="Times New Roman" w:hAnsi="Times New Roman" w:cs="Times New Roman"/>
        </w:rPr>
        <w:instrText xml:space="preserve"> SEQ Table \* ARABIC </w:instrText>
      </w:r>
      <w:r w:rsidR="009A0ED7" w:rsidRPr="00EC3CBF">
        <w:rPr>
          <w:rFonts w:ascii="Times New Roman" w:hAnsi="Times New Roman" w:cs="Times New Roman"/>
        </w:rPr>
        <w:fldChar w:fldCharType="separate"/>
      </w:r>
      <w:r w:rsidR="009F5483">
        <w:rPr>
          <w:rFonts w:ascii="Times New Roman" w:hAnsi="Times New Roman" w:cs="Times New Roman"/>
          <w:noProof/>
        </w:rPr>
        <w:t>67</w:t>
      </w:r>
      <w:r w:rsidR="009A0ED7" w:rsidRPr="00EC3CBF">
        <w:rPr>
          <w:rFonts w:ascii="Times New Roman" w:hAnsi="Times New Roman" w:cs="Times New Roman"/>
        </w:rPr>
        <w:fldChar w:fldCharType="end"/>
      </w:r>
      <w:r w:rsidRPr="00EC3CBF">
        <w:rPr>
          <w:rFonts w:ascii="Times New Roman" w:hAnsi="Times New Roman" w:cs="Times New Roman"/>
        </w:rPr>
        <w:t xml:space="preserve">. </w:t>
      </w:r>
      <w:r w:rsidR="00AE7A4C" w:rsidRPr="00EC3CBF">
        <w:rPr>
          <w:rFonts w:ascii="Times New Roman" w:eastAsia="Calibri" w:hAnsi="Times New Roman" w:cs="Times New Roman"/>
        </w:rPr>
        <w:t>Breakdown of additional CO</w:t>
      </w:r>
      <w:r w:rsidR="00AE7A4C" w:rsidRPr="00EC3CBF">
        <w:rPr>
          <w:rFonts w:ascii="Times New Roman" w:eastAsia="Calibri" w:hAnsi="Times New Roman" w:cs="Times New Roman"/>
          <w:vertAlign w:val="subscript"/>
        </w:rPr>
        <w:t>2</w:t>
      </w:r>
      <w:r w:rsidR="00AE7A4C" w:rsidRPr="00EC3CBF">
        <w:rPr>
          <w:rFonts w:ascii="Times New Roman" w:eastAsia="Calibri" w:hAnsi="Times New Roman" w:cs="Times New Roman"/>
        </w:rPr>
        <w:t xml:space="preserve"> impact due to alloying additions (kgCO</w:t>
      </w:r>
      <w:r w:rsidR="00AE7A4C" w:rsidRPr="00EC3CBF">
        <w:rPr>
          <w:rFonts w:ascii="Times New Roman" w:eastAsia="Calibri" w:hAnsi="Times New Roman" w:cs="Times New Roman"/>
          <w:vertAlign w:val="subscript"/>
        </w:rPr>
        <w:t>2</w:t>
      </w:r>
      <w:r w:rsidR="00AE7A4C" w:rsidRPr="00EC3CBF">
        <w:rPr>
          <w:rFonts w:ascii="Times New Roman" w:eastAsia="Calibri" w:hAnsi="Times New Roman" w:cs="Times New Roman"/>
        </w:rPr>
        <w:t>/kg) for S390 steel grade.</w:t>
      </w:r>
      <w:bookmarkEnd w:id="376"/>
      <w:bookmarkEnd w:id="377"/>
    </w:p>
    <w:tbl>
      <w:tblPr>
        <w:tblW w:w="14460" w:type="dxa"/>
        <w:tblLook w:val="04A0" w:firstRow="1" w:lastRow="0" w:firstColumn="1" w:lastColumn="0" w:noHBand="0" w:noVBand="1"/>
      </w:tblPr>
      <w:tblGrid>
        <w:gridCol w:w="960"/>
        <w:gridCol w:w="3680"/>
        <w:gridCol w:w="1500"/>
        <w:gridCol w:w="1500"/>
        <w:gridCol w:w="1244"/>
        <w:gridCol w:w="1240"/>
        <w:gridCol w:w="1120"/>
        <w:gridCol w:w="1120"/>
        <w:gridCol w:w="1194"/>
        <w:gridCol w:w="1194"/>
      </w:tblGrid>
      <w:tr w:rsidR="00A229B8" w:rsidRPr="00A229B8" w:rsidTr="00A229B8">
        <w:trPr>
          <w:trHeight w:val="1035"/>
        </w:trPr>
        <w:tc>
          <w:tcPr>
            <w:tcW w:w="960" w:type="dxa"/>
            <w:tcBorders>
              <w:top w:val="single" w:sz="4" w:space="0" w:color="auto"/>
              <w:left w:val="single" w:sz="4" w:space="0" w:color="auto"/>
              <w:bottom w:val="nil"/>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Grade</w:t>
            </w:r>
          </w:p>
        </w:tc>
        <w:tc>
          <w:tcPr>
            <w:tcW w:w="368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Alloying Addition</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Amount Added for Boron Cast (kg)</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Amount Added for Boron Cast (t)</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Emission Factor (kgCO</w:t>
            </w:r>
            <w:r w:rsidRPr="00A229B8">
              <w:rPr>
                <w:rFonts w:ascii="Arial" w:eastAsia="Times New Roman" w:hAnsi="Arial" w:cs="Arial"/>
                <w:b/>
                <w:bCs/>
                <w:sz w:val="20"/>
                <w:szCs w:val="20"/>
                <w:vertAlign w:val="subscript"/>
              </w:rPr>
              <w:t>2</w:t>
            </w:r>
            <w:r w:rsidRPr="00A229B8">
              <w:rPr>
                <w:rFonts w:ascii="Arial" w:eastAsia="Times New Roman" w:hAnsi="Arial" w:cs="Arial"/>
                <w:b/>
                <w:bCs/>
                <w:sz w:val="20"/>
                <w:szCs w:val="20"/>
              </w:rPr>
              <w:t>/kg)</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Emission Factor (kgCO</w:t>
            </w:r>
            <w:r w:rsidRPr="00A229B8">
              <w:rPr>
                <w:rFonts w:ascii="Arial" w:eastAsia="Times New Roman" w:hAnsi="Arial" w:cs="Arial"/>
                <w:b/>
                <w:bCs/>
                <w:sz w:val="20"/>
                <w:szCs w:val="20"/>
                <w:vertAlign w:val="subscript"/>
              </w:rPr>
              <w:t>2</w:t>
            </w:r>
            <w:r w:rsidRPr="00A229B8">
              <w:rPr>
                <w:rFonts w:ascii="Arial" w:eastAsia="Times New Roman" w:hAnsi="Arial" w:cs="Arial"/>
                <w:b/>
                <w:bCs/>
                <w:sz w:val="20"/>
                <w:szCs w:val="20"/>
              </w:rPr>
              <w:t>/t)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CO</w:t>
            </w:r>
            <w:r w:rsidRPr="00A229B8">
              <w:rPr>
                <w:rFonts w:ascii="Arial" w:eastAsia="Times New Roman" w:hAnsi="Arial" w:cs="Arial"/>
                <w:b/>
                <w:bCs/>
                <w:sz w:val="20"/>
                <w:szCs w:val="20"/>
                <w:vertAlign w:val="subscript"/>
              </w:rPr>
              <w:t>2</w:t>
            </w:r>
            <w:r w:rsidRPr="00A229B8">
              <w:rPr>
                <w:rFonts w:ascii="Arial" w:eastAsia="Times New Roman" w:hAnsi="Arial" w:cs="Arial"/>
                <w:b/>
                <w:bCs/>
                <w:sz w:val="20"/>
                <w:szCs w:val="20"/>
              </w:rPr>
              <w:t xml:space="preserve"> for this cast</w:t>
            </w:r>
          </w:p>
          <w:p w:rsidR="007678D9" w:rsidRPr="00A229B8" w:rsidRDefault="007678D9" w:rsidP="00A229B8">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(kgCO</w:t>
            </w:r>
            <w:r w:rsidRPr="00EC3CBF">
              <w:rPr>
                <w:rFonts w:ascii="Arial" w:eastAsia="Times New Roman" w:hAnsi="Arial" w:cs="Arial"/>
                <w:b/>
                <w:bCs/>
                <w:sz w:val="20"/>
                <w:szCs w:val="20"/>
                <w:vertAlign w:val="subscript"/>
              </w:rPr>
              <w:t>2</w:t>
            </w:r>
            <w:r>
              <w:rPr>
                <w:rFonts w:ascii="Arial" w:eastAsia="Times New Roman" w:hAnsi="Arial" w:cs="Arial"/>
                <w:b/>
                <w:bCs/>
                <w:sz w:val="20"/>
                <w:szCs w:val="20"/>
              </w:rPr>
              <w: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Total impact per 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Additional impact per 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Additional impact per kg</w:t>
            </w:r>
          </w:p>
        </w:tc>
      </w:tr>
      <w:tr w:rsidR="00A229B8" w:rsidRPr="00A229B8" w:rsidTr="00A229B8">
        <w:trPr>
          <w:trHeight w:val="255"/>
        </w:trPr>
        <w:tc>
          <w:tcPr>
            <w:tcW w:w="960" w:type="dxa"/>
            <w:vMerge w:val="restart"/>
            <w:tcBorders>
              <w:top w:val="single" w:sz="8" w:space="0" w:color="auto"/>
              <w:left w:val="single" w:sz="8" w:space="0" w:color="auto"/>
              <w:bottom w:val="single" w:sz="8" w:space="0" w:color="000000"/>
              <w:right w:val="single" w:sz="8" w:space="0" w:color="auto"/>
            </w:tcBorders>
            <w:shd w:val="clear" w:color="000000" w:fill="00B0F0"/>
            <w:noWrap/>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S390</w:t>
            </w:r>
          </w:p>
        </w:tc>
        <w:tc>
          <w:tcPr>
            <w:tcW w:w="3680" w:type="dxa"/>
            <w:tcBorders>
              <w:top w:val="nil"/>
              <w:left w:val="nil"/>
              <w:bottom w:val="single" w:sz="4" w:space="0" w:color="auto"/>
              <w:right w:val="nil"/>
            </w:tcBorders>
            <w:shd w:val="clear" w:color="000000" w:fill="FFFFFF"/>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High Carbon Ferro Manganese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100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0.1</w:t>
            </w:r>
          </w:p>
        </w:tc>
        <w:tc>
          <w:tcPr>
            <w:tcW w:w="1100" w:type="dxa"/>
            <w:tcBorders>
              <w:top w:val="nil"/>
              <w:left w:val="nil"/>
              <w:bottom w:val="single" w:sz="4" w:space="0" w:color="auto"/>
              <w:right w:val="single" w:sz="4" w:space="0" w:color="auto"/>
            </w:tcBorders>
            <w:shd w:val="clear" w:color="000000" w:fill="FFFF0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4.56</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w:t>
            </w:r>
            <w:r w:rsidR="0008118D">
              <w:rPr>
                <w:rFonts w:ascii="Arial" w:eastAsia="Times New Roman" w:hAnsi="Arial" w:cs="Arial"/>
                <w:sz w:val="20"/>
                <w:szCs w:val="20"/>
              </w:rPr>
              <w:t>,</w:t>
            </w:r>
            <w:r w:rsidRPr="00A229B8">
              <w:rPr>
                <w:rFonts w:ascii="Arial" w:eastAsia="Times New Roman" w:hAnsi="Arial" w:cs="Arial"/>
                <w:sz w:val="20"/>
                <w:szCs w:val="20"/>
              </w:rPr>
              <w:t>560</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456</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Medium Carbon Ferro Manganese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550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0.55</w:t>
            </w:r>
          </w:p>
        </w:tc>
        <w:tc>
          <w:tcPr>
            <w:tcW w:w="1100" w:type="dxa"/>
            <w:tcBorders>
              <w:top w:val="nil"/>
              <w:left w:val="nil"/>
              <w:bottom w:val="single" w:sz="4" w:space="0" w:color="auto"/>
              <w:right w:val="single" w:sz="4" w:space="0" w:color="auto"/>
            </w:tcBorders>
            <w:shd w:val="clear" w:color="000000" w:fill="00B0F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6.33</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w:t>
            </w:r>
            <w:r w:rsidR="0008118D">
              <w:rPr>
                <w:rFonts w:ascii="Arial" w:eastAsia="Times New Roman" w:hAnsi="Arial" w:cs="Arial"/>
                <w:sz w:val="20"/>
                <w:szCs w:val="20"/>
              </w:rPr>
              <w:t>,</w:t>
            </w:r>
            <w:r w:rsidRPr="00A229B8">
              <w:rPr>
                <w:rFonts w:ascii="Arial" w:eastAsia="Times New Roman" w:hAnsi="Arial" w:cs="Arial"/>
                <w:sz w:val="20"/>
                <w:szCs w:val="20"/>
              </w:rPr>
              <w:t>335</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3</w:t>
            </w:r>
            <w:r w:rsidR="0008118D">
              <w:rPr>
                <w:rFonts w:ascii="Arial" w:eastAsia="Times New Roman" w:hAnsi="Arial" w:cs="Arial"/>
                <w:sz w:val="20"/>
                <w:szCs w:val="20"/>
              </w:rPr>
              <w:t>,</w:t>
            </w:r>
            <w:r w:rsidRPr="00A229B8">
              <w:rPr>
                <w:rFonts w:ascii="Arial" w:eastAsia="Times New Roman" w:hAnsi="Arial" w:cs="Arial"/>
                <w:sz w:val="20"/>
                <w:szCs w:val="20"/>
              </w:rPr>
              <w:t>484</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Ferro Silicon</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75</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0.075</w:t>
            </w:r>
          </w:p>
        </w:tc>
        <w:tc>
          <w:tcPr>
            <w:tcW w:w="1100" w:type="dxa"/>
            <w:tcBorders>
              <w:top w:val="nil"/>
              <w:left w:val="nil"/>
              <w:bottom w:val="single" w:sz="4" w:space="0" w:color="auto"/>
              <w:right w:val="single" w:sz="4" w:space="0" w:color="auto"/>
            </w:tcBorders>
            <w:shd w:val="clear" w:color="000000" w:fill="FFFF0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11.50</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11</w:t>
            </w:r>
            <w:r w:rsidR="0008118D">
              <w:rPr>
                <w:rFonts w:ascii="Arial" w:eastAsia="Times New Roman" w:hAnsi="Arial" w:cs="Arial"/>
                <w:sz w:val="20"/>
                <w:szCs w:val="20"/>
              </w:rPr>
              <w:t>,</w:t>
            </w:r>
            <w:r w:rsidRPr="00A229B8">
              <w:rPr>
                <w:rFonts w:ascii="Arial" w:eastAsia="Times New Roman" w:hAnsi="Arial" w:cs="Arial"/>
                <w:sz w:val="20"/>
                <w:szCs w:val="20"/>
              </w:rPr>
              <w:t>500</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863</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Ferro Niobium</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160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0.16</w:t>
            </w:r>
          </w:p>
        </w:tc>
        <w:tc>
          <w:tcPr>
            <w:tcW w:w="1100" w:type="dxa"/>
            <w:tcBorders>
              <w:top w:val="nil"/>
              <w:left w:val="nil"/>
              <w:bottom w:val="single" w:sz="4" w:space="0" w:color="auto"/>
              <w:right w:val="single" w:sz="4" w:space="0" w:color="auto"/>
            </w:tcBorders>
            <w:shd w:val="clear" w:color="000000" w:fill="FFFF0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4.83</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w:t>
            </w:r>
            <w:r w:rsidR="0008118D">
              <w:rPr>
                <w:rFonts w:ascii="Arial" w:eastAsia="Times New Roman" w:hAnsi="Arial" w:cs="Arial"/>
                <w:sz w:val="20"/>
                <w:szCs w:val="20"/>
              </w:rPr>
              <w:t>,</w:t>
            </w:r>
            <w:r w:rsidRPr="00A229B8">
              <w:rPr>
                <w:rFonts w:ascii="Arial" w:eastAsia="Times New Roman" w:hAnsi="Arial" w:cs="Arial"/>
                <w:sz w:val="20"/>
                <w:szCs w:val="20"/>
              </w:rPr>
              <w:t>833</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773</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 xml:space="preserve">Aluminium </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700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0.7</w:t>
            </w:r>
          </w:p>
        </w:tc>
        <w:tc>
          <w:tcPr>
            <w:tcW w:w="1100" w:type="dxa"/>
            <w:tcBorders>
              <w:top w:val="nil"/>
              <w:left w:val="nil"/>
              <w:bottom w:val="single" w:sz="4" w:space="0" w:color="auto"/>
              <w:right w:val="single" w:sz="4" w:space="0" w:color="auto"/>
            </w:tcBorders>
            <w:shd w:val="clear" w:color="000000" w:fill="DA9694"/>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9.06</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9</w:t>
            </w:r>
            <w:r w:rsidR="0008118D">
              <w:rPr>
                <w:rFonts w:ascii="Arial" w:eastAsia="Times New Roman" w:hAnsi="Arial" w:cs="Arial"/>
                <w:sz w:val="20"/>
                <w:szCs w:val="20"/>
              </w:rPr>
              <w:t>,</w:t>
            </w:r>
            <w:r w:rsidRPr="00A229B8">
              <w:rPr>
                <w:rFonts w:ascii="Arial" w:eastAsia="Times New Roman" w:hAnsi="Arial" w:cs="Arial"/>
                <w:sz w:val="20"/>
                <w:szCs w:val="20"/>
              </w:rPr>
              <w:t>060</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w:t>
            </w:r>
            <w:r w:rsidR="0008118D">
              <w:rPr>
                <w:rFonts w:ascii="Arial" w:eastAsia="Times New Roman" w:hAnsi="Arial" w:cs="Arial"/>
                <w:sz w:val="20"/>
                <w:szCs w:val="20"/>
              </w:rPr>
              <w:t>,</w:t>
            </w:r>
            <w:r w:rsidRPr="00A229B8">
              <w:rPr>
                <w:rFonts w:ascii="Arial" w:eastAsia="Times New Roman" w:hAnsi="Arial" w:cs="Arial"/>
                <w:sz w:val="20"/>
                <w:szCs w:val="20"/>
              </w:rPr>
              <w:t>342</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Medium Carbon Ferro Manganese Large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w:t>
            </w:r>
            <w:r w:rsidR="0008118D">
              <w:rPr>
                <w:rFonts w:ascii="Arial" w:eastAsia="Times New Roman" w:hAnsi="Arial" w:cs="Arial"/>
                <w:sz w:val="20"/>
                <w:szCs w:val="20"/>
              </w:rPr>
              <w:t>,</w:t>
            </w:r>
            <w:r w:rsidRPr="00A229B8">
              <w:rPr>
                <w:rFonts w:ascii="Arial" w:eastAsia="Times New Roman" w:hAnsi="Arial" w:cs="Arial"/>
                <w:sz w:val="20"/>
                <w:szCs w:val="20"/>
              </w:rPr>
              <w:t>800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1.8</w:t>
            </w:r>
          </w:p>
        </w:tc>
        <w:tc>
          <w:tcPr>
            <w:tcW w:w="1100" w:type="dxa"/>
            <w:tcBorders>
              <w:top w:val="nil"/>
              <w:left w:val="nil"/>
              <w:bottom w:val="single" w:sz="4" w:space="0" w:color="auto"/>
              <w:right w:val="single" w:sz="4" w:space="0" w:color="auto"/>
            </w:tcBorders>
            <w:shd w:val="clear" w:color="000000" w:fill="00B0F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6.33</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w:t>
            </w:r>
            <w:r w:rsidR="0008118D">
              <w:rPr>
                <w:rFonts w:ascii="Arial" w:eastAsia="Times New Roman" w:hAnsi="Arial" w:cs="Arial"/>
                <w:sz w:val="20"/>
                <w:szCs w:val="20"/>
              </w:rPr>
              <w:t>,</w:t>
            </w:r>
            <w:r w:rsidRPr="00A229B8">
              <w:rPr>
                <w:rFonts w:ascii="Arial" w:eastAsia="Times New Roman" w:hAnsi="Arial" w:cs="Arial"/>
                <w:sz w:val="20"/>
                <w:szCs w:val="20"/>
              </w:rPr>
              <w:t>335</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11</w:t>
            </w:r>
            <w:r w:rsidR="0008118D">
              <w:rPr>
                <w:rFonts w:ascii="Arial" w:eastAsia="Times New Roman" w:hAnsi="Arial" w:cs="Arial"/>
                <w:sz w:val="20"/>
                <w:szCs w:val="20"/>
              </w:rPr>
              <w:t>,</w:t>
            </w:r>
            <w:r w:rsidRPr="00A229B8">
              <w:rPr>
                <w:rFonts w:ascii="Arial" w:eastAsia="Times New Roman" w:hAnsi="Arial" w:cs="Arial"/>
                <w:sz w:val="20"/>
                <w:szCs w:val="20"/>
              </w:rPr>
              <w:t>403</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nil"/>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Mild Steel</w:t>
            </w:r>
          </w:p>
        </w:tc>
        <w:tc>
          <w:tcPr>
            <w:tcW w:w="1500" w:type="dxa"/>
            <w:tcBorders>
              <w:top w:val="nil"/>
              <w:left w:val="single" w:sz="4" w:space="0" w:color="auto"/>
              <w:bottom w:val="nil"/>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325,000</w:t>
            </w:r>
          </w:p>
        </w:tc>
        <w:tc>
          <w:tcPr>
            <w:tcW w:w="1500" w:type="dxa"/>
            <w:tcBorders>
              <w:top w:val="nil"/>
              <w:left w:val="nil"/>
              <w:bottom w:val="nil"/>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325</w:t>
            </w:r>
          </w:p>
        </w:tc>
        <w:tc>
          <w:tcPr>
            <w:tcW w:w="1100" w:type="dxa"/>
            <w:tcBorders>
              <w:top w:val="nil"/>
              <w:left w:val="nil"/>
              <w:bottom w:val="nil"/>
              <w:right w:val="single" w:sz="4" w:space="0" w:color="auto"/>
            </w:tcBorders>
            <w:shd w:val="clear" w:color="000000" w:fill="92D05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1.90</w:t>
            </w:r>
          </w:p>
        </w:tc>
        <w:tc>
          <w:tcPr>
            <w:tcW w:w="124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w:t>
            </w:r>
            <w:r w:rsidR="0008118D">
              <w:rPr>
                <w:rFonts w:ascii="Arial" w:eastAsia="Times New Roman" w:hAnsi="Arial" w:cs="Arial"/>
                <w:sz w:val="20"/>
                <w:szCs w:val="20"/>
              </w:rPr>
              <w:t>,</w:t>
            </w:r>
            <w:r w:rsidRPr="00A229B8">
              <w:rPr>
                <w:rFonts w:ascii="Arial" w:eastAsia="Times New Roman" w:hAnsi="Arial" w:cs="Arial"/>
                <w:sz w:val="20"/>
                <w:szCs w:val="20"/>
              </w:rPr>
              <w:t>900</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617</w:t>
            </w:r>
            <w:r w:rsidR="0008118D">
              <w:rPr>
                <w:rFonts w:ascii="Arial" w:eastAsia="Times New Roman" w:hAnsi="Arial" w:cs="Arial"/>
                <w:sz w:val="20"/>
                <w:szCs w:val="20"/>
              </w:rPr>
              <w:t>,</w:t>
            </w:r>
            <w:r w:rsidRPr="00A229B8">
              <w:rPr>
                <w:rFonts w:ascii="Arial" w:eastAsia="Times New Roman" w:hAnsi="Arial" w:cs="Arial"/>
                <w:sz w:val="20"/>
                <w:szCs w:val="20"/>
              </w:rPr>
              <w:t>500</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31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single" w:sz="8" w:space="0" w:color="auto"/>
              <w:left w:val="nil"/>
              <w:bottom w:val="single" w:sz="8" w:space="0" w:color="auto"/>
              <w:right w:val="nil"/>
            </w:tcBorders>
            <w:shd w:val="clear" w:color="auto" w:fill="auto"/>
            <w:noWrap/>
            <w:vAlign w:val="bottom"/>
            <w:hideMark/>
          </w:tcPr>
          <w:p w:rsidR="00A229B8" w:rsidRPr="00A229B8" w:rsidRDefault="00A229B8" w:rsidP="00A229B8">
            <w:pPr>
              <w:spacing w:after="0" w:line="240" w:lineRule="auto"/>
              <w:jc w:val="center"/>
              <w:rPr>
                <w:rFonts w:ascii="Calibri" w:eastAsia="Times New Roman" w:hAnsi="Calibri" w:cs="Arial"/>
                <w:b/>
                <w:bCs/>
                <w:color w:val="000000"/>
              </w:rPr>
            </w:pPr>
            <w:r w:rsidRPr="00A229B8">
              <w:rPr>
                <w:rFonts w:ascii="Calibri" w:eastAsia="Times New Roman" w:hAnsi="Calibri" w:cs="Arial"/>
                <w:b/>
                <w:bCs/>
                <w:color w:val="000000"/>
              </w:rPr>
              <w:t>Total</w:t>
            </w:r>
          </w:p>
        </w:tc>
        <w:tc>
          <w:tcPr>
            <w:tcW w:w="150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328</w:t>
            </w:r>
            <w:r w:rsidR="0008118D">
              <w:rPr>
                <w:rFonts w:ascii="Arial" w:eastAsia="Times New Roman" w:hAnsi="Arial" w:cs="Arial"/>
                <w:b/>
                <w:bCs/>
                <w:sz w:val="20"/>
                <w:szCs w:val="20"/>
              </w:rPr>
              <w:t>,</w:t>
            </w:r>
            <w:r w:rsidRPr="00A229B8">
              <w:rPr>
                <w:rFonts w:ascii="Arial" w:eastAsia="Times New Roman" w:hAnsi="Arial" w:cs="Arial"/>
                <w:b/>
                <w:bCs/>
                <w:sz w:val="20"/>
                <w:szCs w:val="20"/>
              </w:rPr>
              <w:t>385</w:t>
            </w:r>
          </w:p>
        </w:tc>
        <w:tc>
          <w:tcPr>
            <w:tcW w:w="150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328.385</w:t>
            </w:r>
          </w:p>
        </w:tc>
        <w:tc>
          <w:tcPr>
            <w:tcW w:w="110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right"/>
              <w:rPr>
                <w:rFonts w:ascii="Arial" w:eastAsia="Times New Roman" w:hAnsi="Arial" w:cs="Arial"/>
                <w:b/>
                <w:bCs/>
                <w:sz w:val="20"/>
                <w:szCs w:val="20"/>
              </w:rPr>
            </w:pPr>
            <w:r w:rsidRPr="00A229B8">
              <w:rPr>
                <w:rFonts w:ascii="Arial" w:eastAsia="Times New Roman" w:hAnsi="Arial" w:cs="Arial"/>
                <w:b/>
                <w:bCs/>
                <w:sz w:val="20"/>
                <w:szCs w:val="20"/>
              </w:rPr>
              <w:t> </w:t>
            </w:r>
          </w:p>
        </w:tc>
        <w:tc>
          <w:tcPr>
            <w:tcW w:w="124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b/>
                <w:bCs/>
                <w:sz w:val="20"/>
                <w:szCs w:val="20"/>
              </w:rPr>
            </w:pPr>
            <w:r w:rsidRPr="00A229B8">
              <w:rPr>
                <w:rFonts w:ascii="Arial" w:eastAsia="Times New Roman" w:hAnsi="Arial" w:cs="Arial"/>
                <w:b/>
                <w:bCs/>
                <w:sz w:val="20"/>
                <w:szCs w:val="20"/>
              </w:rPr>
              <w:t> </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640</w:t>
            </w:r>
            <w:r w:rsidR="0008118D">
              <w:rPr>
                <w:rFonts w:ascii="Arial" w:eastAsia="Times New Roman" w:hAnsi="Arial" w:cs="Arial"/>
                <w:b/>
                <w:bCs/>
                <w:sz w:val="20"/>
                <w:szCs w:val="20"/>
              </w:rPr>
              <w:t>,</w:t>
            </w:r>
            <w:r w:rsidRPr="00A229B8">
              <w:rPr>
                <w:rFonts w:ascii="Arial" w:eastAsia="Times New Roman" w:hAnsi="Arial" w:cs="Arial"/>
                <w:b/>
                <w:bCs/>
                <w:sz w:val="20"/>
                <w:szCs w:val="20"/>
              </w:rPr>
              <w:t>821</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1951.43</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51.43</w:t>
            </w:r>
          </w:p>
        </w:tc>
        <w:tc>
          <w:tcPr>
            <w:tcW w:w="1120" w:type="dxa"/>
            <w:tcBorders>
              <w:top w:val="single" w:sz="8" w:space="0" w:color="auto"/>
              <w:left w:val="nil"/>
              <w:bottom w:val="single" w:sz="8" w:space="0" w:color="auto"/>
              <w:right w:val="single" w:sz="8"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0.0514306</w:t>
            </w:r>
          </w:p>
        </w:tc>
      </w:tr>
    </w:tbl>
    <w:p w:rsidR="00AE7A4C" w:rsidRPr="00EC3CBF" w:rsidRDefault="00AE7A4C" w:rsidP="00EC3CBF">
      <w:pPr>
        <w:rPr>
          <w:rFonts w:ascii="Times New Roman" w:eastAsia="Calibri" w:hAnsi="Times New Roman" w:cs="Times New Roman"/>
        </w:rPr>
      </w:pPr>
    </w:p>
    <w:p w:rsidR="00AE7A4C" w:rsidRPr="00EC3CBF" w:rsidRDefault="00EC3CBF" w:rsidP="00EC3CBF">
      <w:pPr>
        <w:rPr>
          <w:rFonts w:ascii="Times New Roman" w:eastAsia="Calibri" w:hAnsi="Times New Roman" w:cs="Times New Roman"/>
        </w:rPr>
      </w:pPr>
      <w:bookmarkStart w:id="378" w:name="_Toc474486575"/>
      <w:bookmarkStart w:id="379" w:name="_Toc495852746"/>
      <w:r w:rsidRPr="00EC3CBF">
        <w:rPr>
          <w:rFonts w:ascii="Times New Roman" w:hAnsi="Times New Roman" w:cs="Times New Roman"/>
        </w:rPr>
        <w:t xml:space="preserve">Table </w:t>
      </w:r>
      <w:r w:rsidR="009A0ED7" w:rsidRPr="00EC3CBF">
        <w:rPr>
          <w:rFonts w:ascii="Times New Roman" w:hAnsi="Times New Roman" w:cs="Times New Roman"/>
        </w:rPr>
        <w:fldChar w:fldCharType="begin"/>
      </w:r>
      <w:r w:rsidRPr="00EC3CBF">
        <w:rPr>
          <w:rFonts w:ascii="Times New Roman" w:hAnsi="Times New Roman" w:cs="Times New Roman"/>
        </w:rPr>
        <w:instrText xml:space="preserve"> SEQ Table \* ARABIC </w:instrText>
      </w:r>
      <w:r w:rsidR="009A0ED7" w:rsidRPr="00EC3CBF">
        <w:rPr>
          <w:rFonts w:ascii="Times New Roman" w:hAnsi="Times New Roman" w:cs="Times New Roman"/>
        </w:rPr>
        <w:fldChar w:fldCharType="separate"/>
      </w:r>
      <w:r w:rsidR="009F5483">
        <w:rPr>
          <w:rFonts w:ascii="Times New Roman" w:hAnsi="Times New Roman" w:cs="Times New Roman"/>
          <w:noProof/>
        </w:rPr>
        <w:t>68</w:t>
      </w:r>
      <w:r w:rsidR="009A0ED7" w:rsidRPr="00EC3CBF">
        <w:rPr>
          <w:rFonts w:ascii="Times New Roman" w:hAnsi="Times New Roman" w:cs="Times New Roman"/>
        </w:rPr>
        <w:fldChar w:fldCharType="end"/>
      </w:r>
      <w:r w:rsidRPr="00EC3CBF">
        <w:rPr>
          <w:rFonts w:ascii="Times New Roman" w:hAnsi="Times New Roman" w:cs="Times New Roman"/>
        </w:rPr>
        <w:t xml:space="preserve">. </w:t>
      </w:r>
      <w:r w:rsidR="00AE7A4C" w:rsidRPr="00EC3CBF">
        <w:rPr>
          <w:rFonts w:ascii="Times New Roman" w:eastAsia="Calibri" w:hAnsi="Times New Roman" w:cs="Times New Roman"/>
        </w:rPr>
        <w:t>Breakdown of additional CO</w:t>
      </w:r>
      <w:r w:rsidR="00AE7A4C" w:rsidRPr="00EC3CBF">
        <w:rPr>
          <w:rFonts w:ascii="Times New Roman" w:eastAsia="Calibri" w:hAnsi="Times New Roman" w:cs="Times New Roman"/>
          <w:vertAlign w:val="subscript"/>
        </w:rPr>
        <w:t>2</w:t>
      </w:r>
      <w:r w:rsidR="00AE7A4C" w:rsidRPr="00EC3CBF">
        <w:rPr>
          <w:rFonts w:ascii="Times New Roman" w:eastAsia="Calibri" w:hAnsi="Times New Roman" w:cs="Times New Roman"/>
        </w:rPr>
        <w:t xml:space="preserve"> impact due to alloying additions (kgCO</w:t>
      </w:r>
      <w:r w:rsidR="00AE7A4C" w:rsidRPr="00EC3CBF">
        <w:rPr>
          <w:rFonts w:ascii="Times New Roman" w:eastAsia="Calibri" w:hAnsi="Times New Roman" w:cs="Times New Roman"/>
          <w:vertAlign w:val="subscript"/>
        </w:rPr>
        <w:t>2</w:t>
      </w:r>
      <w:r w:rsidR="00AE7A4C" w:rsidRPr="00EC3CBF">
        <w:rPr>
          <w:rFonts w:ascii="Times New Roman" w:eastAsia="Calibri" w:hAnsi="Times New Roman" w:cs="Times New Roman"/>
        </w:rPr>
        <w:t>/kg) for S355 steel grade.</w:t>
      </w:r>
      <w:bookmarkEnd w:id="378"/>
      <w:bookmarkEnd w:id="379"/>
    </w:p>
    <w:tbl>
      <w:tblPr>
        <w:tblW w:w="14460" w:type="dxa"/>
        <w:tblLook w:val="04A0" w:firstRow="1" w:lastRow="0" w:firstColumn="1" w:lastColumn="0" w:noHBand="0" w:noVBand="1"/>
      </w:tblPr>
      <w:tblGrid>
        <w:gridCol w:w="960"/>
        <w:gridCol w:w="3680"/>
        <w:gridCol w:w="1500"/>
        <w:gridCol w:w="1500"/>
        <w:gridCol w:w="1244"/>
        <w:gridCol w:w="1240"/>
        <w:gridCol w:w="1120"/>
        <w:gridCol w:w="1120"/>
        <w:gridCol w:w="1194"/>
        <w:gridCol w:w="1194"/>
      </w:tblGrid>
      <w:tr w:rsidR="00A229B8" w:rsidRPr="00A229B8" w:rsidTr="00A229B8">
        <w:trPr>
          <w:trHeight w:val="1035"/>
        </w:trPr>
        <w:tc>
          <w:tcPr>
            <w:tcW w:w="960" w:type="dxa"/>
            <w:tcBorders>
              <w:top w:val="single" w:sz="4" w:space="0" w:color="auto"/>
              <w:left w:val="single" w:sz="4" w:space="0" w:color="auto"/>
              <w:bottom w:val="nil"/>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Grade</w:t>
            </w:r>
          </w:p>
        </w:tc>
        <w:tc>
          <w:tcPr>
            <w:tcW w:w="368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Alloying Addition</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Amount Added for Boron Cast (kg)</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Amount Added for Boron Cast (t)</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Emission Factor (kgCO</w:t>
            </w:r>
            <w:r w:rsidRPr="00A229B8">
              <w:rPr>
                <w:rFonts w:ascii="Arial" w:eastAsia="Times New Roman" w:hAnsi="Arial" w:cs="Arial"/>
                <w:b/>
                <w:bCs/>
                <w:sz w:val="20"/>
                <w:szCs w:val="20"/>
                <w:vertAlign w:val="subscript"/>
              </w:rPr>
              <w:t>2</w:t>
            </w:r>
            <w:r w:rsidRPr="00A229B8">
              <w:rPr>
                <w:rFonts w:ascii="Arial" w:eastAsia="Times New Roman" w:hAnsi="Arial" w:cs="Arial"/>
                <w:b/>
                <w:bCs/>
                <w:sz w:val="20"/>
                <w:szCs w:val="20"/>
              </w:rPr>
              <w:t>/kg)</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Emission Factor (kgCO</w:t>
            </w:r>
            <w:r w:rsidRPr="00A229B8">
              <w:rPr>
                <w:rFonts w:ascii="Arial" w:eastAsia="Times New Roman" w:hAnsi="Arial" w:cs="Arial"/>
                <w:b/>
                <w:bCs/>
                <w:sz w:val="20"/>
                <w:szCs w:val="20"/>
                <w:vertAlign w:val="subscript"/>
              </w:rPr>
              <w:t>2</w:t>
            </w:r>
            <w:r w:rsidRPr="00A229B8">
              <w:rPr>
                <w:rFonts w:ascii="Arial" w:eastAsia="Times New Roman" w:hAnsi="Arial" w:cs="Arial"/>
                <w:b/>
                <w:bCs/>
                <w:sz w:val="20"/>
                <w:szCs w:val="20"/>
              </w:rPr>
              <w:t>/t)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CO</w:t>
            </w:r>
            <w:r w:rsidRPr="00A229B8">
              <w:rPr>
                <w:rFonts w:ascii="Arial" w:eastAsia="Times New Roman" w:hAnsi="Arial" w:cs="Arial"/>
                <w:b/>
                <w:bCs/>
                <w:sz w:val="20"/>
                <w:szCs w:val="20"/>
                <w:vertAlign w:val="subscript"/>
              </w:rPr>
              <w:t>2</w:t>
            </w:r>
            <w:r w:rsidRPr="00A229B8">
              <w:rPr>
                <w:rFonts w:ascii="Arial" w:eastAsia="Times New Roman" w:hAnsi="Arial" w:cs="Arial"/>
                <w:b/>
                <w:bCs/>
                <w:sz w:val="20"/>
                <w:szCs w:val="20"/>
              </w:rPr>
              <w:t xml:space="preserve"> for this cast</w:t>
            </w:r>
          </w:p>
          <w:p w:rsidR="007678D9" w:rsidRPr="00A229B8" w:rsidRDefault="007678D9" w:rsidP="00A229B8">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(kgCO</w:t>
            </w:r>
            <w:r w:rsidRPr="00EC3CBF">
              <w:rPr>
                <w:rFonts w:ascii="Arial" w:eastAsia="Times New Roman" w:hAnsi="Arial" w:cs="Arial"/>
                <w:b/>
                <w:bCs/>
                <w:sz w:val="20"/>
                <w:szCs w:val="20"/>
                <w:vertAlign w:val="subscript"/>
              </w:rPr>
              <w:t>2</w:t>
            </w:r>
            <w:r>
              <w:rPr>
                <w:rFonts w:ascii="Arial" w:eastAsia="Times New Roman" w:hAnsi="Arial" w:cs="Arial"/>
                <w:b/>
                <w:bCs/>
                <w:sz w:val="20"/>
                <w:szCs w:val="20"/>
              </w:rPr>
              <w: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Total impact per 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Additional impact per 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Additional impact per kg</w:t>
            </w:r>
          </w:p>
        </w:tc>
      </w:tr>
      <w:tr w:rsidR="00A229B8" w:rsidRPr="00A229B8" w:rsidTr="00A229B8">
        <w:trPr>
          <w:trHeight w:val="255"/>
        </w:trPr>
        <w:tc>
          <w:tcPr>
            <w:tcW w:w="960" w:type="dxa"/>
            <w:vMerge w:val="restart"/>
            <w:tcBorders>
              <w:top w:val="single" w:sz="8" w:space="0" w:color="auto"/>
              <w:left w:val="single" w:sz="8" w:space="0" w:color="auto"/>
              <w:bottom w:val="single" w:sz="8" w:space="0" w:color="000000"/>
              <w:right w:val="single" w:sz="8" w:space="0" w:color="auto"/>
            </w:tcBorders>
            <w:shd w:val="clear" w:color="000000" w:fill="00B0F0"/>
            <w:noWrap/>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S355</w:t>
            </w:r>
          </w:p>
        </w:tc>
        <w:tc>
          <w:tcPr>
            <w:tcW w:w="3680" w:type="dxa"/>
            <w:tcBorders>
              <w:top w:val="nil"/>
              <w:left w:val="nil"/>
              <w:bottom w:val="single" w:sz="4" w:space="0" w:color="auto"/>
              <w:right w:val="nil"/>
            </w:tcBorders>
            <w:shd w:val="clear" w:color="000000" w:fill="FFFFFF"/>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High Carbon Ferro Manganese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100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0.1</w:t>
            </w:r>
          </w:p>
        </w:tc>
        <w:tc>
          <w:tcPr>
            <w:tcW w:w="1100" w:type="dxa"/>
            <w:tcBorders>
              <w:top w:val="nil"/>
              <w:left w:val="nil"/>
              <w:bottom w:val="single" w:sz="4" w:space="0" w:color="auto"/>
              <w:right w:val="single" w:sz="4" w:space="0" w:color="auto"/>
            </w:tcBorders>
            <w:shd w:val="clear" w:color="000000" w:fill="FFFF0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4.56</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w:t>
            </w:r>
            <w:r w:rsidR="0008118D">
              <w:rPr>
                <w:rFonts w:ascii="Arial" w:eastAsia="Times New Roman" w:hAnsi="Arial" w:cs="Arial"/>
                <w:sz w:val="20"/>
                <w:szCs w:val="20"/>
              </w:rPr>
              <w:t>,</w:t>
            </w:r>
            <w:r w:rsidRPr="00A229B8">
              <w:rPr>
                <w:rFonts w:ascii="Arial" w:eastAsia="Times New Roman" w:hAnsi="Arial" w:cs="Arial"/>
                <w:sz w:val="20"/>
                <w:szCs w:val="20"/>
              </w:rPr>
              <w:t>560</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456</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Medium Carbon Ferro Manganese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w:t>
            </w:r>
            <w:r w:rsidR="0008118D">
              <w:rPr>
                <w:rFonts w:ascii="Arial" w:eastAsia="Times New Roman" w:hAnsi="Arial" w:cs="Arial"/>
                <w:sz w:val="20"/>
                <w:szCs w:val="20"/>
              </w:rPr>
              <w:t>,</w:t>
            </w:r>
            <w:r w:rsidRPr="00A229B8">
              <w:rPr>
                <w:rFonts w:ascii="Arial" w:eastAsia="Times New Roman" w:hAnsi="Arial" w:cs="Arial"/>
                <w:sz w:val="20"/>
                <w:szCs w:val="20"/>
              </w:rPr>
              <w:t>700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1.7</w:t>
            </w:r>
          </w:p>
        </w:tc>
        <w:tc>
          <w:tcPr>
            <w:tcW w:w="1100" w:type="dxa"/>
            <w:tcBorders>
              <w:top w:val="nil"/>
              <w:left w:val="nil"/>
              <w:bottom w:val="single" w:sz="4" w:space="0" w:color="auto"/>
              <w:right w:val="single" w:sz="4" w:space="0" w:color="auto"/>
            </w:tcBorders>
            <w:shd w:val="clear" w:color="000000" w:fill="00B0F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6.33</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w:t>
            </w:r>
            <w:r w:rsidR="0008118D">
              <w:rPr>
                <w:rFonts w:ascii="Arial" w:eastAsia="Times New Roman" w:hAnsi="Arial" w:cs="Arial"/>
                <w:sz w:val="20"/>
                <w:szCs w:val="20"/>
              </w:rPr>
              <w:t>,</w:t>
            </w:r>
            <w:r w:rsidRPr="00A229B8">
              <w:rPr>
                <w:rFonts w:ascii="Arial" w:eastAsia="Times New Roman" w:hAnsi="Arial" w:cs="Arial"/>
                <w:sz w:val="20"/>
                <w:szCs w:val="20"/>
              </w:rPr>
              <w:t>335</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10</w:t>
            </w:r>
            <w:r w:rsidR="0008118D">
              <w:rPr>
                <w:rFonts w:ascii="Arial" w:eastAsia="Times New Roman" w:hAnsi="Arial" w:cs="Arial"/>
                <w:sz w:val="20"/>
                <w:szCs w:val="20"/>
              </w:rPr>
              <w:t>,</w:t>
            </w:r>
            <w:r w:rsidRPr="00A229B8">
              <w:rPr>
                <w:rFonts w:ascii="Arial" w:eastAsia="Times New Roman" w:hAnsi="Arial" w:cs="Arial"/>
                <w:sz w:val="20"/>
                <w:szCs w:val="20"/>
              </w:rPr>
              <w:t>769</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Ferro Niobium</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160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0.16</w:t>
            </w:r>
          </w:p>
        </w:tc>
        <w:tc>
          <w:tcPr>
            <w:tcW w:w="1100" w:type="dxa"/>
            <w:tcBorders>
              <w:top w:val="nil"/>
              <w:left w:val="nil"/>
              <w:bottom w:val="single" w:sz="4" w:space="0" w:color="auto"/>
              <w:right w:val="single" w:sz="4" w:space="0" w:color="auto"/>
            </w:tcBorders>
            <w:shd w:val="clear" w:color="000000" w:fill="FFFF0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4.83</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w:t>
            </w:r>
            <w:r w:rsidR="0008118D">
              <w:rPr>
                <w:rFonts w:ascii="Arial" w:eastAsia="Times New Roman" w:hAnsi="Arial" w:cs="Arial"/>
                <w:sz w:val="20"/>
                <w:szCs w:val="20"/>
              </w:rPr>
              <w:t>,</w:t>
            </w:r>
            <w:r w:rsidRPr="00A229B8">
              <w:rPr>
                <w:rFonts w:ascii="Arial" w:eastAsia="Times New Roman" w:hAnsi="Arial" w:cs="Arial"/>
                <w:sz w:val="20"/>
                <w:szCs w:val="20"/>
              </w:rPr>
              <w:t>833</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773</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 xml:space="preserve">Aluminium </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700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0.7</w:t>
            </w:r>
          </w:p>
        </w:tc>
        <w:tc>
          <w:tcPr>
            <w:tcW w:w="1100" w:type="dxa"/>
            <w:tcBorders>
              <w:top w:val="nil"/>
              <w:left w:val="nil"/>
              <w:bottom w:val="single" w:sz="4" w:space="0" w:color="auto"/>
              <w:right w:val="single" w:sz="4" w:space="0" w:color="auto"/>
            </w:tcBorders>
            <w:shd w:val="clear" w:color="000000" w:fill="DA9694"/>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9.06</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9</w:t>
            </w:r>
            <w:r w:rsidR="0008118D">
              <w:rPr>
                <w:rFonts w:ascii="Arial" w:eastAsia="Times New Roman" w:hAnsi="Arial" w:cs="Arial"/>
                <w:sz w:val="20"/>
                <w:szCs w:val="20"/>
              </w:rPr>
              <w:t>,</w:t>
            </w:r>
            <w:r w:rsidRPr="00A229B8">
              <w:rPr>
                <w:rFonts w:ascii="Arial" w:eastAsia="Times New Roman" w:hAnsi="Arial" w:cs="Arial"/>
                <w:sz w:val="20"/>
                <w:szCs w:val="20"/>
              </w:rPr>
              <w:t>060</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w:t>
            </w:r>
            <w:r w:rsidR="0008118D">
              <w:rPr>
                <w:rFonts w:ascii="Arial" w:eastAsia="Times New Roman" w:hAnsi="Arial" w:cs="Arial"/>
                <w:sz w:val="20"/>
                <w:szCs w:val="20"/>
              </w:rPr>
              <w:t>,</w:t>
            </w:r>
            <w:r w:rsidRPr="00A229B8">
              <w:rPr>
                <w:rFonts w:ascii="Arial" w:eastAsia="Times New Roman" w:hAnsi="Arial" w:cs="Arial"/>
                <w:sz w:val="20"/>
                <w:szCs w:val="20"/>
              </w:rPr>
              <w:t>342</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Medium Carbon Ferro Manganese Large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3</w:t>
            </w:r>
            <w:r w:rsidR="0008118D">
              <w:rPr>
                <w:rFonts w:ascii="Arial" w:eastAsia="Times New Roman" w:hAnsi="Arial" w:cs="Arial"/>
                <w:sz w:val="20"/>
                <w:szCs w:val="20"/>
              </w:rPr>
              <w:t>,</w:t>
            </w:r>
            <w:r w:rsidRPr="00A229B8">
              <w:rPr>
                <w:rFonts w:ascii="Arial" w:eastAsia="Times New Roman" w:hAnsi="Arial" w:cs="Arial"/>
                <w:sz w:val="20"/>
                <w:szCs w:val="20"/>
              </w:rPr>
              <w:t>000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3</w:t>
            </w:r>
          </w:p>
        </w:tc>
        <w:tc>
          <w:tcPr>
            <w:tcW w:w="1100" w:type="dxa"/>
            <w:tcBorders>
              <w:top w:val="nil"/>
              <w:left w:val="nil"/>
              <w:bottom w:val="single" w:sz="4" w:space="0" w:color="auto"/>
              <w:right w:val="single" w:sz="4" w:space="0" w:color="auto"/>
            </w:tcBorders>
            <w:shd w:val="clear" w:color="000000" w:fill="00B0F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6.33</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w:t>
            </w:r>
            <w:r w:rsidR="0008118D">
              <w:rPr>
                <w:rFonts w:ascii="Arial" w:eastAsia="Times New Roman" w:hAnsi="Arial" w:cs="Arial"/>
                <w:sz w:val="20"/>
                <w:szCs w:val="20"/>
              </w:rPr>
              <w:t>,</w:t>
            </w:r>
            <w:r w:rsidRPr="00A229B8">
              <w:rPr>
                <w:rFonts w:ascii="Arial" w:eastAsia="Times New Roman" w:hAnsi="Arial" w:cs="Arial"/>
                <w:sz w:val="20"/>
                <w:szCs w:val="20"/>
              </w:rPr>
              <w:t>335</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19</w:t>
            </w:r>
            <w:r w:rsidR="0008118D">
              <w:rPr>
                <w:rFonts w:ascii="Arial" w:eastAsia="Times New Roman" w:hAnsi="Arial" w:cs="Arial"/>
                <w:sz w:val="20"/>
                <w:szCs w:val="20"/>
              </w:rPr>
              <w:t>,</w:t>
            </w:r>
            <w:r w:rsidRPr="00A229B8">
              <w:rPr>
                <w:rFonts w:ascii="Arial" w:eastAsia="Times New Roman" w:hAnsi="Arial" w:cs="Arial"/>
                <w:sz w:val="20"/>
                <w:szCs w:val="20"/>
              </w:rPr>
              <w:t>004</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nil"/>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Mild Steel</w:t>
            </w:r>
          </w:p>
        </w:tc>
        <w:tc>
          <w:tcPr>
            <w:tcW w:w="1500" w:type="dxa"/>
            <w:tcBorders>
              <w:top w:val="nil"/>
              <w:left w:val="single" w:sz="4" w:space="0" w:color="auto"/>
              <w:bottom w:val="nil"/>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325,000</w:t>
            </w:r>
          </w:p>
        </w:tc>
        <w:tc>
          <w:tcPr>
            <w:tcW w:w="1500" w:type="dxa"/>
            <w:tcBorders>
              <w:top w:val="nil"/>
              <w:left w:val="nil"/>
              <w:bottom w:val="nil"/>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325</w:t>
            </w:r>
          </w:p>
        </w:tc>
        <w:tc>
          <w:tcPr>
            <w:tcW w:w="1100" w:type="dxa"/>
            <w:tcBorders>
              <w:top w:val="nil"/>
              <w:left w:val="nil"/>
              <w:bottom w:val="nil"/>
              <w:right w:val="single" w:sz="4" w:space="0" w:color="auto"/>
            </w:tcBorders>
            <w:shd w:val="clear" w:color="000000" w:fill="92D05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1.90</w:t>
            </w:r>
          </w:p>
        </w:tc>
        <w:tc>
          <w:tcPr>
            <w:tcW w:w="124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w:t>
            </w:r>
            <w:r w:rsidR="0008118D">
              <w:rPr>
                <w:rFonts w:ascii="Arial" w:eastAsia="Times New Roman" w:hAnsi="Arial" w:cs="Arial"/>
                <w:sz w:val="20"/>
                <w:szCs w:val="20"/>
              </w:rPr>
              <w:t>,</w:t>
            </w:r>
            <w:r w:rsidRPr="00A229B8">
              <w:rPr>
                <w:rFonts w:ascii="Arial" w:eastAsia="Times New Roman" w:hAnsi="Arial" w:cs="Arial"/>
                <w:sz w:val="20"/>
                <w:szCs w:val="20"/>
              </w:rPr>
              <w:t>900</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617</w:t>
            </w:r>
            <w:r w:rsidR="0008118D">
              <w:rPr>
                <w:rFonts w:ascii="Arial" w:eastAsia="Times New Roman" w:hAnsi="Arial" w:cs="Arial"/>
                <w:sz w:val="20"/>
                <w:szCs w:val="20"/>
              </w:rPr>
              <w:t>,</w:t>
            </w:r>
            <w:r w:rsidRPr="00A229B8">
              <w:rPr>
                <w:rFonts w:ascii="Arial" w:eastAsia="Times New Roman" w:hAnsi="Arial" w:cs="Arial"/>
                <w:sz w:val="20"/>
                <w:szCs w:val="20"/>
              </w:rPr>
              <w:t>500</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31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single" w:sz="8" w:space="0" w:color="auto"/>
              <w:left w:val="nil"/>
              <w:bottom w:val="single" w:sz="8" w:space="0" w:color="auto"/>
              <w:right w:val="nil"/>
            </w:tcBorders>
            <w:shd w:val="clear" w:color="auto" w:fill="auto"/>
            <w:noWrap/>
            <w:vAlign w:val="bottom"/>
            <w:hideMark/>
          </w:tcPr>
          <w:p w:rsidR="00A229B8" w:rsidRPr="00A229B8" w:rsidRDefault="00A229B8" w:rsidP="00A229B8">
            <w:pPr>
              <w:spacing w:after="0" w:line="240" w:lineRule="auto"/>
              <w:jc w:val="center"/>
              <w:rPr>
                <w:rFonts w:ascii="Calibri" w:eastAsia="Times New Roman" w:hAnsi="Calibri" w:cs="Arial"/>
                <w:b/>
                <w:bCs/>
                <w:color w:val="000000"/>
              </w:rPr>
            </w:pPr>
            <w:r w:rsidRPr="00A229B8">
              <w:rPr>
                <w:rFonts w:ascii="Calibri" w:eastAsia="Times New Roman" w:hAnsi="Calibri" w:cs="Arial"/>
                <w:b/>
                <w:bCs/>
                <w:color w:val="000000"/>
              </w:rPr>
              <w:t>Total</w:t>
            </w:r>
          </w:p>
        </w:tc>
        <w:tc>
          <w:tcPr>
            <w:tcW w:w="150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330</w:t>
            </w:r>
            <w:r w:rsidR="0008118D">
              <w:rPr>
                <w:rFonts w:ascii="Arial" w:eastAsia="Times New Roman" w:hAnsi="Arial" w:cs="Arial"/>
                <w:b/>
                <w:bCs/>
                <w:sz w:val="20"/>
                <w:szCs w:val="20"/>
              </w:rPr>
              <w:t>,</w:t>
            </w:r>
            <w:r w:rsidRPr="00A229B8">
              <w:rPr>
                <w:rFonts w:ascii="Arial" w:eastAsia="Times New Roman" w:hAnsi="Arial" w:cs="Arial"/>
                <w:b/>
                <w:bCs/>
                <w:sz w:val="20"/>
                <w:szCs w:val="20"/>
              </w:rPr>
              <w:t>660</w:t>
            </w:r>
          </w:p>
        </w:tc>
        <w:tc>
          <w:tcPr>
            <w:tcW w:w="150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330.66</w:t>
            </w:r>
          </w:p>
        </w:tc>
        <w:tc>
          <w:tcPr>
            <w:tcW w:w="110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right"/>
              <w:rPr>
                <w:rFonts w:ascii="Arial" w:eastAsia="Times New Roman" w:hAnsi="Arial" w:cs="Arial"/>
                <w:b/>
                <w:bCs/>
                <w:sz w:val="20"/>
                <w:szCs w:val="20"/>
              </w:rPr>
            </w:pPr>
            <w:r w:rsidRPr="00A229B8">
              <w:rPr>
                <w:rFonts w:ascii="Arial" w:eastAsia="Times New Roman" w:hAnsi="Arial" w:cs="Arial"/>
                <w:b/>
                <w:bCs/>
                <w:sz w:val="20"/>
                <w:szCs w:val="20"/>
              </w:rPr>
              <w:t> </w:t>
            </w:r>
          </w:p>
        </w:tc>
        <w:tc>
          <w:tcPr>
            <w:tcW w:w="124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 </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654</w:t>
            </w:r>
            <w:r w:rsidR="0008118D">
              <w:rPr>
                <w:rFonts w:ascii="Arial" w:eastAsia="Times New Roman" w:hAnsi="Arial" w:cs="Arial"/>
                <w:b/>
                <w:bCs/>
                <w:sz w:val="20"/>
                <w:szCs w:val="20"/>
              </w:rPr>
              <w:t>,</w:t>
            </w:r>
            <w:r w:rsidRPr="00A229B8">
              <w:rPr>
                <w:rFonts w:ascii="Arial" w:eastAsia="Times New Roman" w:hAnsi="Arial" w:cs="Arial"/>
                <w:b/>
                <w:bCs/>
                <w:sz w:val="20"/>
                <w:szCs w:val="20"/>
              </w:rPr>
              <w:t>845</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1980.42</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80.42</w:t>
            </w:r>
          </w:p>
        </w:tc>
        <w:tc>
          <w:tcPr>
            <w:tcW w:w="1120" w:type="dxa"/>
            <w:tcBorders>
              <w:top w:val="single" w:sz="8" w:space="0" w:color="auto"/>
              <w:left w:val="nil"/>
              <w:bottom w:val="single" w:sz="8" w:space="0" w:color="auto"/>
              <w:right w:val="single" w:sz="8"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0.080418</w:t>
            </w:r>
          </w:p>
        </w:tc>
      </w:tr>
    </w:tbl>
    <w:p w:rsidR="0008118D" w:rsidRDefault="0008118D" w:rsidP="00EC3CBF">
      <w:pPr>
        <w:rPr>
          <w:rFonts w:ascii="Times New Roman" w:eastAsia="Calibri" w:hAnsi="Times New Roman" w:cs="Times New Roman"/>
        </w:rPr>
        <w:sectPr w:rsidR="0008118D" w:rsidSect="00593B2F">
          <w:pgSz w:w="16838" w:h="11906" w:orient="landscape"/>
          <w:pgMar w:top="1440" w:right="1440" w:bottom="1440" w:left="1440" w:header="708" w:footer="708" w:gutter="0"/>
          <w:cols w:space="708"/>
          <w:titlePg/>
          <w:docGrid w:linePitch="360"/>
        </w:sectPr>
      </w:pPr>
    </w:p>
    <w:p w:rsidR="00AE7A4C" w:rsidRPr="00EC3CBF" w:rsidRDefault="00EC3CBF" w:rsidP="00EC3CBF">
      <w:pPr>
        <w:rPr>
          <w:rFonts w:ascii="Times New Roman" w:eastAsia="Calibri" w:hAnsi="Times New Roman" w:cs="Times New Roman"/>
        </w:rPr>
      </w:pPr>
      <w:bookmarkStart w:id="380" w:name="_Toc474486576"/>
      <w:bookmarkStart w:id="381" w:name="_Toc495852747"/>
      <w:r w:rsidRPr="00EC3CBF">
        <w:rPr>
          <w:rFonts w:ascii="Times New Roman" w:hAnsi="Times New Roman" w:cs="Times New Roman"/>
        </w:rPr>
        <w:lastRenderedPageBreak/>
        <w:t xml:space="preserve">Table </w:t>
      </w:r>
      <w:r w:rsidR="009A0ED7" w:rsidRPr="00EC3CBF">
        <w:rPr>
          <w:rFonts w:ascii="Times New Roman" w:hAnsi="Times New Roman" w:cs="Times New Roman"/>
        </w:rPr>
        <w:fldChar w:fldCharType="begin"/>
      </w:r>
      <w:r w:rsidRPr="00EC3CBF">
        <w:rPr>
          <w:rFonts w:ascii="Times New Roman" w:hAnsi="Times New Roman" w:cs="Times New Roman"/>
        </w:rPr>
        <w:instrText xml:space="preserve"> SEQ Table \* ARABIC </w:instrText>
      </w:r>
      <w:r w:rsidR="009A0ED7" w:rsidRPr="00EC3CBF">
        <w:rPr>
          <w:rFonts w:ascii="Times New Roman" w:hAnsi="Times New Roman" w:cs="Times New Roman"/>
        </w:rPr>
        <w:fldChar w:fldCharType="separate"/>
      </w:r>
      <w:r w:rsidR="009F5483">
        <w:rPr>
          <w:rFonts w:ascii="Times New Roman" w:hAnsi="Times New Roman" w:cs="Times New Roman"/>
          <w:noProof/>
        </w:rPr>
        <w:t>69</w:t>
      </w:r>
      <w:r w:rsidR="009A0ED7" w:rsidRPr="00EC3CBF">
        <w:rPr>
          <w:rFonts w:ascii="Times New Roman" w:hAnsi="Times New Roman" w:cs="Times New Roman"/>
        </w:rPr>
        <w:fldChar w:fldCharType="end"/>
      </w:r>
      <w:r w:rsidRPr="00EC3CBF">
        <w:rPr>
          <w:rFonts w:ascii="Times New Roman" w:hAnsi="Times New Roman" w:cs="Times New Roman"/>
        </w:rPr>
        <w:t xml:space="preserve">. </w:t>
      </w:r>
      <w:r w:rsidR="00AE7A4C" w:rsidRPr="00EC3CBF">
        <w:rPr>
          <w:rFonts w:ascii="Times New Roman" w:eastAsia="Calibri" w:hAnsi="Times New Roman" w:cs="Times New Roman"/>
        </w:rPr>
        <w:t>Breakdown of additional CO</w:t>
      </w:r>
      <w:r w:rsidR="00AE7A4C" w:rsidRPr="00EC3CBF">
        <w:rPr>
          <w:rFonts w:ascii="Times New Roman" w:eastAsia="Calibri" w:hAnsi="Times New Roman" w:cs="Times New Roman"/>
          <w:vertAlign w:val="subscript"/>
        </w:rPr>
        <w:t>2</w:t>
      </w:r>
      <w:r w:rsidR="00AE7A4C" w:rsidRPr="00EC3CBF">
        <w:rPr>
          <w:rFonts w:ascii="Times New Roman" w:eastAsia="Calibri" w:hAnsi="Times New Roman" w:cs="Times New Roman"/>
        </w:rPr>
        <w:t xml:space="preserve"> impact due to alloying additions (kgCO</w:t>
      </w:r>
      <w:r w:rsidR="00AE7A4C" w:rsidRPr="00EC3CBF">
        <w:rPr>
          <w:rFonts w:ascii="Times New Roman" w:eastAsia="Calibri" w:hAnsi="Times New Roman" w:cs="Times New Roman"/>
          <w:vertAlign w:val="subscript"/>
        </w:rPr>
        <w:t>2</w:t>
      </w:r>
      <w:r w:rsidR="00AE7A4C" w:rsidRPr="00EC3CBF">
        <w:rPr>
          <w:rFonts w:ascii="Times New Roman" w:eastAsia="Calibri" w:hAnsi="Times New Roman" w:cs="Times New Roman"/>
        </w:rPr>
        <w:t>/kg) for XF400 steel grade.</w:t>
      </w:r>
      <w:bookmarkEnd w:id="380"/>
      <w:bookmarkEnd w:id="381"/>
    </w:p>
    <w:tbl>
      <w:tblPr>
        <w:tblW w:w="14460" w:type="dxa"/>
        <w:tblLook w:val="04A0" w:firstRow="1" w:lastRow="0" w:firstColumn="1" w:lastColumn="0" w:noHBand="0" w:noVBand="1"/>
      </w:tblPr>
      <w:tblGrid>
        <w:gridCol w:w="960"/>
        <w:gridCol w:w="3680"/>
        <w:gridCol w:w="1500"/>
        <w:gridCol w:w="1500"/>
        <w:gridCol w:w="1244"/>
        <w:gridCol w:w="1240"/>
        <w:gridCol w:w="1120"/>
        <w:gridCol w:w="1120"/>
        <w:gridCol w:w="1194"/>
        <w:gridCol w:w="1194"/>
      </w:tblGrid>
      <w:tr w:rsidR="00A229B8" w:rsidRPr="00A229B8" w:rsidTr="00A229B8">
        <w:trPr>
          <w:trHeight w:val="1035"/>
        </w:trPr>
        <w:tc>
          <w:tcPr>
            <w:tcW w:w="960" w:type="dxa"/>
            <w:tcBorders>
              <w:top w:val="single" w:sz="4" w:space="0" w:color="auto"/>
              <w:left w:val="single" w:sz="4" w:space="0" w:color="auto"/>
              <w:bottom w:val="nil"/>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Grade</w:t>
            </w:r>
          </w:p>
        </w:tc>
        <w:tc>
          <w:tcPr>
            <w:tcW w:w="368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Alloying Addition</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Amount Added for Boron Cast (kg)</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Amount Added for Boron Cast (t)</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Emission Factor (kgCO</w:t>
            </w:r>
            <w:r w:rsidRPr="00A229B8">
              <w:rPr>
                <w:rFonts w:ascii="Arial" w:eastAsia="Times New Roman" w:hAnsi="Arial" w:cs="Arial"/>
                <w:b/>
                <w:bCs/>
                <w:sz w:val="20"/>
                <w:szCs w:val="20"/>
                <w:vertAlign w:val="subscript"/>
              </w:rPr>
              <w:t>2</w:t>
            </w:r>
            <w:r w:rsidRPr="00A229B8">
              <w:rPr>
                <w:rFonts w:ascii="Arial" w:eastAsia="Times New Roman" w:hAnsi="Arial" w:cs="Arial"/>
                <w:b/>
                <w:bCs/>
                <w:sz w:val="20"/>
                <w:szCs w:val="20"/>
              </w:rPr>
              <w:t>/kg)</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Emission Factor (kgCO</w:t>
            </w:r>
            <w:r w:rsidRPr="00A229B8">
              <w:rPr>
                <w:rFonts w:ascii="Arial" w:eastAsia="Times New Roman" w:hAnsi="Arial" w:cs="Arial"/>
                <w:b/>
                <w:bCs/>
                <w:sz w:val="20"/>
                <w:szCs w:val="20"/>
                <w:vertAlign w:val="subscript"/>
              </w:rPr>
              <w:t>2</w:t>
            </w:r>
            <w:r w:rsidRPr="00A229B8">
              <w:rPr>
                <w:rFonts w:ascii="Arial" w:eastAsia="Times New Roman" w:hAnsi="Arial" w:cs="Arial"/>
                <w:b/>
                <w:bCs/>
                <w:sz w:val="20"/>
                <w:szCs w:val="20"/>
              </w:rPr>
              <w:t>/t)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CO</w:t>
            </w:r>
            <w:r w:rsidRPr="00A229B8">
              <w:rPr>
                <w:rFonts w:ascii="Arial" w:eastAsia="Times New Roman" w:hAnsi="Arial" w:cs="Arial"/>
                <w:b/>
                <w:bCs/>
                <w:sz w:val="20"/>
                <w:szCs w:val="20"/>
                <w:vertAlign w:val="subscript"/>
              </w:rPr>
              <w:t>2</w:t>
            </w:r>
            <w:r w:rsidRPr="00A229B8">
              <w:rPr>
                <w:rFonts w:ascii="Arial" w:eastAsia="Times New Roman" w:hAnsi="Arial" w:cs="Arial"/>
                <w:b/>
                <w:bCs/>
                <w:sz w:val="20"/>
                <w:szCs w:val="20"/>
              </w:rPr>
              <w:t xml:space="preserve"> for this cast</w:t>
            </w:r>
          </w:p>
          <w:p w:rsidR="007678D9" w:rsidRPr="00A229B8" w:rsidRDefault="007678D9" w:rsidP="00A229B8">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(kgCO</w:t>
            </w:r>
            <w:r w:rsidRPr="00EC3CBF">
              <w:rPr>
                <w:rFonts w:ascii="Arial" w:eastAsia="Times New Roman" w:hAnsi="Arial" w:cs="Arial"/>
                <w:b/>
                <w:bCs/>
                <w:sz w:val="20"/>
                <w:szCs w:val="20"/>
                <w:vertAlign w:val="subscript"/>
              </w:rPr>
              <w:t>2</w:t>
            </w:r>
            <w:r>
              <w:rPr>
                <w:rFonts w:ascii="Arial" w:eastAsia="Times New Roman" w:hAnsi="Arial" w:cs="Arial"/>
                <w:b/>
                <w:bCs/>
                <w:sz w:val="20"/>
                <w:szCs w:val="20"/>
              </w:rPr>
              <w: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Total impact per 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Additional impact per 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Additional impact per kg</w:t>
            </w:r>
          </w:p>
        </w:tc>
      </w:tr>
      <w:tr w:rsidR="00A229B8" w:rsidRPr="00A229B8" w:rsidTr="00A229B8">
        <w:trPr>
          <w:trHeight w:val="255"/>
        </w:trPr>
        <w:tc>
          <w:tcPr>
            <w:tcW w:w="960" w:type="dxa"/>
            <w:vMerge w:val="restart"/>
            <w:tcBorders>
              <w:top w:val="single" w:sz="8" w:space="0" w:color="auto"/>
              <w:left w:val="single" w:sz="8" w:space="0" w:color="auto"/>
              <w:bottom w:val="single" w:sz="8" w:space="0" w:color="000000"/>
              <w:right w:val="single" w:sz="8" w:space="0" w:color="auto"/>
            </w:tcBorders>
            <w:shd w:val="clear" w:color="000000" w:fill="00B0F0"/>
            <w:noWrap/>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XF400</w:t>
            </w:r>
          </w:p>
        </w:tc>
        <w:tc>
          <w:tcPr>
            <w:tcW w:w="3680" w:type="dxa"/>
            <w:tcBorders>
              <w:top w:val="nil"/>
              <w:left w:val="nil"/>
              <w:bottom w:val="single" w:sz="4" w:space="0" w:color="auto"/>
              <w:right w:val="nil"/>
            </w:tcBorders>
            <w:shd w:val="clear" w:color="000000" w:fill="FFFFFF"/>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High Carbon Ferro Manganese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50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0.05</w:t>
            </w:r>
          </w:p>
        </w:tc>
        <w:tc>
          <w:tcPr>
            <w:tcW w:w="1100" w:type="dxa"/>
            <w:tcBorders>
              <w:top w:val="nil"/>
              <w:left w:val="nil"/>
              <w:bottom w:val="single" w:sz="4" w:space="0" w:color="auto"/>
              <w:right w:val="single" w:sz="4" w:space="0" w:color="auto"/>
            </w:tcBorders>
            <w:shd w:val="clear" w:color="000000" w:fill="FFFF0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4.56</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w:t>
            </w:r>
            <w:r w:rsidR="0008118D">
              <w:rPr>
                <w:rFonts w:ascii="Arial" w:eastAsia="Times New Roman" w:hAnsi="Arial" w:cs="Arial"/>
                <w:sz w:val="20"/>
                <w:szCs w:val="20"/>
              </w:rPr>
              <w:t>,</w:t>
            </w:r>
            <w:r w:rsidRPr="00A229B8">
              <w:rPr>
                <w:rFonts w:ascii="Arial" w:eastAsia="Times New Roman" w:hAnsi="Arial" w:cs="Arial"/>
                <w:sz w:val="20"/>
                <w:szCs w:val="20"/>
              </w:rPr>
              <w:t>560</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228</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Medium Carbon Ferro Manganese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675</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0.675</w:t>
            </w:r>
          </w:p>
        </w:tc>
        <w:tc>
          <w:tcPr>
            <w:tcW w:w="1100" w:type="dxa"/>
            <w:tcBorders>
              <w:top w:val="nil"/>
              <w:left w:val="nil"/>
              <w:bottom w:val="single" w:sz="4" w:space="0" w:color="auto"/>
              <w:right w:val="single" w:sz="4" w:space="0" w:color="auto"/>
            </w:tcBorders>
            <w:shd w:val="clear" w:color="000000" w:fill="00B0F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6.33</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w:t>
            </w:r>
            <w:r w:rsidR="0008118D">
              <w:rPr>
                <w:rFonts w:ascii="Arial" w:eastAsia="Times New Roman" w:hAnsi="Arial" w:cs="Arial"/>
                <w:sz w:val="20"/>
                <w:szCs w:val="20"/>
              </w:rPr>
              <w:t>,</w:t>
            </w:r>
            <w:r w:rsidRPr="00A229B8">
              <w:rPr>
                <w:rFonts w:ascii="Arial" w:eastAsia="Times New Roman" w:hAnsi="Arial" w:cs="Arial"/>
                <w:sz w:val="20"/>
                <w:szCs w:val="20"/>
              </w:rPr>
              <w:t>335</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w:t>
            </w:r>
            <w:r w:rsidR="0008118D">
              <w:rPr>
                <w:rFonts w:ascii="Arial" w:eastAsia="Times New Roman" w:hAnsi="Arial" w:cs="Arial"/>
                <w:sz w:val="20"/>
                <w:szCs w:val="20"/>
              </w:rPr>
              <w:t>,</w:t>
            </w:r>
            <w:r w:rsidRPr="00A229B8">
              <w:rPr>
                <w:rFonts w:ascii="Arial" w:eastAsia="Times New Roman" w:hAnsi="Arial" w:cs="Arial"/>
                <w:sz w:val="20"/>
                <w:szCs w:val="20"/>
              </w:rPr>
              <w:t>276</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Ferro Niobium</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150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0.15</w:t>
            </w:r>
          </w:p>
        </w:tc>
        <w:tc>
          <w:tcPr>
            <w:tcW w:w="1100" w:type="dxa"/>
            <w:tcBorders>
              <w:top w:val="nil"/>
              <w:left w:val="nil"/>
              <w:bottom w:val="single" w:sz="4" w:space="0" w:color="auto"/>
              <w:right w:val="single" w:sz="4" w:space="0" w:color="auto"/>
            </w:tcBorders>
            <w:shd w:val="clear" w:color="000000" w:fill="FFFF0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4.83</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w:t>
            </w:r>
            <w:r w:rsidR="0008118D">
              <w:rPr>
                <w:rFonts w:ascii="Arial" w:eastAsia="Times New Roman" w:hAnsi="Arial" w:cs="Arial"/>
                <w:sz w:val="20"/>
                <w:szCs w:val="20"/>
              </w:rPr>
              <w:t>,</w:t>
            </w:r>
            <w:r w:rsidRPr="00A229B8">
              <w:rPr>
                <w:rFonts w:ascii="Arial" w:eastAsia="Times New Roman" w:hAnsi="Arial" w:cs="Arial"/>
                <w:sz w:val="20"/>
                <w:szCs w:val="20"/>
              </w:rPr>
              <w:t>833</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725</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Calcium-Silicate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700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0.7</w:t>
            </w:r>
          </w:p>
        </w:tc>
        <w:tc>
          <w:tcPr>
            <w:tcW w:w="1100" w:type="dxa"/>
            <w:tcBorders>
              <w:top w:val="nil"/>
              <w:left w:val="nil"/>
              <w:bottom w:val="single" w:sz="4" w:space="0" w:color="auto"/>
              <w:right w:val="single" w:sz="4" w:space="0" w:color="auto"/>
            </w:tcBorders>
            <w:shd w:val="clear" w:color="000000" w:fill="DA9694"/>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0.14</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144</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101</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 xml:space="preserve">Aluminium </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600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0.6</w:t>
            </w:r>
          </w:p>
        </w:tc>
        <w:tc>
          <w:tcPr>
            <w:tcW w:w="1100" w:type="dxa"/>
            <w:tcBorders>
              <w:top w:val="nil"/>
              <w:left w:val="nil"/>
              <w:bottom w:val="single" w:sz="4" w:space="0" w:color="auto"/>
              <w:right w:val="single" w:sz="4" w:space="0" w:color="auto"/>
            </w:tcBorders>
            <w:shd w:val="clear" w:color="000000" w:fill="DA9694"/>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9.06</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9</w:t>
            </w:r>
            <w:r w:rsidR="0008118D">
              <w:rPr>
                <w:rFonts w:ascii="Arial" w:eastAsia="Times New Roman" w:hAnsi="Arial" w:cs="Arial"/>
                <w:sz w:val="20"/>
                <w:szCs w:val="20"/>
              </w:rPr>
              <w:t>,</w:t>
            </w:r>
            <w:r w:rsidRPr="00A229B8">
              <w:rPr>
                <w:rFonts w:ascii="Arial" w:eastAsia="Times New Roman" w:hAnsi="Arial" w:cs="Arial"/>
                <w:sz w:val="20"/>
                <w:szCs w:val="20"/>
              </w:rPr>
              <w:t>060</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5</w:t>
            </w:r>
            <w:r w:rsidR="0008118D">
              <w:rPr>
                <w:rFonts w:ascii="Arial" w:eastAsia="Times New Roman" w:hAnsi="Arial" w:cs="Arial"/>
                <w:sz w:val="20"/>
                <w:szCs w:val="20"/>
              </w:rPr>
              <w:t>,</w:t>
            </w:r>
            <w:r w:rsidRPr="00A229B8">
              <w:rPr>
                <w:rFonts w:ascii="Arial" w:eastAsia="Times New Roman" w:hAnsi="Arial" w:cs="Arial"/>
                <w:sz w:val="20"/>
                <w:szCs w:val="20"/>
              </w:rPr>
              <w:t>436</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Medium Carbon Ferro Manganese Large</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2</w:t>
            </w:r>
            <w:r w:rsidR="0008118D">
              <w:rPr>
                <w:rFonts w:ascii="Arial" w:eastAsia="Times New Roman" w:hAnsi="Arial" w:cs="Arial"/>
                <w:sz w:val="20"/>
                <w:szCs w:val="20"/>
              </w:rPr>
              <w:t>,</w:t>
            </w:r>
            <w:r w:rsidRPr="00A229B8">
              <w:rPr>
                <w:rFonts w:ascii="Arial" w:eastAsia="Times New Roman" w:hAnsi="Arial" w:cs="Arial"/>
                <w:sz w:val="20"/>
                <w:szCs w:val="20"/>
              </w:rPr>
              <w:t>000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2</w:t>
            </w:r>
          </w:p>
        </w:tc>
        <w:tc>
          <w:tcPr>
            <w:tcW w:w="1100" w:type="dxa"/>
            <w:tcBorders>
              <w:top w:val="nil"/>
              <w:left w:val="nil"/>
              <w:bottom w:val="single" w:sz="4" w:space="0" w:color="auto"/>
              <w:right w:val="single" w:sz="4" w:space="0" w:color="auto"/>
            </w:tcBorders>
            <w:shd w:val="clear" w:color="000000" w:fill="00B0F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6.33</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w:t>
            </w:r>
            <w:r w:rsidR="0008118D">
              <w:rPr>
                <w:rFonts w:ascii="Arial" w:eastAsia="Times New Roman" w:hAnsi="Arial" w:cs="Arial"/>
                <w:sz w:val="20"/>
                <w:szCs w:val="20"/>
              </w:rPr>
              <w:t>,</w:t>
            </w:r>
            <w:r w:rsidRPr="00A229B8">
              <w:rPr>
                <w:rFonts w:ascii="Arial" w:eastAsia="Times New Roman" w:hAnsi="Arial" w:cs="Arial"/>
                <w:sz w:val="20"/>
                <w:szCs w:val="20"/>
              </w:rPr>
              <w:t>335</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12</w:t>
            </w:r>
            <w:r w:rsidR="0008118D">
              <w:rPr>
                <w:rFonts w:ascii="Arial" w:eastAsia="Times New Roman" w:hAnsi="Arial" w:cs="Arial"/>
                <w:sz w:val="20"/>
                <w:szCs w:val="20"/>
              </w:rPr>
              <w:t>,</w:t>
            </w:r>
            <w:r w:rsidRPr="00A229B8">
              <w:rPr>
                <w:rFonts w:ascii="Arial" w:eastAsia="Times New Roman" w:hAnsi="Arial" w:cs="Arial"/>
                <w:sz w:val="20"/>
                <w:szCs w:val="20"/>
              </w:rPr>
              <w:t>670</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nil"/>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Mild Steel</w:t>
            </w:r>
          </w:p>
        </w:tc>
        <w:tc>
          <w:tcPr>
            <w:tcW w:w="1500" w:type="dxa"/>
            <w:tcBorders>
              <w:top w:val="nil"/>
              <w:left w:val="single" w:sz="4" w:space="0" w:color="auto"/>
              <w:bottom w:val="nil"/>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325,000</w:t>
            </w:r>
          </w:p>
        </w:tc>
        <w:tc>
          <w:tcPr>
            <w:tcW w:w="1500" w:type="dxa"/>
            <w:tcBorders>
              <w:top w:val="nil"/>
              <w:left w:val="nil"/>
              <w:bottom w:val="nil"/>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325</w:t>
            </w:r>
          </w:p>
        </w:tc>
        <w:tc>
          <w:tcPr>
            <w:tcW w:w="1100" w:type="dxa"/>
            <w:tcBorders>
              <w:top w:val="nil"/>
              <w:left w:val="nil"/>
              <w:bottom w:val="nil"/>
              <w:right w:val="single" w:sz="4" w:space="0" w:color="auto"/>
            </w:tcBorders>
            <w:shd w:val="clear" w:color="000000" w:fill="92D05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1.90</w:t>
            </w:r>
          </w:p>
        </w:tc>
        <w:tc>
          <w:tcPr>
            <w:tcW w:w="124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w:t>
            </w:r>
            <w:r w:rsidR="0008118D">
              <w:rPr>
                <w:rFonts w:ascii="Arial" w:eastAsia="Times New Roman" w:hAnsi="Arial" w:cs="Arial"/>
                <w:sz w:val="20"/>
                <w:szCs w:val="20"/>
              </w:rPr>
              <w:t>,</w:t>
            </w:r>
            <w:r w:rsidRPr="00A229B8">
              <w:rPr>
                <w:rFonts w:ascii="Arial" w:eastAsia="Times New Roman" w:hAnsi="Arial" w:cs="Arial"/>
                <w:sz w:val="20"/>
                <w:szCs w:val="20"/>
              </w:rPr>
              <w:t>900</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617</w:t>
            </w:r>
            <w:r w:rsidR="0008118D">
              <w:rPr>
                <w:rFonts w:ascii="Arial" w:eastAsia="Times New Roman" w:hAnsi="Arial" w:cs="Arial"/>
                <w:sz w:val="20"/>
                <w:szCs w:val="20"/>
              </w:rPr>
              <w:t>,</w:t>
            </w:r>
            <w:r w:rsidRPr="00A229B8">
              <w:rPr>
                <w:rFonts w:ascii="Arial" w:eastAsia="Times New Roman" w:hAnsi="Arial" w:cs="Arial"/>
                <w:sz w:val="20"/>
                <w:szCs w:val="20"/>
              </w:rPr>
              <w:t>500</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31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single" w:sz="8" w:space="0" w:color="auto"/>
              <w:left w:val="nil"/>
              <w:bottom w:val="single" w:sz="8" w:space="0" w:color="auto"/>
              <w:right w:val="nil"/>
            </w:tcBorders>
            <w:shd w:val="clear" w:color="auto" w:fill="auto"/>
            <w:noWrap/>
            <w:vAlign w:val="bottom"/>
            <w:hideMark/>
          </w:tcPr>
          <w:p w:rsidR="00A229B8" w:rsidRPr="00A229B8" w:rsidRDefault="00A229B8" w:rsidP="00A229B8">
            <w:pPr>
              <w:spacing w:after="0" w:line="240" w:lineRule="auto"/>
              <w:jc w:val="center"/>
              <w:rPr>
                <w:rFonts w:ascii="Calibri" w:eastAsia="Times New Roman" w:hAnsi="Calibri" w:cs="Arial"/>
                <w:b/>
                <w:bCs/>
                <w:color w:val="000000"/>
              </w:rPr>
            </w:pPr>
            <w:r w:rsidRPr="00A229B8">
              <w:rPr>
                <w:rFonts w:ascii="Calibri" w:eastAsia="Times New Roman" w:hAnsi="Calibri" w:cs="Arial"/>
                <w:b/>
                <w:bCs/>
                <w:color w:val="000000"/>
              </w:rPr>
              <w:t>Total</w:t>
            </w:r>
          </w:p>
        </w:tc>
        <w:tc>
          <w:tcPr>
            <w:tcW w:w="150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329</w:t>
            </w:r>
            <w:r w:rsidR="0008118D">
              <w:rPr>
                <w:rFonts w:ascii="Arial" w:eastAsia="Times New Roman" w:hAnsi="Arial" w:cs="Arial"/>
                <w:b/>
                <w:bCs/>
                <w:sz w:val="20"/>
                <w:szCs w:val="20"/>
              </w:rPr>
              <w:t>,</w:t>
            </w:r>
            <w:r w:rsidRPr="00A229B8">
              <w:rPr>
                <w:rFonts w:ascii="Arial" w:eastAsia="Times New Roman" w:hAnsi="Arial" w:cs="Arial"/>
                <w:b/>
                <w:bCs/>
                <w:sz w:val="20"/>
                <w:szCs w:val="20"/>
              </w:rPr>
              <w:t>175</w:t>
            </w:r>
          </w:p>
        </w:tc>
        <w:tc>
          <w:tcPr>
            <w:tcW w:w="150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329.175</w:t>
            </w:r>
          </w:p>
        </w:tc>
        <w:tc>
          <w:tcPr>
            <w:tcW w:w="110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right"/>
              <w:rPr>
                <w:rFonts w:ascii="Arial" w:eastAsia="Times New Roman" w:hAnsi="Arial" w:cs="Arial"/>
                <w:b/>
                <w:bCs/>
                <w:sz w:val="20"/>
                <w:szCs w:val="20"/>
              </w:rPr>
            </w:pPr>
            <w:r w:rsidRPr="00A229B8">
              <w:rPr>
                <w:rFonts w:ascii="Arial" w:eastAsia="Times New Roman" w:hAnsi="Arial" w:cs="Arial"/>
                <w:b/>
                <w:bCs/>
                <w:sz w:val="20"/>
                <w:szCs w:val="20"/>
              </w:rPr>
              <w:t> </w:t>
            </w:r>
          </w:p>
        </w:tc>
        <w:tc>
          <w:tcPr>
            <w:tcW w:w="124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 </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640</w:t>
            </w:r>
            <w:r w:rsidR="0008118D">
              <w:rPr>
                <w:rFonts w:ascii="Arial" w:eastAsia="Times New Roman" w:hAnsi="Arial" w:cs="Arial"/>
                <w:b/>
                <w:bCs/>
                <w:sz w:val="20"/>
                <w:szCs w:val="20"/>
              </w:rPr>
              <w:t>,</w:t>
            </w:r>
            <w:r w:rsidRPr="00A229B8">
              <w:rPr>
                <w:rFonts w:ascii="Arial" w:eastAsia="Times New Roman" w:hAnsi="Arial" w:cs="Arial"/>
                <w:b/>
                <w:bCs/>
                <w:sz w:val="20"/>
                <w:szCs w:val="20"/>
              </w:rPr>
              <w:t>935</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1947.10</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47.10</w:t>
            </w:r>
          </w:p>
        </w:tc>
        <w:tc>
          <w:tcPr>
            <w:tcW w:w="1120" w:type="dxa"/>
            <w:tcBorders>
              <w:top w:val="single" w:sz="8" w:space="0" w:color="auto"/>
              <w:left w:val="nil"/>
              <w:bottom w:val="single" w:sz="8" w:space="0" w:color="auto"/>
              <w:right w:val="single" w:sz="8"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0.047096</w:t>
            </w:r>
          </w:p>
        </w:tc>
      </w:tr>
    </w:tbl>
    <w:p w:rsidR="00AE7A4C" w:rsidRPr="00EC3CBF" w:rsidRDefault="00AE7A4C" w:rsidP="00EC3CBF">
      <w:pPr>
        <w:rPr>
          <w:rFonts w:ascii="Times New Roman" w:eastAsia="Calibri" w:hAnsi="Times New Roman" w:cs="Times New Roman"/>
        </w:rPr>
      </w:pPr>
    </w:p>
    <w:p w:rsidR="00AE7A4C" w:rsidRPr="00EC3CBF" w:rsidRDefault="00EC3CBF" w:rsidP="00EC3CBF">
      <w:pPr>
        <w:rPr>
          <w:rFonts w:ascii="Times New Roman" w:eastAsia="Calibri" w:hAnsi="Times New Roman" w:cs="Times New Roman"/>
        </w:rPr>
      </w:pPr>
      <w:bookmarkStart w:id="382" w:name="_Toc474486577"/>
      <w:bookmarkStart w:id="383" w:name="_Toc495852748"/>
      <w:r w:rsidRPr="00EC3CBF">
        <w:rPr>
          <w:rFonts w:ascii="Times New Roman" w:hAnsi="Times New Roman" w:cs="Times New Roman"/>
        </w:rPr>
        <w:t xml:space="preserve">Table </w:t>
      </w:r>
      <w:r w:rsidR="009A0ED7" w:rsidRPr="00EC3CBF">
        <w:rPr>
          <w:rFonts w:ascii="Times New Roman" w:hAnsi="Times New Roman" w:cs="Times New Roman"/>
        </w:rPr>
        <w:fldChar w:fldCharType="begin"/>
      </w:r>
      <w:r w:rsidRPr="00EC3CBF">
        <w:rPr>
          <w:rFonts w:ascii="Times New Roman" w:hAnsi="Times New Roman" w:cs="Times New Roman"/>
        </w:rPr>
        <w:instrText xml:space="preserve"> SEQ Table \* ARABIC </w:instrText>
      </w:r>
      <w:r w:rsidR="009A0ED7" w:rsidRPr="00EC3CBF">
        <w:rPr>
          <w:rFonts w:ascii="Times New Roman" w:hAnsi="Times New Roman" w:cs="Times New Roman"/>
        </w:rPr>
        <w:fldChar w:fldCharType="separate"/>
      </w:r>
      <w:r w:rsidR="009F5483">
        <w:rPr>
          <w:rFonts w:ascii="Times New Roman" w:hAnsi="Times New Roman" w:cs="Times New Roman"/>
          <w:noProof/>
        </w:rPr>
        <w:t>70</w:t>
      </w:r>
      <w:r w:rsidR="009A0ED7" w:rsidRPr="00EC3CBF">
        <w:rPr>
          <w:rFonts w:ascii="Times New Roman" w:hAnsi="Times New Roman" w:cs="Times New Roman"/>
        </w:rPr>
        <w:fldChar w:fldCharType="end"/>
      </w:r>
      <w:r w:rsidRPr="00EC3CBF">
        <w:rPr>
          <w:rFonts w:ascii="Times New Roman" w:hAnsi="Times New Roman" w:cs="Times New Roman"/>
        </w:rPr>
        <w:t xml:space="preserve">. </w:t>
      </w:r>
      <w:r w:rsidR="00AE7A4C" w:rsidRPr="00EC3CBF">
        <w:rPr>
          <w:rFonts w:ascii="Times New Roman" w:eastAsia="Calibri" w:hAnsi="Times New Roman" w:cs="Times New Roman"/>
        </w:rPr>
        <w:t>Breakdown of additional CO</w:t>
      </w:r>
      <w:r w:rsidR="00AE7A4C" w:rsidRPr="00EC3CBF">
        <w:rPr>
          <w:rFonts w:ascii="Times New Roman" w:eastAsia="Calibri" w:hAnsi="Times New Roman" w:cs="Times New Roman"/>
          <w:vertAlign w:val="subscript"/>
        </w:rPr>
        <w:t>2</w:t>
      </w:r>
      <w:r w:rsidR="00AE7A4C" w:rsidRPr="00EC3CBF">
        <w:rPr>
          <w:rFonts w:ascii="Times New Roman" w:eastAsia="Calibri" w:hAnsi="Times New Roman" w:cs="Times New Roman"/>
        </w:rPr>
        <w:t xml:space="preserve"> impact due to alloying additions (kgCO</w:t>
      </w:r>
      <w:r w:rsidR="00AE7A4C" w:rsidRPr="00EC3CBF">
        <w:rPr>
          <w:rFonts w:ascii="Times New Roman" w:eastAsia="Calibri" w:hAnsi="Times New Roman" w:cs="Times New Roman"/>
          <w:vertAlign w:val="subscript"/>
        </w:rPr>
        <w:t>2</w:t>
      </w:r>
      <w:r w:rsidR="00AE7A4C" w:rsidRPr="00EC3CBF">
        <w:rPr>
          <w:rFonts w:ascii="Times New Roman" w:eastAsia="Calibri" w:hAnsi="Times New Roman" w:cs="Times New Roman"/>
        </w:rPr>
        <w:t>/kg) for IF steel grade.</w:t>
      </w:r>
      <w:bookmarkEnd w:id="382"/>
      <w:bookmarkEnd w:id="383"/>
    </w:p>
    <w:tbl>
      <w:tblPr>
        <w:tblW w:w="14460" w:type="dxa"/>
        <w:tblLook w:val="04A0" w:firstRow="1" w:lastRow="0" w:firstColumn="1" w:lastColumn="0" w:noHBand="0" w:noVBand="1"/>
      </w:tblPr>
      <w:tblGrid>
        <w:gridCol w:w="960"/>
        <w:gridCol w:w="3680"/>
        <w:gridCol w:w="1500"/>
        <w:gridCol w:w="1500"/>
        <w:gridCol w:w="1244"/>
        <w:gridCol w:w="1240"/>
        <w:gridCol w:w="1120"/>
        <w:gridCol w:w="1120"/>
        <w:gridCol w:w="1194"/>
        <w:gridCol w:w="1194"/>
      </w:tblGrid>
      <w:tr w:rsidR="00A229B8" w:rsidRPr="00A229B8" w:rsidTr="00A229B8">
        <w:trPr>
          <w:trHeight w:val="1035"/>
        </w:trPr>
        <w:tc>
          <w:tcPr>
            <w:tcW w:w="960" w:type="dxa"/>
            <w:tcBorders>
              <w:top w:val="single" w:sz="4" w:space="0" w:color="auto"/>
              <w:left w:val="single" w:sz="4" w:space="0" w:color="auto"/>
              <w:bottom w:val="nil"/>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Grade</w:t>
            </w:r>
          </w:p>
        </w:tc>
        <w:tc>
          <w:tcPr>
            <w:tcW w:w="368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Alloying Addition</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Amount Added for Boron Cast (kg)</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Amount Added for Boron Cast (t)</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Emission Factor (kgCO</w:t>
            </w:r>
            <w:r w:rsidRPr="00A229B8">
              <w:rPr>
                <w:rFonts w:ascii="Arial" w:eastAsia="Times New Roman" w:hAnsi="Arial" w:cs="Arial"/>
                <w:b/>
                <w:bCs/>
                <w:sz w:val="20"/>
                <w:szCs w:val="20"/>
                <w:vertAlign w:val="subscript"/>
              </w:rPr>
              <w:t>2</w:t>
            </w:r>
            <w:r w:rsidRPr="00A229B8">
              <w:rPr>
                <w:rFonts w:ascii="Arial" w:eastAsia="Times New Roman" w:hAnsi="Arial" w:cs="Arial"/>
                <w:b/>
                <w:bCs/>
                <w:sz w:val="20"/>
                <w:szCs w:val="20"/>
              </w:rPr>
              <w:t>/kg)</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Emission Factor (kgCO</w:t>
            </w:r>
            <w:r w:rsidRPr="00A229B8">
              <w:rPr>
                <w:rFonts w:ascii="Arial" w:eastAsia="Times New Roman" w:hAnsi="Arial" w:cs="Arial"/>
                <w:b/>
                <w:bCs/>
                <w:sz w:val="20"/>
                <w:szCs w:val="20"/>
                <w:vertAlign w:val="subscript"/>
              </w:rPr>
              <w:t>2</w:t>
            </w:r>
            <w:r w:rsidRPr="00A229B8">
              <w:rPr>
                <w:rFonts w:ascii="Arial" w:eastAsia="Times New Roman" w:hAnsi="Arial" w:cs="Arial"/>
                <w:b/>
                <w:bCs/>
                <w:sz w:val="20"/>
                <w:szCs w:val="20"/>
              </w:rPr>
              <w:t>/t)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CO</w:t>
            </w:r>
            <w:r w:rsidRPr="00A229B8">
              <w:rPr>
                <w:rFonts w:ascii="Arial" w:eastAsia="Times New Roman" w:hAnsi="Arial" w:cs="Arial"/>
                <w:b/>
                <w:bCs/>
                <w:sz w:val="20"/>
                <w:szCs w:val="20"/>
                <w:vertAlign w:val="subscript"/>
              </w:rPr>
              <w:t>2</w:t>
            </w:r>
            <w:r w:rsidRPr="00A229B8">
              <w:rPr>
                <w:rFonts w:ascii="Arial" w:eastAsia="Times New Roman" w:hAnsi="Arial" w:cs="Arial"/>
                <w:b/>
                <w:bCs/>
                <w:sz w:val="20"/>
                <w:szCs w:val="20"/>
              </w:rPr>
              <w:t xml:space="preserve"> for this cast</w:t>
            </w:r>
          </w:p>
          <w:p w:rsidR="007678D9" w:rsidRPr="00A229B8" w:rsidRDefault="007678D9" w:rsidP="00A229B8">
            <w:pPr>
              <w:spacing w:after="0" w:line="240" w:lineRule="auto"/>
              <w:jc w:val="center"/>
              <w:rPr>
                <w:rFonts w:ascii="Arial" w:eastAsia="Times New Roman" w:hAnsi="Arial" w:cs="Arial"/>
                <w:b/>
                <w:bCs/>
                <w:sz w:val="20"/>
                <w:szCs w:val="20"/>
              </w:rPr>
            </w:pPr>
            <w:r w:rsidRPr="00EC3CBF">
              <w:rPr>
                <w:rFonts w:ascii="Arial" w:eastAsia="Times New Roman" w:hAnsi="Arial" w:cs="Arial"/>
                <w:b/>
                <w:bCs/>
                <w:sz w:val="20"/>
                <w:szCs w:val="20"/>
              </w:rPr>
              <w:t>(kgCO</w:t>
            </w:r>
            <w:r w:rsidRPr="00EC3CBF">
              <w:rPr>
                <w:rFonts w:ascii="Arial" w:eastAsia="Times New Roman" w:hAnsi="Arial" w:cs="Arial"/>
                <w:b/>
                <w:bCs/>
                <w:sz w:val="20"/>
                <w:szCs w:val="20"/>
                <w:vertAlign w:val="subscript"/>
              </w:rPr>
              <w:t>2</w:t>
            </w:r>
            <w:r>
              <w:rPr>
                <w:rFonts w:ascii="Arial" w:eastAsia="Times New Roman" w:hAnsi="Arial" w:cs="Arial"/>
                <w:b/>
                <w:bCs/>
                <w:sz w:val="20"/>
                <w:szCs w:val="20"/>
              </w:rPr>
              <w: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Total impact per 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Additional impact per T</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Additional impact per kg</w:t>
            </w:r>
          </w:p>
        </w:tc>
      </w:tr>
      <w:tr w:rsidR="00A229B8" w:rsidRPr="00A229B8" w:rsidTr="00A229B8">
        <w:trPr>
          <w:trHeight w:val="255"/>
        </w:trPr>
        <w:tc>
          <w:tcPr>
            <w:tcW w:w="960" w:type="dxa"/>
            <w:vMerge w:val="restart"/>
            <w:tcBorders>
              <w:top w:val="single" w:sz="8" w:space="0" w:color="auto"/>
              <w:left w:val="single" w:sz="8" w:space="0" w:color="auto"/>
              <w:bottom w:val="single" w:sz="8" w:space="0" w:color="000000"/>
              <w:right w:val="single" w:sz="8" w:space="0" w:color="auto"/>
            </w:tcBorders>
            <w:shd w:val="clear" w:color="000000" w:fill="00B0F0"/>
            <w:noWrap/>
            <w:vAlign w:val="center"/>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IF</w:t>
            </w: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Ferro Titanium</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320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0.32</w:t>
            </w:r>
          </w:p>
        </w:tc>
        <w:tc>
          <w:tcPr>
            <w:tcW w:w="1100" w:type="dxa"/>
            <w:tcBorders>
              <w:top w:val="nil"/>
              <w:left w:val="nil"/>
              <w:bottom w:val="single" w:sz="4" w:space="0" w:color="auto"/>
              <w:right w:val="single" w:sz="4" w:space="0" w:color="auto"/>
            </w:tcBorders>
            <w:shd w:val="clear" w:color="000000" w:fill="FFFF0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4.30</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4</w:t>
            </w:r>
            <w:r w:rsidR="0008118D">
              <w:rPr>
                <w:rFonts w:ascii="Arial" w:eastAsia="Times New Roman" w:hAnsi="Arial" w:cs="Arial"/>
                <w:sz w:val="20"/>
                <w:szCs w:val="20"/>
              </w:rPr>
              <w:t>,</w:t>
            </w:r>
            <w:r w:rsidRPr="00A229B8">
              <w:rPr>
                <w:rFonts w:ascii="Arial" w:eastAsia="Times New Roman" w:hAnsi="Arial" w:cs="Arial"/>
                <w:sz w:val="20"/>
                <w:szCs w:val="20"/>
              </w:rPr>
              <w:t>296</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w:t>
            </w:r>
            <w:r w:rsidR="0008118D">
              <w:rPr>
                <w:rFonts w:ascii="Arial" w:eastAsia="Times New Roman" w:hAnsi="Arial" w:cs="Arial"/>
                <w:sz w:val="20"/>
                <w:szCs w:val="20"/>
              </w:rPr>
              <w:t>,</w:t>
            </w:r>
            <w:r w:rsidRPr="00A229B8">
              <w:rPr>
                <w:rFonts w:ascii="Arial" w:eastAsia="Times New Roman" w:hAnsi="Arial" w:cs="Arial"/>
                <w:sz w:val="20"/>
                <w:szCs w:val="20"/>
              </w:rPr>
              <w:t>375</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5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single" w:sz="4" w:space="0" w:color="auto"/>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 xml:space="preserve">Aluminium </w:t>
            </w:r>
          </w:p>
        </w:tc>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600</w:t>
            </w:r>
          </w:p>
        </w:tc>
        <w:tc>
          <w:tcPr>
            <w:tcW w:w="1500" w:type="dxa"/>
            <w:tcBorders>
              <w:top w:val="nil"/>
              <w:left w:val="nil"/>
              <w:bottom w:val="single" w:sz="4" w:space="0" w:color="auto"/>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0.6</w:t>
            </w:r>
          </w:p>
        </w:tc>
        <w:tc>
          <w:tcPr>
            <w:tcW w:w="1100" w:type="dxa"/>
            <w:tcBorders>
              <w:top w:val="nil"/>
              <w:left w:val="nil"/>
              <w:bottom w:val="single" w:sz="4" w:space="0" w:color="auto"/>
              <w:right w:val="single" w:sz="4" w:space="0" w:color="auto"/>
            </w:tcBorders>
            <w:shd w:val="clear" w:color="000000" w:fill="DA9694"/>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9.06</w:t>
            </w:r>
          </w:p>
        </w:tc>
        <w:tc>
          <w:tcPr>
            <w:tcW w:w="124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9</w:t>
            </w:r>
            <w:r w:rsidR="0008118D">
              <w:rPr>
                <w:rFonts w:ascii="Arial" w:eastAsia="Times New Roman" w:hAnsi="Arial" w:cs="Arial"/>
                <w:sz w:val="20"/>
                <w:szCs w:val="20"/>
              </w:rPr>
              <w:t>,</w:t>
            </w:r>
            <w:r w:rsidRPr="00A229B8">
              <w:rPr>
                <w:rFonts w:ascii="Arial" w:eastAsia="Times New Roman" w:hAnsi="Arial" w:cs="Arial"/>
                <w:sz w:val="20"/>
                <w:szCs w:val="20"/>
              </w:rPr>
              <w:t>060</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5</w:t>
            </w:r>
            <w:r w:rsidR="0008118D">
              <w:rPr>
                <w:rFonts w:ascii="Arial" w:eastAsia="Times New Roman" w:hAnsi="Arial" w:cs="Arial"/>
                <w:sz w:val="20"/>
                <w:szCs w:val="20"/>
              </w:rPr>
              <w:t>,</w:t>
            </w:r>
            <w:r w:rsidRPr="00A229B8">
              <w:rPr>
                <w:rFonts w:ascii="Arial" w:eastAsia="Times New Roman" w:hAnsi="Arial" w:cs="Arial"/>
                <w:sz w:val="20"/>
                <w:szCs w:val="20"/>
              </w:rPr>
              <w:t>436</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270"/>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nil"/>
              <w:left w:val="nil"/>
              <w:bottom w:val="nil"/>
              <w:right w:val="nil"/>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Mild Steel</w:t>
            </w:r>
          </w:p>
        </w:tc>
        <w:tc>
          <w:tcPr>
            <w:tcW w:w="1500" w:type="dxa"/>
            <w:tcBorders>
              <w:top w:val="nil"/>
              <w:left w:val="single" w:sz="4" w:space="0" w:color="auto"/>
              <w:bottom w:val="nil"/>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325,000</w:t>
            </w:r>
          </w:p>
        </w:tc>
        <w:tc>
          <w:tcPr>
            <w:tcW w:w="1500" w:type="dxa"/>
            <w:tcBorders>
              <w:top w:val="nil"/>
              <w:left w:val="nil"/>
              <w:bottom w:val="nil"/>
              <w:right w:val="single" w:sz="4" w:space="0" w:color="auto"/>
            </w:tcBorders>
            <w:shd w:val="clear" w:color="000000" w:fill="FFFFFF"/>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325</w:t>
            </w:r>
          </w:p>
        </w:tc>
        <w:tc>
          <w:tcPr>
            <w:tcW w:w="1100" w:type="dxa"/>
            <w:tcBorders>
              <w:top w:val="nil"/>
              <w:left w:val="nil"/>
              <w:bottom w:val="nil"/>
              <w:right w:val="single" w:sz="4" w:space="0" w:color="auto"/>
            </w:tcBorders>
            <w:shd w:val="clear" w:color="000000" w:fill="92D050"/>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1.90</w:t>
            </w:r>
          </w:p>
        </w:tc>
        <w:tc>
          <w:tcPr>
            <w:tcW w:w="124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1</w:t>
            </w:r>
            <w:r w:rsidR="0008118D">
              <w:rPr>
                <w:rFonts w:ascii="Arial" w:eastAsia="Times New Roman" w:hAnsi="Arial" w:cs="Arial"/>
                <w:sz w:val="20"/>
                <w:szCs w:val="20"/>
              </w:rPr>
              <w:t>,</w:t>
            </w:r>
            <w:r w:rsidRPr="00A229B8">
              <w:rPr>
                <w:rFonts w:ascii="Arial" w:eastAsia="Times New Roman" w:hAnsi="Arial" w:cs="Arial"/>
                <w:sz w:val="20"/>
                <w:szCs w:val="20"/>
              </w:rPr>
              <w:t>900</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sz w:val="20"/>
                <w:szCs w:val="20"/>
              </w:rPr>
            </w:pPr>
            <w:r w:rsidRPr="00A229B8">
              <w:rPr>
                <w:rFonts w:ascii="Arial" w:eastAsia="Times New Roman" w:hAnsi="Arial" w:cs="Arial"/>
                <w:sz w:val="20"/>
                <w:szCs w:val="20"/>
              </w:rPr>
              <w:t>617</w:t>
            </w:r>
            <w:r w:rsidR="0008118D">
              <w:rPr>
                <w:rFonts w:ascii="Arial" w:eastAsia="Times New Roman" w:hAnsi="Arial" w:cs="Arial"/>
                <w:sz w:val="20"/>
                <w:szCs w:val="20"/>
              </w:rPr>
              <w:t>,</w:t>
            </w:r>
            <w:r w:rsidRPr="00A229B8">
              <w:rPr>
                <w:rFonts w:ascii="Arial" w:eastAsia="Times New Roman" w:hAnsi="Arial" w:cs="Arial"/>
                <w:sz w:val="20"/>
                <w:szCs w:val="20"/>
              </w:rPr>
              <w:t>500</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c>
          <w:tcPr>
            <w:tcW w:w="1120" w:type="dxa"/>
            <w:tcBorders>
              <w:top w:val="nil"/>
              <w:left w:val="nil"/>
              <w:bottom w:val="nil"/>
              <w:right w:val="single" w:sz="4" w:space="0" w:color="auto"/>
            </w:tcBorders>
            <w:shd w:val="clear" w:color="auto" w:fill="auto"/>
            <w:noWrap/>
            <w:vAlign w:val="bottom"/>
            <w:hideMark/>
          </w:tcPr>
          <w:p w:rsidR="00A229B8" w:rsidRPr="00A229B8" w:rsidRDefault="00A229B8" w:rsidP="00A229B8">
            <w:pPr>
              <w:spacing w:after="0" w:line="240" w:lineRule="auto"/>
              <w:rPr>
                <w:rFonts w:ascii="Arial" w:eastAsia="Times New Roman" w:hAnsi="Arial" w:cs="Arial"/>
                <w:sz w:val="20"/>
                <w:szCs w:val="20"/>
              </w:rPr>
            </w:pPr>
            <w:r w:rsidRPr="00A229B8">
              <w:rPr>
                <w:rFonts w:ascii="Arial" w:eastAsia="Times New Roman" w:hAnsi="Arial" w:cs="Arial"/>
                <w:sz w:val="20"/>
                <w:szCs w:val="20"/>
              </w:rPr>
              <w:t> </w:t>
            </w:r>
          </w:p>
        </w:tc>
      </w:tr>
      <w:tr w:rsidR="00A229B8" w:rsidRPr="00A229B8" w:rsidTr="00A229B8">
        <w:trPr>
          <w:trHeight w:val="31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A229B8" w:rsidRPr="00A229B8" w:rsidRDefault="00A229B8" w:rsidP="00A229B8">
            <w:pPr>
              <w:spacing w:after="0" w:line="240" w:lineRule="auto"/>
              <w:rPr>
                <w:rFonts w:ascii="Arial" w:eastAsia="Times New Roman" w:hAnsi="Arial" w:cs="Arial"/>
                <w:b/>
                <w:bCs/>
                <w:sz w:val="20"/>
                <w:szCs w:val="20"/>
              </w:rPr>
            </w:pPr>
          </w:p>
        </w:tc>
        <w:tc>
          <w:tcPr>
            <w:tcW w:w="3680" w:type="dxa"/>
            <w:tcBorders>
              <w:top w:val="single" w:sz="8" w:space="0" w:color="auto"/>
              <w:left w:val="nil"/>
              <w:bottom w:val="single" w:sz="8" w:space="0" w:color="auto"/>
              <w:right w:val="nil"/>
            </w:tcBorders>
            <w:shd w:val="clear" w:color="auto" w:fill="auto"/>
            <w:noWrap/>
            <w:vAlign w:val="bottom"/>
            <w:hideMark/>
          </w:tcPr>
          <w:p w:rsidR="00A229B8" w:rsidRPr="00A229B8" w:rsidRDefault="00A229B8" w:rsidP="00A229B8">
            <w:pPr>
              <w:spacing w:after="0" w:line="240" w:lineRule="auto"/>
              <w:jc w:val="center"/>
              <w:rPr>
                <w:rFonts w:ascii="Calibri" w:eastAsia="Times New Roman" w:hAnsi="Calibri" w:cs="Arial"/>
                <w:b/>
                <w:bCs/>
                <w:color w:val="000000"/>
              </w:rPr>
            </w:pPr>
            <w:r w:rsidRPr="00A229B8">
              <w:rPr>
                <w:rFonts w:ascii="Calibri" w:eastAsia="Times New Roman" w:hAnsi="Calibri" w:cs="Arial"/>
                <w:b/>
                <w:bCs/>
                <w:color w:val="000000"/>
              </w:rPr>
              <w:t>Total</w:t>
            </w:r>
          </w:p>
        </w:tc>
        <w:tc>
          <w:tcPr>
            <w:tcW w:w="150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325</w:t>
            </w:r>
            <w:r w:rsidR="0008118D">
              <w:rPr>
                <w:rFonts w:ascii="Arial" w:eastAsia="Times New Roman" w:hAnsi="Arial" w:cs="Arial"/>
                <w:b/>
                <w:bCs/>
                <w:sz w:val="20"/>
                <w:szCs w:val="20"/>
              </w:rPr>
              <w:t>,</w:t>
            </w:r>
            <w:r w:rsidRPr="00A229B8">
              <w:rPr>
                <w:rFonts w:ascii="Arial" w:eastAsia="Times New Roman" w:hAnsi="Arial" w:cs="Arial"/>
                <w:b/>
                <w:bCs/>
                <w:sz w:val="20"/>
                <w:szCs w:val="20"/>
              </w:rPr>
              <w:t>920</w:t>
            </w:r>
          </w:p>
        </w:tc>
        <w:tc>
          <w:tcPr>
            <w:tcW w:w="150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325.92</w:t>
            </w:r>
          </w:p>
        </w:tc>
        <w:tc>
          <w:tcPr>
            <w:tcW w:w="110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right"/>
              <w:rPr>
                <w:rFonts w:ascii="Arial" w:eastAsia="Times New Roman" w:hAnsi="Arial" w:cs="Arial"/>
                <w:b/>
                <w:bCs/>
                <w:sz w:val="20"/>
                <w:szCs w:val="20"/>
              </w:rPr>
            </w:pPr>
            <w:r w:rsidRPr="00A229B8">
              <w:rPr>
                <w:rFonts w:ascii="Arial" w:eastAsia="Times New Roman" w:hAnsi="Arial" w:cs="Arial"/>
                <w:b/>
                <w:bCs/>
                <w:sz w:val="20"/>
                <w:szCs w:val="20"/>
              </w:rPr>
              <w:t> </w:t>
            </w:r>
          </w:p>
        </w:tc>
        <w:tc>
          <w:tcPr>
            <w:tcW w:w="124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 </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624</w:t>
            </w:r>
            <w:r w:rsidR="0008118D">
              <w:rPr>
                <w:rFonts w:ascii="Arial" w:eastAsia="Times New Roman" w:hAnsi="Arial" w:cs="Arial"/>
                <w:b/>
                <w:bCs/>
                <w:sz w:val="20"/>
                <w:szCs w:val="20"/>
              </w:rPr>
              <w:t>,</w:t>
            </w:r>
            <w:r w:rsidRPr="00A229B8">
              <w:rPr>
                <w:rFonts w:ascii="Arial" w:eastAsia="Times New Roman" w:hAnsi="Arial" w:cs="Arial"/>
                <w:b/>
                <w:bCs/>
                <w:sz w:val="20"/>
                <w:szCs w:val="20"/>
              </w:rPr>
              <w:t>311</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1915.53</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15.53</w:t>
            </w:r>
          </w:p>
        </w:tc>
        <w:tc>
          <w:tcPr>
            <w:tcW w:w="1120" w:type="dxa"/>
            <w:tcBorders>
              <w:top w:val="single" w:sz="8" w:space="0" w:color="auto"/>
              <w:left w:val="nil"/>
              <w:bottom w:val="single" w:sz="8" w:space="0" w:color="auto"/>
              <w:right w:val="single" w:sz="8" w:space="0" w:color="auto"/>
            </w:tcBorders>
            <w:shd w:val="clear" w:color="auto" w:fill="auto"/>
            <w:noWrap/>
            <w:vAlign w:val="bottom"/>
            <w:hideMark/>
          </w:tcPr>
          <w:p w:rsidR="00A229B8" w:rsidRPr="00A229B8" w:rsidRDefault="00A229B8" w:rsidP="00A229B8">
            <w:pPr>
              <w:spacing w:after="0" w:line="240" w:lineRule="auto"/>
              <w:jc w:val="center"/>
              <w:rPr>
                <w:rFonts w:ascii="Arial" w:eastAsia="Times New Roman" w:hAnsi="Arial" w:cs="Arial"/>
                <w:b/>
                <w:bCs/>
                <w:sz w:val="20"/>
                <w:szCs w:val="20"/>
              </w:rPr>
            </w:pPr>
            <w:r w:rsidRPr="00A229B8">
              <w:rPr>
                <w:rFonts w:ascii="Arial" w:eastAsia="Times New Roman" w:hAnsi="Arial" w:cs="Arial"/>
                <w:b/>
                <w:bCs/>
                <w:sz w:val="20"/>
                <w:szCs w:val="20"/>
              </w:rPr>
              <w:t>0.016</w:t>
            </w:r>
          </w:p>
        </w:tc>
      </w:tr>
    </w:tbl>
    <w:p w:rsidR="00A229B8" w:rsidRDefault="00A229B8">
      <w:pPr>
        <w:sectPr w:rsidR="00A229B8" w:rsidSect="00593B2F">
          <w:pgSz w:w="16838" w:h="11906" w:orient="landscape"/>
          <w:pgMar w:top="1440" w:right="1440" w:bottom="1440" w:left="1440" w:header="708" w:footer="708" w:gutter="0"/>
          <w:cols w:space="708"/>
          <w:titlePg/>
          <w:docGrid w:linePitch="360"/>
        </w:sectPr>
      </w:pPr>
    </w:p>
    <w:p w:rsidR="00A229B8" w:rsidRDefault="00A229B8" w:rsidP="0008118D"/>
    <w:sectPr w:rsidR="00A229B8" w:rsidSect="00EC3CBF">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4B9D" w:rsidRDefault="00EE4B9D" w:rsidP="006A62D1">
      <w:pPr>
        <w:spacing w:after="0" w:line="240" w:lineRule="auto"/>
      </w:pPr>
      <w:r>
        <w:separator/>
      </w:r>
    </w:p>
    <w:p w:rsidR="00EE4B9D" w:rsidRDefault="00EE4B9D"/>
  </w:endnote>
  <w:endnote w:type="continuationSeparator" w:id="0">
    <w:p w:rsidR="00EE4B9D" w:rsidRDefault="00EE4B9D" w:rsidP="006A62D1">
      <w:pPr>
        <w:spacing w:after="0" w:line="240" w:lineRule="auto"/>
      </w:pPr>
      <w:r>
        <w:continuationSeparator/>
      </w:r>
    </w:p>
    <w:p w:rsidR="00EE4B9D" w:rsidRDefault="00EE4B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TimesNewRoman">
    <w:panose1 w:val="00000000000000000000"/>
    <w:charset w:val="00"/>
    <w:family w:val="roman"/>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2506335"/>
      <w:docPartObj>
        <w:docPartGallery w:val="Page Numbers (Bottom of Page)"/>
        <w:docPartUnique/>
      </w:docPartObj>
    </w:sdtPr>
    <w:sdtEndPr>
      <w:rPr>
        <w:noProof/>
      </w:rPr>
    </w:sdtEndPr>
    <w:sdtContent>
      <w:p w:rsidR="008F124C" w:rsidRDefault="008F124C">
        <w:pPr>
          <w:pStyle w:val="Footer"/>
          <w:jc w:val="center"/>
        </w:pPr>
        <w:r>
          <w:fldChar w:fldCharType="begin"/>
        </w:r>
        <w:r w:rsidRPr="00EB75C9">
          <w:instrText xml:space="preserve"> PAGE   \* MERGEFORMAT </w:instrText>
        </w:r>
        <w:r>
          <w:fldChar w:fldCharType="separate"/>
        </w:r>
        <w:r w:rsidR="00EB75C9">
          <w:rPr>
            <w:noProof/>
          </w:rPr>
          <w:t>22</w:t>
        </w:r>
        <w:r>
          <w:rPr>
            <w:noProof/>
          </w:rPr>
          <w:fldChar w:fldCharType="end"/>
        </w:r>
      </w:p>
    </w:sdtContent>
  </w:sdt>
  <w:p w:rsidR="008F124C" w:rsidRDefault="008F124C" w:rsidP="009D6ACF">
    <w:pPr>
      <w:pStyle w:val="Footer"/>
      <w:jc w:val="righ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3824308"/>
      <w:docPartObj>
        <w:docPartGallery w:val="Page Numbers (Bottom of Page)"/>
        <w:docPartUnique/>
      </w:docPartObj>
    </w:sdtPr>
    <w:sdtEndPr>
      <w:rPr>
        <w:noProof/>
      </w:rPr>
    </w:sdtEndPr>
    <w:sdtContent>
      <w:p w:rsidR="008F124C" w:rsidRDefault="008F124C">
        <w:pPr>
          <w:pStyle w:val="Footer"/>
          <w:jc w:val="center"/>
        </w:pPr>
        <w:r>
          <w:fldChar w:fldCharType="begin"/>
        </w:r>
        <w:r>
          <w:instrText xml:space="preserve"> PAGE   \* MERGEFORMAT </w:instrText>
        </w:r>
        <w:r>
          <w:fldChar w:fldCharType="separate"/>
        </w:r>
        <w:r w:rsidR="00EB75C9">
          <w:rPr>
            <w:noProof/>
          </w:rPr>
          <w:t>116</w:t>
        </w:r>
        <w:r>
          <w:rPr>
            <w:noProof/>
          </w:rPr>
          <w:fldChar w:fldCharType="end"/>
        </w:r>
      </w:p>
    </w:sdtContent>
  </w:sdt>
  <w:p w:rsidR="008F124C" w:rsidRDefault="008F124C" w:rsidP="009D6ACF">
    <w:pPr>
      <w:pStyle w:val="Footer"/>
      <w:jc w:val="righ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1537004"/>
      <w:docPartObj>
        <w:docPartGallery w:val="Page Numbers (Bottom of Page)"/>
        <w:docPartUnique/>
      </w:docPartObj>
    </w:sdtPr>
    <w:sdtEndPr>
      <w:rPr>
        <w:noProof/>
      </w:rPr>
    </w:sdtEndPr>
    <w:sdtContent>
      <w:p w:rsidR="008F124C" w:rsidRDefault="008F124C">
        <w:pPr>
          <w:pStyle w:val="Footer"/>
          <w:jc w:val="center"/>
        </w:pPr>
        <w:r>
          <w:fldChar w:fldCharType="begin"/>
        </w:r>
        <w:r>
          <w:instrText xml:space="preserve"> PAGE   \* MERGEFORMAT </w:instrText>
        </w:r>
        <w:r>
          <w:fldChar w:fldCharType="separate"/>
        </w:r>
        <w:r w:rsidR="00EB75C9">
          <w:rPr>
            <w:noProof/>
          </w:rPr>
          <w:t>118</w:t>
        </w:r>
        <w:r>
          <w:rPr>
            <w:noProof/>
          </w:rPr>
          <w:fldChar w:fldCharType="end"/>
        </w:r>
      </w:p>
    </w:sdtContent>
  </w:sdt>
  <w:p w:rsidR="008F124C" w:rsidRDefault="008F124C" w:rsidP="009D6ACF">
    <w:pPr>
      <w:pStyle w:val="Footer"/>
      <w:jc w:val="righ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124C" w:rsidRDefault="008F124C" w:rsidP="000C013D">
    <w:pPr>
      <w:pStyle w:val="Footer"/>
      <w:tabs>
        <w:tab w:val="center" w:pos="6979"/>
        <w:tab w:val="left" w:pos="7726"/>
      </w:tabs>
      <w:jc w:val="center"/>
    </w:pPr>
    <w:sdt>
      <w:sdtPr>
        <w:id w:val="827410189"/>
        <w:docPartObj>
          <w:docPartGallery w:val="Page Numbers (Bottom of Page)"/>
          <w:docPartUnique/>
        </w:docPartObj>
      </w:sdtPr>
      <w:sdtEndPr>
        <w:rPr>
          <w:noProof/>
        </w:rPr>
      </w:sdtEndPr>
      <w:sdtContent>
        <w:r>
          <w:fldChar w:fldCharType="begin"/>
        </w:r>
        <w:r w:rsidRPr="00EF2881">
          <w:instrText xml:space="preserve"> PAGE   \* MERGEFORMAT </w:instrText>
        </w:r>
        <w:r>
          <w:fldChar w:fldCharType="separate"/>
        </w:r>
        <w:r w:rsidR="00EB75C9">
          <w:rPr>
            <w:noProof/>
          </w:rPr>
          <w:t>180</w:t>
        </w:r>
        <w:r>
          <w:rPr>
            <w:noProof/>
          </w:rPr>
          <w:fldChar w:fldCharType="end"/>
        </w:r>
      </w:sdtContent>
    </w:sdt>
  </w:p>
  <w:p w:rsidR="008F124C" w:rsidRDefault="008F124C" w:rsidP="009D6ACF">
    <w:pPr>
      <w:pStyle w:val="Footer"/>
      <w:jc w:val="right"/>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124C" w:rsidRDefault="008F124C" w:rsidP="000C013D">
    <w:pPr>
      <w:pStyle w:val="Footer"/>
      <w:tabs>
        <w:tab w:val="center" w:pos="6979"/>
        <w:tab w:val="left" w:pos="7726"/>
      </w:tabs>
      <w:jc w:val="center"/>
    </w:pPr>
    <w:sdt>
      <w:sdtPr>
        <w:id w:val="-1325196469"/>
        <w:docPartObj>
          <w:docPartGallery w:val="Page Numbers (Bottom of Page)"/>
          <w:docPartUnique/>
        </w:docPartObj>
      </w:sdtPr>
      <w:sdtEndPr>
        <w:rPr>
          <w:noProof/>
        </w:rPr>
      </w:sdtEndPr>
      <w:sdtContent>
        <w:r>
          <w:fldChar w:fldCharType="begin"/>
        </w:r>
        <w:r w:rsidRPr="00EF2881">
          <w:instrText xml:space="preserve"> PAGE   \* MERGEFORMAT </w:instrText>
        </w:r>
        <w:r>
          <w:fldChar w:fldCharType="separate"/>
        </w:r>
        <w:r w:rsidR="00EB75C9">
          <w:rPr>
            <w:noProof/>
          </w:rPr>
          <w:t>191</w:t>
        </w:r>
        <w:r>
          <w:rPr>
            <w:noProof/>
          </w:rPr>
          <w:fldChar w:fldCharType="end"/>
        </w:r>
      </w:sdtContent>
    </w:sdt>
  </w:p>
  <w:p w:rsidR="008F124C" w:rsidRDefault="008F124C" w:rsidP="009D6ACF">
    <w:pPr>
      <w:pStyle w:val="Footer"/>
      <w:jc w:val="right"/>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124C" w:rsidRDefault="008F124C">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4581086"/>
      <w:docPartObj>
        <w:docPartGallery w:val="Page Numbers (Bottom of Page)"/>
        <w:docPartUnique/>
      </w:docPartObj>
    </w:sdtPr>
    <w:sdtEndPr>
      <w:rPr>
        <w:noProof/>
      </w:rPr>
    </w:sdtEndPr>
    <w:sdtContent>
      <w:p w:rsidR="008F124C" w:rsidRDefault="008F124C">
        <w:pPr>
          <w:pStyle w:val="Footer"/>
          <w:jc w:val="center"/>
        </w:pPr>
        <w:r>
          <w:fldChar w:fldCharType="begin"/>
        </w:r>
        <w:r>
          <w:instrText xml:space="preserve"> PAGE   \* MERGEFORMAT </w:instrText>
        </w:r>
        <w:r>
          <w:fldChar w:fldCharType="separate"/>
        </w:r>
        <w:r w:rsidR="00EB75C9">
          <w:rPr>
            <w:noProof/>
          </w:rPr>
          <w:t>236</w:t>
        </w:r>
        <w:r>
          <w:rPr>
            <w:noProof/>
          </w:rPr>
          <w:fldChar w:fldCharType="end"/>
        </w:r>
      </w:p>
    </w:sdtContent>
  </w:sdt>
  <w:p w:rsidR="008F124C" w:rsidRDefault="008F124C" w:rsidP="009D6ACF">
    <w:pPr>
      <w:pStyle w:val="Footer"/>
      <w:jc w:val="right"/>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7985403"/>
      <w:docPartObj>
        <w:docPartGallery w:val="Page Numbers (Bottom of Page)"/>
        <w:docPartUnique/>
      </w:docPartObj>
    </w:sdtPr>
    <w:sdtEndPr>
      <w:rPr>
        <w:noProof/>
      </w:rPr>
    </w:sdtEndPr>
    <w:sdtContent>
      <w:p w:rsidR="008F124C" w:rsidRDefault="008F124C">
        <w:pPr>
          <w:pStyle w:val="Footer"/>
          <w:jc w:val="center"/>
        </w:pPr>
        <w:r>
          <w:fldChar w:fldCharType="begin"/>
        </w:r>
        <w:r w:rsidRPr="00593B2F">
          <w:instrText xml:space="preserve"> PAGE   \* MERGEFORMAT </w:instrText>
        </w:r>
        <w:r>
          <w:fldChar w:fldCharType="separate"/>
        </w:r>
        <w:r w:rsidR="00EB75C9">
          <w:rPr>
            <w:noProof/>
          </w:rPr>
          <w:t>242</w:t>
        </w:r>
        <w:r>
          <w:rPr>
            <w:noProof/>
          </w:rPr>
          <w:fldChar w:fldCharType="end"/>
        </w:r>
      </w:p>
    </w:sdtContent>
  </w:sdt>
  <w:p w:rsidR="008F124C" w:rsidRDefault="008F124C" w:rsidP="009D6ACF">
    <w:pPr>
      <w:pStyle w:val="Footer"/>
      <w:jc w:val="right"/>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124C" w:rsidRDefault="008F124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75C9" w:rsidRDefault="00EB75C9">
    <w:pPr>
      <w:pStyle w:val="Footer"/>
      <w:jc w:val="center"/>
    </w:pPr>
  </w:p>
  <w:p w:rsidR="00EB75C9" w:rsidRDefault="00EB75C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8669110"/>
      <w:docPartObj>
        <w:docPartGallery w:val="Page Numbers (Bottom of Page)"/>
        <w:docPartUnique/>
      </w:docPartObj>
    </w:sdtPr>
    <w:sdtEndPr>
      <w:rPr>
        <w:noProof/>
      </w:rPr>
    </w:sdtEndPr>
    <w:sdtContent>
      <w:p w:rsidR="008F124C" w:rsidRDefault="008F124C">
        <w:pPr>
          <w:pStyle w:val="Footer"/>
          <w:jc w:val="center"/>
        </w:pPr>
        <w:r>
          <w:fldChar w:fldCharType="begin"/>
        </w:r>
        <w:r>
          <w:instrText xml:space="preserve"> PAGE   \* MERGEFORMAT </w:instrText>
        </w:r>
        <w:r>
          <w:fldChar w:fldCharType="separate"/>
        </w:r>
        <w:r w:rsidR="00EB75C9">
          <w:rPr>
            <w:noProof/>
          </w:rPr>
          <w:t>89</w:t>
        </w:r>
        <w:r>
          <w:rPr>
            <w:noProof/>
          </w:rPr>
          <w:fldChar w:fldCharType="end"/>
        </w:r>
      </w:p>
    </w:sdtContent>
  </w:sdt>
  <w:p w:rsidR="008F124C" w:rsidRDefault="008F124C" w:rsidP="009D6ACF">
    <w:pPr>
      <w:pStyle w:val="Foote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8596971"/>
      <w:docPartObj>
        <w:docPartGallery w:val="Page Numbers (Bottom of Page)"/>
        <w:docPartUnique/>
      </w:docPartObj>
    </w:sdtPr>
    <w:sdtEndPr>
      <w:rPr>
        <w:noProof/>
      </w:rPr>
    </w:sdtEndPr>
    <w:sdtContent>
      <w:p w:rsidR="008F124C" w:rsidRDefault="008F124C">
        <w:pPr>
          <w:pStyle w:val="Footer"/>
          <w:jc w:val="center"/>
        </w:pPr>
        <w:r>
          <w:fldChar w:fldCharType="begin"/>
        </w:r>
        <w:r>
          <w:instrText xml:space="preserve"> PAGE   \* MERGEFORMAT </w:instrText>
        </w:r>
        <w:r>
          <w:fldChar w:fldCharType="separate"/>
        </w:r>
        <w:r w:rsidR="00EB75C9">
          <w:rPr>
            <w:noProof/>
          </w:rPr>
          <w:t>93</w:t>
        </w:r>
        <w:r>
          <w:rPr>
            <w:noProof/>
          </w:rPr>
          <w:fldChar w:fldCharType="end"/>
        </w:r>
      </w:p>
    </w:sdtContent>
  </w:sdt>
  <w:p w:rsidR="008F124C" w:rsidRDefault="008F124C" w:rsidP="009D6ACF">
    <w:pPr>
      <w:pStyle w:val="Footer"/>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1223395"/>
      <w:docPartObj>
        <w:docPartGallery w:val="Page Numbers (Bottom of Page)"/>
        <w:docPartUnique/>
      </w:docPartObj>
    </w:sdtPr>
    <w:sdtEndPr>
      <w:rPr>
        <w:noProof/>
      </w:rPr>
    </w:sdtEndPr>
    <w:sdtContent>
      <w:p w:rsidR="008F124C" w:rsidRDefault="008F124C">
        <w:pPr>
          <w:pStyle w:val="Footer"/>
          <w:jc w:val="center"/>
        </w:pPr>
        <w:r>
          <w:fldChar w:fldCharType="begin"/>
        </w:r>
        <w:r>
          <w:instrText xml:space="preserve"> PAGE   \* MERGEFORMAT </w:instrText>
        </w:r>
        <w:r>
          <w:fldChar w:fldCharType="separate"/>
        </w:r>
        <w:r w:rsidR="00EB75C9">
          <w:rPr>
            <w:noProof/>
          </w:rPr>
          <w:t>96</w:t>
        </w:r>
        <w:r>
          <w:rPr>
            <w:noProof/>
          </w:rPr>
          <w:fldChar w:fldCharType="end"/>
        </w:r>
      </w:p>
    </w:sdtContent>
  </w:sdt>
  <w:p w:rsidR="008F124C" w:rsidRDefault="008F124C" w:rsidP="009D6ACF">
    <w:pPr>
      <w:pStyle w:val="Footer"/>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8142534"/>
      <w:docPartObj>
        <w:docPartGallery w:val="Page Numbers (Bottom of Page)"/>
        <w:docPartUnique/>
      </w:docPartObj>
    </w:sdtPr>
    <w:sdtEndPr>
      <w:rPr>
        <w:noProof/>
      </w:rPr>
    </w:sdtEndPr>
    <w:sdtContent>
      <w:p w:rsidR="008F124C" w:rsidRDefault="008F124C">
        <w:pPr>
          <w:pStyle w:val="Footer"/>
          <w:jc w:val="center"/>
        </w:pPr>
        <w:r>
          <w:fldChar w:fldCharType="begin"/>
        </w:r>
        <w:r>
          <w:instrText xml:space="preserve"> PAGE   \* MERGEFORMAT </w:instrText>
        </w:r>
        <w:r>
          <w:fldChar w:fldCharType="separate"/>
        </w:r>
        <w:r w:rsidR="00EB75C9">
          <w:rPr>
            <w:noProof/>
          </w:rPr>
          <w:t>99</w:t>
        </w:r>
        <w:r>
          <w:rPr>
            <w:noProof/>
          </w:rPr>
          <w:fldChar w:fldCharType="end"/>
        </w:r>
      </w:p>
    </w:sdtContent>
  </w:sdt>
  <w:p w:rsidR="008F124C" w:rsidRDefault="008F124C" w:rsidP="009D6ACF">
    <w:pPr>
      <w:pStyle w:val="Footer"/>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7067493"/>
      <w:docPartObj>
        <w:docPartGallery w:val="Page Numbers (Bottom of Page)"/>
        <w:docPartUnique/>
      </w:docPartObj>
    </w:sdtPr>
    <w:sdtEndPr>
      <w:rPr>
        <w:noProof/>
      </w:rPr>
    </w:sdtEndPr>
    <w:sdtContent>
      <w:p w:rsidR="008F124C" w:rsidRDefault="008F124C">
        <w:pPr>
          <w:pStyle w:val="Footer"/>
          <w:jc w:val="center"/>
        </w:pPr>
        <w:r>
          <w:fldChar w:fldCharType="begin"/>
        </w:r>
        <w:r>
          <w:instrText xml:space="preserve"> PAGE   \* MERGEFORMAT </w:instrText>
        </w:r>
        <w:r>
          <w:fldChar w:fldCharType="separate"/>
        </w:r>
        <w:r w:rsidR="00EB75C9">
          <w:rPr>
            <w:noProof/>
          </w:rPr>
          <w:t>107</w:t>
        </w:r>
        <w:r>
          <w:rPr>
            <w:noProof/>
          </w:rPr>
          <w:fldChar w:fldCharType="end"/>
        </w:r>
      </w:p>
    </w:sdtContent>
  </w:sdt>
  <w:p w:rsidR="008F124C" w:rsidRDefault="008F124C" w:rsidP="009D6ACF">
    <w:pPr>
      <w:pStyle w:val="Footer"/>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78165085"/>
      <w:docPartObj>
        <w:docPartGallery w:val="Page Numbers (Bottom of Page)"/>
        <w:docPartUnique/>
      </w:docPartObj>
    </w:sdtPr>
    <w:sdtEndPr>
      <w:rPr>
        <w:noProof/>
      </w:rPr>
    </w:sdtEndPr>
    <w:sdtContent>
      <w:p w:rsidR="008F124C" w:rsidRDefault="008F124C">
        <w:pPr>
          <w:pStyle w:val="Footer"/>
          <w:jc w:val="center"/>
        </w:pPr>
        <w:r>
          <w:fldChar w:fldCharType="begin"/>
        </w:r>
        <w:r>
          <w:instrText xml:space="preserve"> PAGE   \* MERGEFORMAT </w:instrText>
        </w:r>
        <w:r>
          <w:fldChar w:fldCharType="separate"/>
        </w:r>
        <w:r w:rsidR="00EB75C9">
          <w:rPr>
            <w:noProof/>
          </w:rPr>
          <w:t>112</w:t>
        </w:r>
        <w:r>
          <w:rPr>
            <w:noProof/>
          </w:rPr>
          <w:fldChar w:fldCharType="end"/>
        </w:r>
      </w:p>
    </w:sdtContent>
  </w:sdt>
  <w:p w:rsidR="008F124C" w:rsidRDefault="008F124C" w:rsidP="009D6ACF">
    <w:pPr>
      <w:pStyle w:val="Footer"/>
      <w:jc w:val="righ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3440092"/>
      <w:docPartObj>
        <w:docPartGallery w:val="Page Numbers (Bottom of Page)"/>
        <w:docPartUnique/>
      </w:docPartObj>
    </w:sdtPr>
    <w:sdtEndPr>
      <w:rPr>
        <w:noProof/>
      </w:rPr>
    </w:sdtEndPr>
    <w:sdtContent>
      <w:p w:rsidR="008F124C" w:rsidRDefault="008F124C">
        <w:pPr>
          <w:pStyle w:val="Footer"/>
          <w:jc w:val="center"/>
        </w:pPr>
        <w:r>
          <w:fldChar w:fldCharType="begin"/>
        </w:r>
        <w:r>
          <w:instrText xml:space="preserve"> PAGE   \* MERGEFORMAT </w:instrText>
        </w:r>
        <w:r>
          <w:fldChar w:fldCharType="separate"/>
        </w:r>
        <w:r w:rsidR="00EB75C9">
          <w:rPr>
            <w:noProof/>
          </w:rPr>
          <w:t>114</w:t>
        </w:r>
        <w:r>
          <w:rPr>
            <w:noProof/>
          </w:rPr>
          <w:fldChar w:fldCharType="end"/>
        </w:r>
      </w:p>
    </w:sdtContent>
  </w:sdt>
  <w:p w:rsidR="008F124C" w:rsidRDefault="008F124C" w:rsidP="009D6ACF">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4B9D" w:rsidRDefault="00EE4B9D" w:rsidP="006A62D1">
      <w:pPr>
        <w:spacing w:after="0" w:line="240" w:lineRule="auto"/>
      </w:pPr>
      <w:r>
        <w:separator/>
      </w:r>
    </w:p>
    <w:p w:rsidR="00EE4B9D" w:rsidRDefault="00EE4B9D"/>
  </w:footnote>
  <w:footnote w:type="continuationSeparator" w:id="0">
    <w:p w:rsidR="00EE4B9D" w:rsidRDefault="00EE4B9D" w:rsidP="006A62D1">
      <w:pPr>
        <w:spacing w:after="0" w:line="240" w:lineRule="auto"/>
      </w:pPr>
      <w:r>
        <w:continuationSeparator/>
      </w:r>
    </w:p>
    <w:p w:rsidR="00EE4B9D" w:rsidRDefault="00EE4B9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124C" w:rsidRDefault="008F124C" w:rsidP="008D3927">
    <w:pPr>
      <w:pStyle w:val="Header"/>
      <w:tabs>
        <w:tab w:val="clear" w:pos="4513"/>
        <w:tab w:val="clear" w:pos="9026"/>
        <w:tab w:val="left" w:pos="3525"/>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124C" w:rsidRDefault="008F124C">
    <w:pPr>
      <w:pStyle w:val="Header"/>
    </w:pPr>
    <w:r>
      <w:rPr>
        <w:noProof/>
      </w:rPr>
      <mc:AlternateContent>
        <mc:Choice Requires="wps">
          <w:drawing>
            <wp:anchor distT="0" distB="0" distL="114300" distR="114300" simplePos="0" relativeHeight="251659264" behindDoc="0" locked="0" layoutInCell="0" allowOverlap="1">
              <wp:simplePos x="0" y="0"/>
              <wp:positionH relativeFrom="leftMargin">
                <wp:posOffset>295274</wp:posOffset>
              </wp:positionH>
              <wp:positionV relativeFrom="margin">
                <wp:posOffset>2666999</wp:posOffset>
              </wp:positionV>
              <wp:extent cx="510540" cy="523875"/>
              <wp:effectExtent l="0" t="0" r="0" b="9525"/>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1054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124C" w:rsidRPr="009D6ACF" w:rsidRDefault="008F124C" w:rsidP="009D6ACF">
                          <w:pPr>
                            <w:pStyle w:val="Footer"/>
                            <w:jc w:val="center"/>
                            <w:rPr>
                              <w:rFonts w:eastAsiaTheme="majorEastAsia" w:cstheme="majorBidi"/>
                              <w:sz w:val="40"/>
                              <w:szCs w:val="44"/>
                            </w:rPr>
                          </w:pPr>
                          <w:r w:rsidRPr="009D6ACF">
                            <w:rPr>
                              <w:rFonts w:cs="Times New Roman"/>
                              <w:szCs w:val="24"/>
                            </w:rPr>
                            <w:fldChar w:fldCharType="begin"/>
                          </w:r>
                          <w:r w:rsidRPr="00EB75C9">
                            <w:rPr>
                              <w:rFonts w:cs="Times New Roman"/>
                              <w:szCs w:val="24"/>
                            </w:rPr>
                            <w:instrText xml:space="preserve"> PAGE    \* MERGEFORMAT </w:instrText>
                          </w:r>
                          <w:r w:rsidRPr="009D6ACF">
                            <w:rPr>
                              <w:rFonts w:cs="Times New Roman"/>
                              <w:szCs w:val="24"/>
                            </w:rPr>
                            <w:fldChar w:fldCharType="separate"/>
                          </w:r>
                          <w:r w:rsidR="00EB75C9" w:rsidRPr="00EB75C9">
                            <w:rPr>
                              <w:rFonts w:eastAsiaTheme="majorEastAsia" w:cs="Times New Roman"/>
                              <w:noProof/>
                              <w:szCs w:val="24"/>
                            </w:rPr>
                            <w:t>100</w:t>
                          </w:r>
                          <w:r w:rsidRPr="009D6ACF">
                            <w:rPr>
                              <w:rFonts w:eastAsiaTheme="majorEastAsia" w:cs="Times New Roman"/>
                              <w:noProof/>
                              <w:szCs w:val="24"/>
                            </w:rPr>
                            <w:fldChar w:fldCharType="end"/>
                          </w:r>
                          <w:r>
                            <w:rPr>
                              <w:rFonts w:eastAsiaTheme="majorEastAsia" w:cs="Times New Roman"/>
                              <w:noProof/>
                              <w:szCs w:val="24"/>
                            </w:rPr>
                            <w:ptab w:relativeTo="margin" w:alignment="center" w:leader="none"/>
                          </w:r>
                        </w:p>
                      </w:txbxContent>
                    </wps:txbx>
                    <wps:bodyPr rot="0" vert="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9" o:spid="_x0000_s1097" style="position:absolute;margin-left:23.25pt;margin-top:210pt;width:40.2pt;height:41.25pt;rotation:180;z-index:251659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" o:allowincell="f" filled="f" stroked="f">
              <v:textbox style="layout-flow:vertical;mso-fit-shape-to-text:t">
                <w:txbxContent>
                  <w:p w:rsidR="008F124C" w:rsidRPr="009D6ACF" w:rsidRDefault="008F124C" w:rsidP="009D6ACF">
                    <w:pPr>
                      <w:pStyle w:val="Footer"/>
                      <w:jc w:val="center"/>
                      <w:rPr>
                        <w:rFonts w:eastAsiaTheme="majorEastAsia" w:cstheme="majorBidi"/>
                        <w:sz w:val="40"/>
                        <w:szCs w:val="44"/>
                      </w:rPr>
                    </w:pPr>
                    <w:r w:rsidRPr="009D6ACF">
                      <w:rPr>
                        <w:rFonts w:cs="Times New Roman"/>
                        <w:szCs w:val="24"/>
                      </w:rPr>
                      <w:fldChar w:fldCharType="begin"/>
                    </w:r>
                    <w:r w:rsidRPr="00EB75C9">
                      <w:rPr>
                        <w:rFonts w:cs="Times New Roman"/>
                        <w:szCs w:val="24"/>
                      </w:rPr>
                      <w:instrText xml:space="preserve"> PAGE    \* MERGEFORMAT </w:instrText>
                    </w:r>
                    <w:r w:rsidRPr="009D6ACF">
                      <w:rPr>
                        <w:rFonts w:cs="Times New Roman"/>
                        <w:szCs w:val="24"/>
                      </w:rPr>
                      <w:fldChar w:fldCharType="separate"/>
                    </w:r>
                    <w:r w:rsidR="00EB75C9" w:rsidRPr="00EB75C9">
                      <w:rPr>
                        <w:rFonts w:eastAsiaTheme="majorEastAsia" w:cs="Times New Roman"/>
                        <w:noProof/>
                        <w:szCs w:val="24"/>
                      </w:rPr>
                      <w:t>100</w:t>
                    </w:r>
                    <w:r w:rsidRPr="009D6ACF">
                      <w:rPr>
                        <w:rFonts w:eastAsiaTheme="majorEastAsia" w:cs="Times New Roman"/>
                        <w:noProof/>
                        <w:szCs w:val="24"/>
                      </w:rPr>
                      <w:fldChar w:fldCharType="end"/>
                    </w:r>
                    <w:r>
                      <w:rPr>
                        <w:rFonts w:eastAsiaTheme="majorEastAsia" w:cs="Times New Roman"/>
                        <w:noProof/>
                        <w:szCs w:val="24"/>
                      </w:rPr>
                      <w:ptab w:relativeTo="margin" w:alignment="center" w:leader="none"/>
                    </w:r>
                  </w:p>
                </w:txbxContent>
              </v:textbox>
              <w10:wrap anchorx="margin" anchory="margin"/>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124C" w:rsidRDefault="008F124C" w:rsidP="008D3927">
    <w:pPr>
      <w:pStyle w:val="Header"/>
      <w:tabs>
        <w:tab w:val="clear" w:pos="4513"/>
        <w:tab w:val="clear" w:pos="9026"/>
        <w:tab w:val="left" w:pos="352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7550A5"/>
    <w:multiLevelType w:val="multilevel"/>
    <w:tmpl w:val="42066F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3FC7E42"/>
    <w:multiLevelType w:val="multilevel"/>
    <w:tmpl w:val="1DA21A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64E0A43"/>
    <w:multiLevelType w:val="multilevel"/>
    <w:tmpl w:val="AD4CB5F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A214D84"/>
    <w:multiLevelType w:val="hybridMultilevel"/>
    <w:tmpl w:val="0130D7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59128B"/>
    <w:multiLevelType w:val="multilevel"/>
    <w:tmpl w:val="1C44A75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24C79B1"/>
    <w:multiLevelType w:val="multilevel"/>
    <w:tmpl w:val="A426B81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2F504BC5"/>
    <w:multiLevelType w:val="multilevel"/>
    <w:tmpl w:val="1F4040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35595072"/>
    <w:multiLevelType w:val="hybridMultilevel"/>
    <w:tmpl w:val="E1841F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8375C3D"/>
    <w:multiLevelType w:val="hybridMultilevel"/>
    <w:tmpl w:val="B84E357A"/>
    <w:lvl w:ilvl="0" w:tplc="0809000F">
      <w:start w:val="1"/>
      <w:numFmt w:val="decimal"/>
      <w:lvlText w:val="%1."/>
      <w:lvlJc w:val="left"/>
      <w:pPr>
        <w:ind w:left="1494" w:hanging="360"/>
      </w:p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9" w15:restartNumberingAfterBreak="0">
    <w:nsid w:val="3B740E8C"/>
    <w:multiLevelType w:val="hybridMultilevel"/>
    <w:tmpl w:val="AA38BCC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3CDD24E2"/>
    <w:multiLevelType w:val="hybridMultilevel"/>
    <w:tmpl w:val="4AA28F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17E4B48"/>
    <w:multiLevelType w:val="hybridMultilevel"/>
    <w:tmpl w:val="2A3A4FAE"/>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 w15:restartNumberingAfterBreak="0">
    <w:nsid w:val="41F17521"/>
    <w:multiLevelType w:val="multilevel"/>
    <w:tmpl w:val="69BCBF9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452F4E6B"/>
    <w:multiLevelType w:val="hybridMultilevel"/>
    <w:tmpl w:val="305A7A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4AA56945"/>
    <w:multiLevelType w:val="hybridMultilevel"/>
    <w:tmpl w:val="A72001B2"/>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 w15:restartNumberingAfterBreak="0">
    <w:nsid w:val="4E346A91"/>
    <w:multiLevelType w:val="hybridMultilevel"/>
    <w:tmpl w:val="3378FE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2973167"/>
    <w:multiLevelType w:val="hybridMultilevel"/>
    <w:tmpl w:val="D6D4232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7" w15:restartNumberingAfterBreak="0">
    <w:nsid w:val="55D93881"/>
    <w:multiLevelType w:val="hybridMultilevel"/>
    <w:tmpl w:val="FC0606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8A031F1"/>
    <w:multiLevelType w:val="hybridMultilevel"/>
    <w:tmpl w:val="63FEA0EA"/>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 w15:restartNumberingAfterBreak="0">
    <w:nsid w:val="58A4541A"/>
    <w:multiLevelType w:val="hybridMultilevel"/>
    <w:tmpl w:val="64241F3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598920EB"/>
    <w:multiLevelType w:val="hybridMultilevel"/>
    <w:tmpl w:val="35B81A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40C766C"/>
    <w:multiLevelType w:val="hybridMultilevel"/>
    <w:tmpl w:val="D7BCD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67017A1"/>
    <w:multiLevelType w:val="hybridMultilevel"/>
    <w:tmpl w:val="4B7C4F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69F225A"/>
    <w:multiLevelType w:val="hybridMultilevel"/>
    <w:tmpl w:val="08700A98"/>
    <w:lvl w:ilvl="0" w:tplc="08090001">
      <w:start w:val="1"/>
      <w:numFmt w:val="bullet"/>
      <w:lvlText w:val=""/>
      <w:lvlJc w:val="left"/>
      <w:pPr>
        <w:ind w:left="1494" w:hanging="360"/>
      </w:pPr>
      <w:rPr>
        <w:rFonts w:ascii="Symbol" w:hAnsi="Symbol"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24" w15:restartNumberingAfterBreak="0">
    <w:nsid w:val="6B8E7C74"/>
    <w:multiLevelType w:val="hybridMultilevel"/>
    <w:tmpl w:val="8D603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0984522"/>
    <w:multiLevelType w:val="multilevel"/>
    <w:tmpl w:val="BFCED3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73556558"/>
    <w:multiLevelType w:val="multilevel"/>
    <w:tmpl w:val="562648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7B792FE8"/>
    <w:multiLevelType w:val="hybridMultilevel"/>
    <w:tmpl w:val="4DECD9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C82512E"/>
    <w:multiLevelType w:val="hybridMultilevel"/>
    <w:tmpl w:val="18560EB0"/>
    <w:lvl w:ilvl="0" w:tplc="08090001">
      <w:start w:val="1"/>
      <w:numFmt w:val="bullet"/>
      <w:lvlText w:val=""/>
      <w:lvlJc w:val="left"/>
      <w:pPr>
        <w:ind w:left="1494" w:hanging="360"/>
      </w:pPr>
      <w:rPr>
        <w:rFonts w:ascii="Symbol" w:hAnsi="Symbol"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29" w15:restartNumberingAfterBreak="0">
    <w:nsid w:val="7DC37306"/>
    <w:multiLevelType w:val="multilevel"/>
    <w:tmpl w:val="E8B02D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5"/>
  </w:num>
  <w:num w:numId="2">
    <w:abstractNumId w:val="25"/>
  </w:num>
  <w:num w:numId="3">
    <w:abstractNumId w:val="6"/>
  </w:num>
  <w:num w:numId="4">
    <w:abstractNumId w:val="26"/>
  </w:num>
  <w:num w:numId="5">
    <w:abstractNumId w:val="2"/>
  </w:num>
  <w:num w:numId="6">
    <w:abstractNumId w:val="0"/>
  </w:num>
  <w:num w:numId="7">
    <w:abstractNumId w:val="1"/>
  </w:num>
  <w:num w:numId="8">
    <w:abstractNumId w:val="4"/>
  </w:num>
  <w:num w:numId="9">
    <w:abstractNumId w:val="12"/>
  </w:num>
  <w:num w:numId="10">
    <w:abstractNumId w:val="29"/>
  </w:num>
  <w:num w:numId="11">
    <w:abstractNumId w:val="27"/>
  </w:num>
  <w:num w:numId="12">
    <w:abstractNumId w:val="13"/>
  </w:num>
  <w:num w:numId="13">
    <w:abstractNumId w:val="19"/>
  </w:num>
  <w:num w:numId="14">
    <w:abstractNumId w:val="23"/>
  </w:num>
  <w:num w:numId="15">
    <w:abstractNumId w:val="20"/>
  </w:num>
  <w:num w:numId="16">
    <w:abstractNumId w:val="24"/>
  </w:num>
  <w:num w:numId="17">
    <w:abstractNumId w:val="15"/>
  </w:num>
  <w:num w:numId="18">
    <w:abstractNumId w:val="28"/>
  </w:num>
  <w:num w:numId="19">
    <w:abstractNumId w:val="16"/>
  </w:num>
  <w:num w:numId="20">
    <w:abstractNumId w:val="17"/>
  </w:num>
  <w:num w:numId="21">
    <w:abstractNumId w:val="9"/>
  </w:num>
  <w:num w:numId="22">
    <w:abstractNumId w:val="8"/>
  </w:num>
  <w:num w:numId="23">
    <w:abstractNumId w:val="18"/>
  </w:num>
  <w:num w:numId="24">
    <w:abstractNumId w:val="3"/>
  </w:num>
  <w:num w:numId="25">
    <w:abstractNumId w:val="14"/>
  </w:num>
  <w:num w:numId="26">
    <w:abstractNumId w:val="10"/>
  </w:num>
  <w:num w:numId="27">
    <w:abstractNumId w:val="11"/>
  </w:num>
  <w:num w:numId="28">
    <w:abstractNumId w:val="7"/>
  </w:num>
  <w:num w:numId="29">
    <w:abstractNumId w:val="21"/>
  </w:num>
  <w:num w:numId="30">
    <w:abstractNumId w:val="2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6"/>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62D1"/>
    <w:rsid w:val="00000FD5"/>
    <w:rsid w:val="000014F1"/>
    <w:rsid w:val="00002678"/>
    <w:rsid w:val="00002D62"/>
    <w:rsid w:val="00002EFC"/>
    <w:rsid w:val="00004756"/>
    <w:rsid w:val="00004FBD"/>
    <w:rsid w:val="00005478"/>
    <w:rsid w:val="00005802"/>
    <w:rsid w:val="000073BB"/>
    <w:rsid w:val="000114A4"/>
    <w:rsid w:val="000146A1"/>
    <w:rsid w:val="000155B8"/>
    <w:rsid w:val="000165C1"/>
    <w:rsid w:val="000209CE"/>
    <w:rsid w:val="00020DA7"/>
    <w:rsid w:val="000213BD"/>
    <w:rsid w:val="000217D9"/>
    <w:rsid w:val="00024148"/>
    <w:rsid w:val="00025287"/>
    <w:rsid w:val="00025362"/>
    <w:rsid w:val="00026876"/>
    <w:rsid w:val="00026D43"/>
    <w:rsid w:val="00026F8E"/>
    <w:rsid w:val="00027F62"/>
    <w:rsid w:val="000306E5"/>
    <w:rsid w:val="00030751"/>
    <w:rsid w:val="00030F16"/>
    <w:rsid w:val="00031497"/>
    <w:rsid w:val="00033264"/>
    <w:rsid w:val="00033E20"/>
    <w:rsid w:val="00034724"/>
    <w:rsid w:val="00034E0C"/>
    <w:rsid w:val="00035A4A"/>
    <w:rsid w:val="00035C12"/>
    <w:rsid w:val="00037ADF"/>
    <w:rsid w:val="00040A8C"/>
    <w:rsid w:val="0004127B"/>
    <w:rsid w:val="0004133A"/>
    <w:rsid w:val="0004144C"/>
    <w:rsid w:val="00041908"/>
    <w:rsid w:val="00041D5F"/>
    <w:rsid w:val="0004273D"/>
    <w:rsid w:val="00043134"/>
    <w:rsid w:val="0004366D"/>
    <w:rsid w:val="00043F03"/>
    <w:rsid w:val="00044620"/>
    <w:rsid w:val="00045605"/>
    <w:rsid w:val="00045A87"/>
    <w:rsid w:val="00045ABD"/>
    <w:rsid w:val="00046390"/>
    <w:rsid w:val="000470DA"/>
    <w:rsid w:val="00050DE9"/>
    <w:rsid w:val="0005123B"/>
    <w:rsid w:val="00051771"/>
    <w:rsid w:val="0005211E"/>
    <w:rsid w:val="00052E45"/>
    <w:rsid w:val="00055D78"/>
    <w:rsid w:val="000562BE"/>
    <w:rsid w:val="00062206"/>
    <w:rsid w:val="000631BD"/>
    <w:rsid w:val="00064007"/>
    <w:rsid w:val="00064314"/>
    <w:rsid w:val="000661CC"/>
    <w:rsid w:val="0006682C"/>
    <w:rsid w:val="00067A27"/>
    <w:rsid w:val="00067B27"/>
    <w:rsid w:val="00067D61"/>
    <w:rsid w:val="00070BD8"/>
    <w:rsid w:val="00071E82"/>
    <w:rsid w:val="00072324"/>
    <w:rsid w:val="000723B4"/>
    <w:rsid w:val="000726A2"/>
    <w:rsid w:val="000736FE"/>
    <w:rsid w:val="000744B6"/>
    <w:rsid w:val="00075A7F"/>
    <w:rsid w:val="0007772E"/>
    <w:rsid w:val="0008069A"/>
    <w:rsid w:val="0008118D"/>
    <w:rsid w:val="00081906"/>
    <w:rsid w:val="000834AA"/>
    <w:rsid w:val="000835CF"/>
    <w:rsid w:val="00083FA5"/>
    <w:rsid w:val="00085101"/>
    <w:rsid w:val="000851A5"/>
    <w:rsid w:val="00086399"/>
    <w:rsid w:val="000865A2"/>
    <w:rsid w:val="0008665A"/>
    <w:rsid w:val="000903D6"/>
    <w:rsid w:val="000906E1"/>
    <w:rsid w:val="00091C62"/>
    <w:rsid w:val="0009250D"/>
    <w:rsid w:val="00093BA7"/>
    <w:rsid w:val="00094643"/>
    <w:rsid w:val="00094E6B"/>
    <w:rsid w:val="0009521C"/>
    <w:rsid w:val="00095771"/>
    <w:rsid w:val="00095BD8"/>
    <w:rsid w:val="00096C20"/>
    <w:rsid w:val="00097301"/>
    <w:rsid w:val="00097349"/>
    <w:rsid w:val="0009742D"/>
    <w:rsid w:val="00097B00"/>
    <w:rsid w:val="000A0839"/>
    <w:rsid w:val="000A214C"/>
    <w:rsid w:val="000A2273"/>
    <w:rsid w:val="000A62B5"/>
    <w:rsid w:val="000A6BAE"/>
    <w:rsid w:val="000A7050"/>
    <w:rsid w:val="000A739D"/>
    <w:rsid w:val="000B2B36"/>
    <w:rsid w:val="000B46A0"/>
    <w:rsid w:val="000B4B23"/>
    <w:rsid w:val="000B5907"/>
    <w:rsid w:val="000B5B00"/>
    <w:rsid w:val="000B5B4D"/>
    <w:rsid w:val="000B66D9"/>
    <w:rsid w:val="000B6D72"/>
    <w:rsid w:val="000B7103"/>
    <w:rsid w:val="000B7C8E"/>
    <w:rsid w:val="000C013D"/>
    <w:rsid w:val="000C0B19"/>
    <w:rsid w:val="000C0D86"/>
    <w:rsid w:val="000C116D"/>
    <w:rsid w:val="000C14A8"/>
    <w:rsid w:val="000C14DF"/>
    <w:rsid w:val="000C1EFA"/>
    <w:rsid w:val="000C260F"/>
    <w:rsid w:val="000C4966"/>
    <w:rsid w:val="000C6C89"/>
    <w:rsid w:val="000D0000"/>
    <w:rsid w:val="000D0655"/>
    <w:rsid w:val="000D2334"/>
    <w:rsid w:val="000D3BC7"/>
    <w:rsid w:val="000D4472"/>
    <w:rsid w:val="000D477E"/>
    <w:rsid w:val="000D5B0F"/>
    <w:rsid w:val="000D6190"/>
    <w:rsid w:val="000D65D9"/>
    <w:rsid w:val="000D72C9"/>
    <w:rsid w:val="000D75FE"/>
    <w:rsid w:val="000E065F"/>
    <w:rsid w:val="000E12EE"/>
    <w:rsid w:val="000E240E"/>
    <w:rsid w:val="000E3013"/>
    <w:rsid w:val="000E3A90"/>
    <w:rsid w:val="000E4946"/>
    <w:rsid w:val="000E4E4F"/>
    <w:rsid w:val="000E518C"/>
    <w:rsid w:val="000E7438"/>
    <w:rsid w:val="000F0754"/>
    <w:rsid w:val="000F0A9D"/>
    <w:rsid w:val="000F0B81"/>
    <w:rsid w:val="000F1F9D"/>
    <w:rsid w:val="000F272E"/>
    <w:rsid w:val="000F2B53"/>
    <w:rsid w:val="000F354E"/>
    <w:rsid w:val="000F39EA"/>
    <w:rsid w:val="000F4255"/>
    <w:rsid w:val="000F4B6D"/>
    <w:rsid w:val="000F4FAE"/>
    <w:rsid w:val="000F52CC"/>
    <w:rsid w:val="0010265C"/>
    <w:rsid w:val="00102EB3"/>
    <w:rsid w:val="001043FB"/>
    <w:rsid w:val="0010555E"/>
    <w:rsid w:val="00106383"/>
    <w:rsid w:val="00107BD6"/>
    <w:rsid w:val="00111A47"/>
    <w:rsid w:val="00111E54"/>
    <w:rsid w:val="00112E88"/>
    <w:rsid w:val="001137C2"/>
    <w:rsid w:val="00113DEB"/>
    <w:rsid w:val="00113F54"/>
    <w:rsid w:val="001154C6"/>
    <w:rsid w:val="00115B88"/>
    <w:rsid w:val="00116E1F"/>
    <w:rsid w:val="00116F92"/>
    <w:rsid w:val="00120F76"/>
    <w:rsid w:val="00121642"/>
    <w:rsid w:val="00121DF0"/>
    <w:rsid w:val="001223A4"/>
    <w:rsid w:val="00123540"/>
    <w:rsid w:val="0012356B"/>
    <w:rsid w:val="00124052"/>
    <w:rsid w:val="00124399"/>
    <w:rsid w:val="00125918"/>
    <w:rsid w:val="00125A75"/>
    <w:rsid w:val="0012672E"/>
    <w:rsid w:val="00127280"/>
    <w:rsid w:val="00127C11"/>
    <w:rsid w:val="001303F4"/>
    <w:rsid w:val="00130CE9"/>
    <w:rsid w:val="001323AE"/>
    <w:rsid w:val="001324FC"/>
    <w:rsid w:val="001337DC"/>
    <w:rsid w:val="00133BCB"/>
    <w:rsid w:val="00135597"/>
    <w:rsid w:val="001359DB"/>
    <w:rsid w:val="001370A4"/>
    <w:rsid w:val="0013786B"/>
    <w:rsid w:val="001411B9"/>
    <w:rsid w:val="001419C8"/>
    <w:rsid w:val="001424D4"/>
    <w:rsid w:val="001428C1"/>
    <w:rsid w:val="0014427A"/>
    <w:rsid w:val="00145BBD"/>
    <w:rsid w:val="00145D4A"/>
    <w:rsid w:val="00146447"/>
    <w:rsid w:val="00146B9D"/>
    <w:rsid w:val="00150E20"/>
    <w:rsid w:val="00150FB1"/>
    <w:rsid w:val="0015168E"/>
    <w:rsid w:val="001518DB"/>
    <w:rsid w:val="00152710"/>
    <w:rsid w:val="00154C9E"/>
    <w:rsid w:val="00155035"/>
    <w:rsid w:val="001577A2"/>
    <w:rsid w:val="00162411"/>
    <w:rsid w:val="00162FA1"/>
    <w:rsid w:val="001655EE"/>
    <w:rsid w:val="00166B87"/>
    <w:rsid w:val="001715D6"/>
    <w:rsid w:val="001716DC"/>
    <w:rsid w:val="00171A37"/>
    <w:rsid w:val="001764B4"/>
    <w:rsid w:val="001765AD"/>
    <w:rsid w:val="00176B66"/>
    <w:rsid w:val="001775DC"/>
    <w:rsid w:val="00177E47"/>
    <w:rsid w:val="001820F7"/>
    <w:rsid w:val="0018393E"/>
    <w:rsid w:val="00183F89"/>
    <w:rsid w:val="00186096"/>
    <w:rsid w:val="0018636C"/>
    <w:rsid w:val="00187515"/>
    <w:rsid w:val="00190323"/>
    <w:rsid w:val="001907E1"/>
    <w:rsid w:val="0019091E"/>
    <w:rsid w:val="00190B92"/>
    <w:rsid w:val="00192DDE"/>
    <w:rsid w:val="001940D8"/>
    <w:rsid w:val="00195F88"/>
    <w:rsid w:val="001A3770"/>
    <w:rsid w:val="001A3DD2"/>
    <w:rsid w:val="001A562D"/>
    <w:rsid w:val="001A6F45"/>
    <w:rsid w:val="001A721D"/>
    <w:rsid w:val="001A759F"/>
    <w:rsid w:val="001A7F3A"/>
    <w:rsid w:val="001B1118"/>
    <w:rsid w:val="001B28E5"/>
    <w:rsid w:val="001B2F5D"/>
    <w:rsid w:val="001B3E74"/>
    <w:rsid w:val="001B58DC"/>
    <w:rsid w:val="001B629A"/>
    <w:rsid w:val="001B780C"/>
    <w:rsid w:val="001C044A"/>
    <w:rsid w:val="001C052B"/>
    <w:rsid w:val="001C0AD3"/>
    <w:rsid w:val="001C4274"/>
    <w:rsid w:val="001C473B"/>
    <w:rsid w:val="001C4DAD"/>
    <w:rsid w:val="001C4F98"/>
    <w:rsid w:val="001C7F0A"/>
    <w:rsid w:val="001D0C7E"/>
    <w:rsid w:val="001D153E"/>
    <w:rsid w:val="001D1618"/>
    <w:rsid w:val="001D19AE"/>
    <w:rsid w:val="001D1D6F"/>
    <w:rsid w:val="001D2885"/>
    <w:rsid w:val="001D4D87"/>
    <w:rsid w:val="001D4F24"/>
    <w:rsid w:val="001D553C"/>
    <w:rsid w:val="001D5FB7"/>
    <w:rsid w:val="001D749E"/>
    <w:rsid w:val="001E026B"/>
    <w:rsid w:val="001E1407"/>
    <w:rsid w:val="001E18F6"/>
    <w:rsid w:val="001E1932"/>
    <w:rsid w:val="001E211C"/>
    <w:rsid w:val="001E290A"/>
    <w:rsid w:val="001E2F53"/>
    <w:rsid w:val="001E5B4E"/>
    <w:rsid w:val="001E5DC7"/>
    <w:rsid w:val="001E7489"/>
    <w:rsid w:val="001E7C0A"/>
    <w:rsid w:val="001F0311"/>
    <w:rsid w:val="001F10C9"/>
    <w:rsid w:val="001F1E1D"/>
    <w:rsid w:val="001F1EA8"/>
    <w:rsid w:val="001F1EF9"/>
    <w:rsid w:val="001F299A"/>
    <w:rsid w:val="001F3302"/>
    <w:rsid w:val="001F3B50"/>
    <w:rsid w:val="001F4212"/>
    <w:rsid w:val="001F4960"/>
    <w:rsid w:val="001F5C59"/>
    <w:rsid w:val="001F6625"/>
    <w:rsid w:val="002016F1"/>
    <w:rsid w:val="00202A5B"/>
    <w:rsid w:val="00202BE6"/>
    <w:rsid w:val="00202C43"/>
    <w:rsid w:val="0020300D"/>
    <w:rsid w:val="00203584"/>
    <w:rsid w:val="002046DE"/>
    <w:rsid w:val="00207A3E"/>
    <w:rsid w:val="00210C6E"/>
    <w:rsid w:val="00211764"/>
    <w:rsid w:val="00211B9E"/>
    <w:rsid w:val="00212115"/>
    <w:rsid w:val="00213728"/>
    <w:rsid w:val="0021435B"/>
    <w:rsid w:val="00215F19"/>
    <w:rsid w:val="002169D2"/>
    <w:rsid w:val="00216DB7"/>
    <w:rsid w:val="002175A3"/>
    <w:rsid w:val="00217B6A"/>
    <w:rsid w:val="00221872"/>
    <w:rsid w:val="00222E09"/>
    <w:rsid w:val="00223A66"/>
    <w:rsid w:val="00224BE2"/>
    <w:rsid w:val="00226598"/>
    <w:rsid w:val="00226B3B"/>
    <w:rsid w:val="00226BC3"/>
    <w:rsid w:val="00230088"/>
    <w:rsid w:val="00231CD0"/>
    <w:rsid w:val="00231D4A"/>
    <w:rsid w:val="00233302"/>
    <w:rsid w:val="00233FD6"/>
    <w:rsid w:val="00236B29"/>
    <w:rsid w:val="00237FCE"/>
    <w:rsid w:val="002400EF"/>
    <w:rsid w:val="00241446"/>
    <w:rsid w:val="002433EA"/>
    <w:rsid w:val="00244955"/>
    <w:rsid w:val="00244AF4"/>
    <w:rsid w:val="00245619"/>
    <w:rsid w:val="00245681"/>
    <w:rsid w:val="00246EE4"/>
    <w:rsid w:val="0024780A"/>
    <w:rsid w:val="0024785A"/>
    <w:rsid w:val="00247EAA"/>
    <w:rsid w:val="00250418"/>
    <w:rsid w:val="00250E24"/>
    <w:rsid w:val="002540B7"/>
    <w:rsid w:val="00254510"/>
    <w:rsid w:val="00254BAC"/>
    <w:rsid w:val="00255059"/>
    <w:rsid w:val="0025507D"/>
    <w:rsid w:val="0025584E"/>
    <w:rsid w:val="00255DBB"/>
    <w:rsid w:val="00256723"/>
    <w:rsid w:val="00257192"/>
    <w:rsid w:val="0026349C"/>
    <w:rsid w:val="00264855"/>
    <w:rsid w:val="002655DF"/>
    <w:rsid w:val="00266321"/>
    <w:rsid w:val="00267D0A"/>
    <w:rsid w:val="00270098"/>
    <w:rsid w:val="0027009A"/>
    <w:rsid w:val="00270A6D"/>
    <w:rsid w:val="002714D6"/>
    <w:rsid w:val="002731A4"/>
    <w:rsid w:val="00273D9D"/>
    <w:rsid w:val="00275395"/>
    <w:rsid w:val="00275499"/>
    <w:rsid w:val="00275EDD"/>
    <w:rsid w:val="00276181"/>
    <w:rsid w:val="00276825"/>
    <w:rsid w:val="00280970"/>
    <w:rsid w:val="00281AFA"/>
    <w:rsid w:val="002841A7"/>
    <w:rsid w:val="002851F4"/>
    <w:rsid w:val="00286343"/>
    <w:rsid w:val="00286424"/>
    <w:rsid w:val="00286E74"/>
    <w:rsid w:val="00287F32"/>
    <w:rsid w:val="00290001"/>
    <w:rsid w:val="002924A8"/>
    <w:rsid w:val="002929AD"/>
    <w:rsid w:val="00292E2E"/>
    <w:rsid w:val="00294221"/>
    <w:rsid w:val="002972DB"/>
    <w:rsid w:val="00297699"/>
    <w:rsid w:val="0029778D"/>
    <w:rsid w:val="00297A6B"/>
    <w:rsid w:val="002A1F73"/>
    <w:rsid w:val="002A50FA"/>
    <w:rsid w:val="002B016B"/>
    <w:rsid w:val="002B0D0B"/>
    <w:rsid w:val="002B1407"/>
    <w:rsid w:val="002B15D5"/>
    <w:rsid w:val="002B1928"/>
    <w:rsid w:val="002B2946"/>
    <w:rsid w:val="002B51BC"/>
    <w:rsid w:val="002B566E"/>
    <w:rsid w:val="002B684F"/>
    <w:rsid w:val="002B7B41"/>
    <w:rsid w:val="002C0138"/>
    <w:rsid w:val="002C3E4A"/>
    <w:rsid w:val="002C49A9"/>
    <w:rsid w:val="002C6B10"/>
    <w:rsid w:val="002C7878"/>
    <w:rsid w:val="002D3235"/>
    <w:rsid w:val="002D360B"/>
    <w:rsid w:val="002D5CC9"/>
    <w:rsid w:val="002D5F09"/>
    <w:rsid w:val="002D79A4"/>
    <w:rsid w:val="002E057E"/>
    <w:rsid w:val="002E079B"/>
    <w:rsid w:val="002E0BAC"/>
    <w:rsid w:val="002E0DA2"/>
    <w:rsid w:val="002E1007"/>
    <w:rsid w:val="002E1E29"/>
    <w:rsid w:val="002E21F3"/>
    <w:rsid w:val="002E247E"/>
    <w:rsid w:val="002E4CB7"/>
    <w:rsid w:val="002E54AF"/>
    <w:rsid w:val="002E60E6"/>
    <w:rsid w:val="002E6486"/>
    <w:rsid w:val="002E7C95"/>
    <w:rsid w:val="002F1201"/>
    <w:rsid w:val="002F1F74"/>
    <w:rsid w:val="002F2832"/>
    <w:rsid w:val="002F2A4F"/>
    <w:rsid w:val="002F2E2E"/>
    <w:rsid w:val="002F35D3"/>
    <w:rsid w:val="002F5806"/>
    <w:rsid w:val="002F63D8"/>
    <w:rsid w:val="00300697"/>
    <w:rsid w:val="0030069F"/>
    <w:rsid w:val="00300C7C"/>
    <w:rsid w:val="00301BA0"/>
    <w:rsid w:val="00303BA1"/>
    <w:rsid w:val="00303C10"/>
    <w:rsid w:val="003045BB"/>
    <w:rsid w:val="003046CD"/>
    <w:rsid w:val="00306723"/>
    <w:rsid w:val="00307625"/>
    <w:rsid w:val="00310B56"/>
    <w:rsid w:val="00311300"/>
    <w:rsid w:val="003117E1"/>
    <w:rsid w:val="00311BB9"/>
    <w:rsid w:val="00314FAC"/>
    <w:rsid w:val="003157DA"/>
    <w:rsid w:val="00316448"/>
    <w:rsid w:val="00316C73"/>
    <w:rsid w:val="0032120F"/>
    <w:rsid w:val="003214E8"/>
    <w:rsid w:val="00322FB9"/>
    <w:rsid w:val="003236A3"/>
    <w:rsid w:val="00323959"/>
    <w:rsid w:val="00326DD0"/>
    <w:rsid w:val="00330083"/>
    <w:rsid w:val="003307A3"/>
    <w:rsid w:val="00331501"/>
    <w:rsid w:val="00331C70"/>
    <w:rsid w:val="00331E72"/>
    <w:rsid w:val="00332E7D"/>
    <w:rsid w:val="00334198"/>
    <w:rsid w:val="0033567C"/>
    <w:rsid w:val="00336809"/>
    <w:rsid w:val="00340B16"/>
    <w:rsid w:val="00340F08"/>
    <w:rsid w:val="00342087"/>
    <w:rsid w:val="003431F8"/>
    <w:rsid w:val="00344D2B"/>
    <w:rsid w:val="00345619"/>
    <w:rsid w:val="0034605F"/>
    <w:rsid w:val="00346D7A"/>
    <w:rsid w:val="00347890"/>
    <w:rsid w:val="0035024D"/>
    <w:rsid w:val="003516FE"/>
    <w:rsid w:val="00351929"/>
    <w:rsid w:val="00351B96"/>
    <w:rsid w:val="003548E6"/>
    <w:rsid w:val="00354B6A"/>
    <w:rsid w:val="00354F46"/>
    <w:rsid w:val="00356468"/>
    <w:rsid w:val="00356A3F"/>
    <w:rsid w:val="003571EA"/>
    <w:rsid w:val="00357A87"/>
    <w:rsid w:val="00357DC1"/>
    <w:rsid w:val="003601AA"/>
    <w:rsid w:val="00361475"/>
    <w:rsid w:val="00361973"/>
    <w:rsid w:val="0036218B"/>
    <w:rsid w:val="00363217"/>
    <w:rsid w:val="00363AD2"/>
    <w:rsid w:val="0036568A"/>
    <w:rsid w:val="0036612D"/>
    <w:rsid w:val="00366AE4"/>
    <w:rsid w:val="00370D29"/>
    <w:rsid w:val="003710FF"/>
    <w:rsid w:val="003726F3"/>
    <w:rsid w:val="00373CDD"/>
    <w:rsid w:val="00375972"/>
    <w:rsid w:val="00375E14"/>
    <w:rsid w:val="003807CF"/>
    <w:rsid w:val="00380B1F"/>
    <w:rsid w:val="00381525"/>
    <w:rsid w:val="00381C21"/>
    <w:rsid w:val="003837A1"/>
    <w:rsid w:val="003840DC"/>
    <w:rsid w:val="00386242"/>
    <w:rsid w:val="0038721E"/>
    <w:rsid w:val="003874CB"/>
    <w:rsid w:val="00387BAA"/>
    <w:rsid w:val="00391CE6"/>
    <w:rsid w:val="003922EC"/>
    <w:rsid w:val="0039625A"/>
    <w:rsid w:val="003964FF"/>
    <w:rsid w:val="00397CF6"/>
    <w:rsid w:val="003A30B0"/>
    <w:rsid w:val="003A3B3F"/>
    <w:rsid w:val="003B1BD7"/>
    <w:rsid w:val="003B1E6F"/>
    <w:rsid w:val="003B1FD8"/>
    <w:rsid w:val="003B2D14"/>
    <w:rsid w:val="003B3FB0"/>
    <w:rsid w:val="003B4319"/>
    <w:rsid w:val="003B7E70"/>
    <w:rsid w:val="003C1A29"/>
    <w:rsid w:val="003C2B8F"/>
    <w:rsid w:val="003C316F"/>
    <w:rsid w:val="003C45AA"/>
    <w:rsid w:val="003C4B94"/>
    <w:rsid w:val="003C5621"/>
    <w:rsid w:val="003C7192"/>
    <w:rsid w:val="003D171B"/>
    <w:rsid w:val="003D2DD1"/>
    <w:rsid w:val="003D356E"/>
    <w:rsid w:val="003D3D94"/>
    <w:rsid w:val="003D543F"/>
    <w:rsid w:val="003D5D8E"/>
    <w:rsid w:val="003E2F05"/>
    <w:rsid w:val="003E449A"/>
    <w:rsid w:val="003E48DA"/>
    <w:rsid w:val="003E48DC"/>
    <w:rsid w:val="003E4AC2"/>
    <w:rsid w:val="003E4DD7"/>
    <w:rsid w:val="003E5B42"/>
    <w:rsid w:val="003E7792"/>
    <w:rsid w:val="003F0F8A"/>
    <w:rsid w:val="003F2CF0"/>
    <w:rsid w:val="003F3C89"/>
    <w:rsid w:val="003F475B"/>
    <w:rsid w:val="003F55F7"/>
    <w:rsid w:val="003F5788"/>
    <w:rsid w:val="003F79F4"/>
    <w:rsid w:val="003F7A6E"/>
    <w:rsid w:val="00400305"/>
    <w:rsid w:val="00401421"/>
    <w:rsid w:val="004018F3"/>
    <w:rsid w:val="00401DE8"/>
    <w:rsid w:val="00404967"/>
    <w:rsid w:val="00404C1D"/>
    <w:rsid w:val="00404CAC"/>
    <w:rsid w:val="00406860"/>
    <w:rsid w:val="00407902"/>
    <w:rsid w:val="00412ECC"/>
    <w:rsid w:val="004156AB"/>
    <w:rsid w:val="00415C67"/>
    <w:rsid w:val="00417112"/>
    <w:rsid w:val="004173CB"/>
    <w:rsid w:val="00417C49"/>
    <w:rsid w:val="00420700"/>
    <w:rsid w:val="0042373C"/>
    <w:rsid w:val="00423BE9"/>
    <w:rsid w:val="00424978"/>
    <w:rsid w:val="00425B53"/>
    <w:rsid w:val="0042679C"/>
    <w:rsid w:val="00427519"/>
    <w:rsid w:val="00430CBC"/>
    <w:rsid w:val="00432B71"/>
    <w:rsid w:val="0043371D"/>
    <w:rsid w:val="004339D6"/>
    <w:rsid w:val="00434823"/>
    <w:rsid w:val="004361A3"/>
    <w:rsid w:val="004366CF"/>
    <w:rsid w:val="004368DB"/>
    <w:rsid w:val="00437854"/>
    <w:rsid w:val="00437D2D"/>
    <w:rsid w:val="004405D7"/>
    <w:rsid w:val="0044177D"/>
    <w:rsid w:val="00442592"/>
    <w:rsid w:val="00444447"/>
    <w:rsid w:val="00444A8E"/>
    <w:rsid w:val="00444AFA"/>
    <w:rsid w:val="004455EE"/>
    <w:rsid w:val="00446641"/>
    <w:rsid w:val="004478E8"/>
    <w:rsid w:val="00447A2F"/>
    <w:rsid w:val="00451595"/>
    <w:rsid w:val="004520A0"/>
    <w:rsid w:val="004521BE"/>
    <w:rsid w:val="0045283A"/>
    <w:rsid w:val="004540BD"/>
    <w:rsid w:val="00454D3C"/>
    <w:rsid w:val="0045505B"/>
    <w:rsid w:val="00455903"/>
    <w:rsid w:val="00460AB1"/>
    <w:rsid w:val="00462ED1"/>
    <w:rsid w:val="00464942"/>
    <w:rsid w:val="00464C07"/>
    <w:rsid w:val="00465913"/>
    <w:rsid w:val="004678B9"/>
    <w:rsid w:val="004712E4"/>
    <w:rsid w:val="004713A9"/>
    <w:rsid w:val="00472339"/>
    <w:rsid w:val="00472C40"/>
    <w:rsid w:val="00472CA6"/>
    <w:rsid w:val="004738EF"/>
    <w:rsid w:val="00473A09"/>
    <w:rsid w:val="00474F96"/>
    <w:rsid w:val="00477424"/>
    <w:rsid w:val="0047779E"/>
    <w:rsid w:val="00477956"/>
    <w:rsid w:val="004830C4"/>
    <w:rsid w:val="00483953"/>
    <w:rsid w:val="00483A97"/>
    <w:rsid w:val="0048464C"/>
    <w:rsid w:val="004849B3"/>
    <w:rsid w:val="00484EC7"/>
    <w:rsid w:val="0048632D"/>
    <w:rsid w:val="004878A0"/>
    <w:rsid w:val="00487DB3"/>
    <w:rsid w:val="00492164"/>
    <w:rsid w:val="004930F8"/>
    <w:rsid w:val="00494321"/>
    <w:rsid w:val="0049450E"/>
    <w:rsid w:val="00497CC0"/>
    <w:rsid w:val="004A09CB"/>
    <w:rsid w:val="004A241A"/>
    <w:rsid w:val="004A2D52"/>
    <w:rsid w:val="004A450B"/>
    <w:rsid w:val="004A5706"/>
    <w:rsid w:val="004A5E6A"/>
    <w:rsid w:val="004A68F0"/>
    <w:rsid w:val="004A6BC9"/>
    <w:rsid w:val="004A6C72"/>
    <w:rsid w:val="004B070B"/>
    <w:rsid w:val="004B2C4C"/>
    <w:rsid w:val="004B326D"/>
    <w:rsid w:val="004B434A"/>
    <w:rsid w:val="004B5544"/>
    <w:rsid w:val="004B7172"/>
    <w:rsid w:val="004B7543"/>
    <w:rsid w:val="004C0AC5"/>
    <w:rsid w:val="004C2195"/>
    <w:rsid w:val="004C294D"/>
    <w:rsid w:val="004C2AE9"/>
    <w:rsid w:val="004C3039"/>
    <w:rsid w:val="004C30FF"/>
    <w:rsid w:val="004C419E"/>
    <w:rsid w:val="004C481D"/>
    <w:rsid w:val="004C4902"/>
    <w:rsid w:val="004C50C6"/>
    <w:rsid w:val="004C50C7"/>
    <w:rsid w:val="004D091E"/>
    <w:rsid w:val="004D0DCA"/>
    <w:rsid w:val="004D2D91"/>
    <w:rsid w:val="004D4C54"/>
    <w:rsid w:val="004D595A"/>
    <w:rsid w:val="004D5B2D"/>
    <w:rsid w:val="004D658E"/>
    <w:rsid w:val="004D6662"/>
    <w:rsid w:val="004D6A2D"/>
    <w:rsid w:val="004E0264"/>
    <w:rsid w:val="004E0589"/>
    <w:rsid w:val="004E1F45"/>
    <w:rsid w:val="004E4C90"/>
    <w:rsid w:val="004E4EE0"/>
    <w:rsid w:val="004E6172"/>
    <w:rsid w:val="004E6360"/>
    <w:rsid w:val="004E77ED"/>
    <w:rsid w:val="004F3654"/>
    <w:rsid w:val="004F3E11"/>
    <w:rsid w:val="004F3F12"/>
    <w:rsid w:val="004F5195"/>
    <w:rsid w:val="004F5F9F"/>
    <w:rsid w:val="004F6254"/>
    <w:rsid w:val="004F6369"/>
    <w:rsid w:val="004F63A0"/>
    <w:rsid w:val="005003E9"/>
    <w:rsid w:val="00500D33"/>
    <w:rsid w:val="00502983"/>
    <w:rsid w:val="005043A7"/>
    <w:rsid w:val="005053E8"/>
    <w:rsid w:val="00505F1E"/>
    <w:rsid w:val="00510186"/>
    <w:rsid w:val="00510F61"/>
    <w:rsid w:val="00512B35"/>
    <w:rsid w:val="00514E6D"/>
    <w:rsid w:val="00515170"/>
    <w:rsid w:val="0051572A"/>
    <w:rsid w:val="00516259"/>
    <w:rsid w:val="005167F0"/>
    <w:rsid w:val="0052674C"/>
    <w:rsid w:val="0052727A"/>
    <w:rsid w:val="005305D6"/>
    <w:rsid w:val="0053076C"/>
    <w:rsid w:val="00532160"/>
    <w:rsid w:val="00533203"/>
    <w:rsid w:val="00533E9A"/>
    <w:rsid w:val="0053406D"/>
    <w:rsid w:val="0053459A"/>
    <w:rsid w:val="00534E3D"/>
    <w:rsid w:val="005354AA"/>
    <w:rsid w:val="0054285D"/>
    <w:rsid w:val="00543CA8"/>
    <w:rsid w:val="00543E3C"/>
    <w:rsid w:val="00544B45"/>
    <w:rsid w:val="00545459"/>
    <w:rsid w:val="00546E2D"/>
    <w:rsid w:val="005473E0"/>
    <w:rsid w:val="0054760E"/>
    <w:rsid w:val="00550C99"/>
    <w:rsid w:val="0055131E"/>
    <w:rsid w:val="0055327E"/>
    <w:rsid w:val="005538ED"/>
    <w:rsid w:val="00553BA3"/>
    <w:rsid w:val="005542CE"/>
    <w:rsid w:val="00555ABD"/>
    <w:rsid w:val="00555E99"/>
    <w:rsid w:val="00555FC3"/>
    <w:rsid w:val="00557043"/>
    <w:rsid w:val="0055727D"/>
    <w:rsid w:val="00560F16"/>
    <w:rsid w:val="00562C70"/>
    <w:rsid w:val="0056468D"/>
    <w:rsid w:val="005653B9"/>
    <w:rsid w:val="0056654B"/>
    <w:rsid w:val="005672E5"/>
    <w:rsid w:val="00567334"/>
    <w:rsid w:val="00570F91"/>
    <w:rsid w:val="00571328"/>
    <w:rsid w:val="00571449"/>
    <w:rsid w:val="005724A3"/>
    <w:rsid w:val="0057508C"/>
    <w:rsid w:val="005755B5"/>
    <w:rsid w:val="005761B9"/>
    <w:rsid w:val="00577AED"/>
    <w:rsid w:val="00582DD5"/>
    <w:rsid w:val="00583ABC"/>
    <w:rsid w:val="00584EDE"/>
    <w:rsid w:val="00586F70"/>
    <w:rsid w:val="005877C2"/>
    <w:rsid w:val="00587EB5"/>
    <w:rsid w:val="00590B0F"/>
    <w:rsid w:val="00591E81"/>
    <w:rsid w:val="00593B2F"/>
    <w:rsid w:val="00594BDB"/>
    <w:rsid w:val="00595AB8"/>
    <w:rsid w:val="0059781B"/>
    <w:rsid w:val="00597DCA"/>
    <w:rsid w:val="005A030B"/>
    <w:rsid w:val="005A1E21"/>
    <w:rsid w:val="005A3513"/>
    <w:rsid w:val="005A4119"/>
    <w:rsid w:val="005A50D8"/>
    <w:rsid w:val="005A5EDA"/>
    <w:rsid w:val="005A6A2E"/>
    <w:rsid w:val="005A78FD"/>
    <w:rsid w:val="005A7E54"/>
    <w:rsid w:val="005B0E8C"/>
    <w:rsid w:val="005B31AB"/>
    <w:rsid w:val="005B33F0"/>
    <w:rsid w:val="005B3C74"/>
    <w:rsid w:val="005B475A"/>
    <w:rsid w:val="005B4DC5"/>
    <w:rsid w:val="005B4E7E"/>
    <w:rsid w:val="005B568B"/>
    <w:rsid w:val="005B5CF6"/>
    <w:rsid w:val="005C0AF2"/>
    <w:rsid w:val="005C1CC3"/>
    <w:rsid w:val="005C2455"/>
    <w:rsid w:val="005C3EBF"/>
    <w:rsid w:val="005C5092"/>
    <w:rsid w:val="005D0761"/>
    <w:rsid w:val="005D0F2A"/>
    <w:rsid w:val="005D171C"/>
    <w:rsid w:val="005D19AE"/>
    <w:rsid w:val="005D4157"/>
    <w:rsid w:val="005D436E"/>
    <w:rsid w:val="005D44FB"/>
    <w:rsid w:val="005D5C7F"/>
    <w:rsid w:val="005D6533"/>
    <w:rsid w:val="005D6E14"/>
    <w:rsid w:val="005D6F5C"/>
    <w:rsid w:val="005D780F"/>
    <w:rsid w:val="005E071C"/>
    <w:rsid w:val="005E1FC2"/>
    <w:rsid w:val="005E264B"/>
    <w:rsid w:val="005E33F5"/>
    <w:rsid w:val="005E458B"/>
    <w:rsid w:val="005E5B4B"/>
    <w:rsid w:val="005E701E"/>
    <w:rsid w:val="005E75BC"/>
    <w:rsid w:val="005F02C7"/>
    <w:rsid w:val="005F3098"/>
    <w:rsid w:val="005F3D47"/>
    <w:rsid w:val="005F4FC3"/>
    <w:rsid w:val="005F4FED"/>
    <w:rsid w:val="005F62CE"/>
    <w:rsid w:val="006032B5"/>
    <w:rsid w:val="00603B41"/>
    <w:rsid w:val="00603D10"/>
    <w:rsid w:val="006048E1"/>
    <w:rsid w:val="00605047"/>
    <w:rsid w:val="00606D94"/>
    <w:rsid w:val="00607CDC"/>
    <w:rsid w:val="0061146C"/>
    <w:rsid w:val="00611D36"/>
    <w:rsid w:val="00611D3F"/>
    <w:rsid w:val="00612172"/>
    <w:rsid w:val="006132EB"/>
    <w:rsid w:val="006145B6"/>
    <w:rsid w:val="00615205"/>
    <w:rsid w:val="006158A4"/>
    <w:rsid w:val="00615E63"/>
    <w:rsid w:val="006165F5"/>
    <w:rsid w:val="00616D70"/>
    <w:rsid w:val="0061708C"/>
    <w:rsid w:val="006217B5"/>
    <w:rsid w:val="006228DD"/>
    <w:rsid w:val="006231A8"/>
    <w:rsid w:val="00624174"/>
    <w:rsid w:val="00625D7E"/>
    <w:rsid w:val="0062684B"/>
    <w:rsid w:val="006308CD"/>
    <w:rsid w:val="00631770"/>
    <w:rsid w:val="00632D5D"/>
    <w:rsid w:val="00633C6B"/>
    <w:rsid w:val="00635C29"/>
    <w:rsid w:val="006418BE"/>
    <w:rsid w:val="00642551"/>
    <w:rsid w:val="00643878"/>
    <w:rsid w:val="006440B9"/>
    <w:rsid w:val="006452DE"/>
    <w:rsid w:val="006453B1"/>
    <w:rsid w:val="0064593E"/>
    <w:rsid w:val="00647DAE"/>
    <w:rsid w:val="00650F02"/>
    <w:rsid w:val="0065202F"/>
    <w:rsid w:val="00654D88"/>
    <w:rsid w:val="0065500E"/>
    <w:rsid w:val="006556CB"/>
    <w:rsid w:val="00655F9C"/>
    <w:rsid w:val="00660936"/>
    <w:rsid w:val="00661591"/>
    <w:rsid w:val="00661857"/>
    <w:rsid w:val="006622B2"/>
    <w:rsid w:val="00662415"/>
    <w:rsid w:val="006624F7"/>
    <w:rsid w:val="0066350A"/>
    <w:rsid w:val="00664A0D"/>
    <w:rsid w:val="006664B5"/>
    <w:rsid w:val="006668CF"/>
    <w:rsid w:val="0066726A"/>
    <w:rsid w:val="006739BB"/>
    <w:rsid w:val="0067553D"/>
    <w:rsid w:val="00675A7A"/>
    <w:rsid w:val="006763B8"/>
    <w:rsid w:val="00676BF5"/>
    <w:rsid w:val="00676DCC"/>
    <w:rsid w:val="006773EA"/>
    <w:rsid w:val="0068380A"/>
    <w:rsid w:val="00685E6B"/>
    <w:rsid w:val="00686513"/>
    <w:rsid w:val="006865D5"/>
    <w:rsid w:val="00686859"/>
    <w:rsid w:val="00686E18"/>
    <w:rsid w:val="00686FA3"/>
    <w:rsid w:val="00687823"/>
    <w:rsid w:val="0069014E"/>
    <w:rsid w:val="00690E0C"/>
    <w:rsid w:val="006925D5"/>
    <w:rsid w:val="006925E3"/>
    <w:rsid w:val="006929E3"/>
    <w:rsid w:val="00693234"/>
    <w:rsid w:val="0069533A"/>
    <w:rsid w:val="006956DB"/>
    <w:rsid w:val="00695818"/>
    <w:rsid w:val="006964F4"/>
    <w:rsid w:val="0069787D"/>
    <w:rsid w:val="006A1215"/>
    <w:rsid w:val="006A2208"/>
    <w:rsid w:val="006A24CF"/>
    <w:rsid w:val="006A38C5"/>
    <w:rsid w:val="006A62D1"/>
    <w:rsid w:val="006A7B0C"/>
    <w:rsid w:val="006B127E"/>
    <w:rsid w:val="006B14B3"/>
    <w:rsid w:val="006B1DE2"/>
    <w:rsid w:val="006B2E7E"/>
    <w:rsid w:val="006B3DE7"/>
    <w:rsid w:val="006B4765"/>
    <w:rsid w:val="006B4AB5"/>
    <w:rsid w:val="006B53B6"/>
    <w:rsid w:val="006B6D47"/>
    <w:rsid w:val="006B6F27"/>
    <w:rsid w:val="006B7AF8"/>
    <w:rsid w:val="006C03EB"/>
    <w:rsid w:val="006C1ACA"/>
    <w:rsid w:val="006C3488"/>
    <w:rsid w:val="006C3DA8"/>
    <w:rsid w:val="006C4242"/>
    <w:rsid w:val="006C7A28"/>
    <w:rsid w:val="006D0B91"/>
    <w:rsid w:val="006D24C1"/>
    <w:rsid w:val="006D3A8F"/>
    <w:rsid w:val="006D3C5D"/>
    <w:rsid w:val="006D5985"/>
    <w:rsid w:val="006D5A06"/>
    <w:rsid w:val="006D5BB5"/>
    <w:rsid w:val="006D72CE"/>
    <w:rsid w:val="006D78B6"/>
    <w:rsid w:val="006E0549"/>
    <w:rsid w:val="006E05F2"/>
    <w:rsid w:val="006E0B9D"/>
    <w:rsid w:val="006E19EB"/>
    <w:rsid w:val="006E1C85"/>
    <w:rsid w:val="006E37E2"/>
    <w:rsid w:val="006E3871"/>
    <w:rsid w:val="006E51A3"/>
    <w:rsid w:val="006E63C9"/>
    <w:rsid w:val="006E6ADD"/>
    <w:rsid w:val="006E7DFB"/>
    <w:rsid w:val="006F0F5F"/>
    <w:rsid w:val="006F1B8A"/>
    <w:rsid w:val="006F2D20"/>
    <w:rsid w:val="006F3C3E"/>
    <w:rsid w:val="006F4F7E"/>
    <w:rsid w:val="006F5B16"/>
    <w:rsid w:val="006F7BC2"/>
    <w:rsid w:val="006F7DCB"/>
    <w:rsid w:val="006F7E5D"/>
    <w:rsid w:val="007013F3"/>
    <w:rsid w:val="00702252"/>
    <w:rsid w:val="00702AC0"/>
    <w:rsid w:val="00703519"/>
    <w:rsid w:val="00703766"/>
    <w:rsid w:val="007044C3"/>
    <w:rsid w:val="00705140"/>
    <w:rsid w:val="0070645B"/>
    <w:rsid w:val="007069BF"/>
    <w:rsid w:val="00706A27"/>
    <w:rsid w:val="00706B38"/>
    <w:rsid w:val="00710810"/>
    <w:rsid w:val="00710D7D"/>
    <w:rsid w:val="00711531"/>
    <w:rsid w:val="00711C14"/>
    <w:rsid w:val="0071244B"/>
    <w:rsid w:val="00712583"/>
    <w:rsid w:val="00713D6E"/>
    <w:rsid w:val="007146EA"/>
    <w:rsid w:val="00714749"/>
    <w:rsid w:val="00715EA4"/>
    <w:rsid w:val="00716891"/>
    <w:rsid w:val="00717881"/>
    <w:rsid w:val="00720912"/>
    <w:rsid w:val="00721AEA"/>
    <w:rsid w:val="0072231C"/>
    <w:rsid w:val="00725841"/>
    <w:rsid w:val="007278BF"/>
    <w:rsid w:val="00730531"/>
    <w:rsid w:val="0073181A"/>
    <w:rsid w:val="00732420"/>
    <w:rsid w:val="00732814"/>
    <w:rsid w:val="00732ACA"/>
    <w:rsid w:val="007343A5"/>
    <w:rsid w:val="00734A24"/>
    <w:rsid w:val="007407AC"/>
    <w:rsid w:val="00744620"/>
    <w:rsid w:val="00744F3E"/>
    <w:rsid w:val="007456E7"/>
    <w:rsid w:val="00746B03"/>
    <w:rsid w:val="00747842"/>
    <w:rsid w:val="007517A0"/>
    <w:rsid w:val="00751A35"/>
    <w:rsid w:val="00753161"/>
    <w:rsid w:val="0075410A"/>
    <w:rsid w:val="007546EB"/>
    <w:rsid w:val="007553E5"/>
    <w:rsid w:val="007558A3"/>
    <w:rsid w:val="00755C43"/>
    <w:rsid w:val="00755E93"/>
    <w:rsid w:val="00756C07"/>
    <w:rsid w:val="00757AA7"/>
    <w:rsid w:val="0076127F"/>
    <w:rsid w:val="0076148E"/>
    <w:rsid w:val="00762281"/>
    <w:rsid w:val="007625DE"/>
    <w:rsid w:val="00764D69"/>
    <w:rsid w:val="007668C9"/>
    <w:rsid w:val="007678D9"/>
    <w:rsid w:val="007700B8"/>
    <w:rsid w:val="00770463"/>
    <w:rsid w:val="007704CA"/>
    <w:rsid w:val="0077312B"/>
    <w:rsid w:val="00773688"/>
    <w:rsid w:val="00773808"/>
    <w:rsid w:val="00774856"/>
    <w:rsid w:val="00775AD4"/>
    <w:rsid w:val="00775BAB"/>
    <w:rsid w:val="00776C17"/>
    <w:rsid w:val="0078092F"/>
    <w:rsid w:val="007814E9"/>
    <w:rsid w:val="00782B22"/>
    <w:rsid w:val="00783EAC"/>
    <w:rsid w:val="0078504C"/>
    <w:rsid w:val="00785623"/>
    <w:rsid w:val="007859DF"/>
    <w:rsid w:val="00785EBA"/>
    <w:rsid w:val="00786A16"/>
    <w:rsid w:val="00787400"/>
    <w:rsid w:val="007876B3"/>
    <w:rsid w:val="00791BA0"/>
    <w:rsid w:val="00792056"/>
    <w:rsid w:val="007926FB"/>
    <w:rsid w:val="0079462D"/>
    <w:rsid w:val="0079541A"/>
    <w:rsid w:val="007972D9"/>
    <w:rsid w:val="00797CE0"/>
    <w:rsid w:val="007A3FB6"/>
    <w:rsid w:val="007A6FD4"/>
    <w:rsid w:val="007B0FD8"/>
    <w:rsid w:val="007B2136"/>
    <w:rsid w:val="007B2A47"/>
    <w:rsid w:val="007B44D1"/>
    <w:rsid w:val="007B4704"/>
    <w:rsid w:val="007B596C"/>
    <w:rsid w:val="007C0CF2"/>
    <w:rsid w:val="007C189F"/>
    <w:rsid w:val="007C1D83"/>
    <w:rsid w:val="007C59DF"/>
    <w:rsid w:val="007C666E"/>
    <w:rsid w:val="007C7B5E"/>
    <w:rsid w:val="007C7DC6"/>
    <w:rsid w:val="007D0E8E"/>
    <w:rsid w:val="007D0ECF"/>
    <w:rsid w:val="007D3B53"/>
    <w:rsid w:val="007D3D7D"/>
    <w:rsid w:val="007D50B9"/>
    <w:rsid w:val="007D526F"/>
    <w:rsid w:val="007D5F77"/>
    <w:rsid w:val="007D6E72"/>
    <w:rsid w:val="007E0B08"/>
    <w:rsid w:val="007E2ED0"/>
    <w:rsid w:val="007E511E"/>
    <w:rsid w:val="007E634A"/>
    <w:rsid w:val="007E66B3"/>
    <w:rsid w:val="007E7462"/>
    <w:rsid w:val="007E7C2E"/>
    <w:rsid w:val="007E7D9F"/>
    <w:rsid w:val="007F162B"/>
    <w:rsid w:val="007F4AC6"/>
    <w:rsid w:val="007F51A8"/>
    <w:rsid w:val="007F5356"/>
    <w:rsid w:val="007F546A"/>
    <w:rsid w:val="007F690B"/>
    <w:rsid w:val="00801937"/>
    <w:rsid w:val="00802AB3"/>
    <w:rsid w:val="008033A4"/>
    <w:rsid w:val="00803F3A"/>
    <w:rsid w:val="0080418F"/>
    <w:rsid w:val="008052F1"/>
    <w:rsid w:val="0080594D"/>
    <w:rsid w:val="00805B43"/>
    <w:rsid w:val="00805C56"/>
    <w:rsid w:val="008073CB"/>
    <w:rsid w:val="00807D9D"/>
    <w:rsid w:val="00807E3F"/>
    <w:rsid w:val="008102D5"/>
    <w:rsid w:val="008123AD"/>
    <w:rsid w:val="00814A83"/>
    <w:rsid w:val="0081627C"/>
    <w:rsid w:val="008162D0"/>
    <w:rsid w:val="0081648F"/>
    <w:rsid w:val="00817556"/>
    <w:rsid w:val="008176EF"/>
    <w:rsid w:val="00817E1A"/>
    <w:rsid w:val="008227C6"/>
    <w:rsid w:val="00822BC2"/>
    <w:rsid w:val="00822DA0"/>
    <w:rsid w:val="00823311"/>
    <w:rsid w:val="00823C21"/>
    <w:rsid w:val="00824102"/>
    <w:rsid w:val="00824364"/>
    <w:rsid w:val="00825F49"/>
    <w:rsid w:val="0082627B"/>
    <w:rsid w:val="00826864"/>
    <w:rsid w:val="00830A06"/>
    <w:rsid w:val="00830CA2"/>
    <w:rsid w:val="008314A3"/>
    <w:rsid w:val="00831DD2"/>
    <w:rsid w:val="0083243E"/>
    <w:rsid w:val="00832A79"/>
    <w:rsid w:val="008333E3"/>
    <w:rsid w:val="0083390A"/>
    <w:rsid w:val="00834D94"/>
    <w:rsid w:val="008368BF"/>
    <w:rsid w:val="0084224E"/>
    <w:rsid w:val="0084263F"/>
    <w:rsid w:val="0084295B"/>
    <w:rsid w:val="00843202"/>
    <w:rsid w:val="00843C27"/>
    <w:rsid w:val="00844B6F"/>
    <w:rsid w:val="008463C7"/>
    <w:rsid w:val="00846688"/>
    <w:rsid w:val="00847B1B"/>
    <w:rsid w:val="00852037"/>
    <w:rsid w:val="008535DC"/>
    <w:rsid w:val="0085521D"/>
    <w:rsid w:val="00856A96"/>
    <w:rsid w:val="00856EBD"/>
    <w:rsid w:val="0085701A"/>
    <w:rsid w:val="00857B65"/>
    <w:rsid w:val="00860921"/>
    <w:rsid w:val="00860C37"/>
    <w:rsid w:val="00861868"/>
    <w:rsid w:val="00861F57"/>
    <w:rsid w:val="00862678"/>
    <w:rsid w:val="008661A6"/>
    <w:rsid w:val="00866443"/>
    <w:rsid w:val="00866A5A"/>
    <w:rsid w:val="00867C29"/>
    <w:rsid w:val="00870DDF"/>
    <w:rsid w:val="00871275"/>
    <w:rsid w:val="00872111"/>
    <w:rsid w:val="008748F3"/>
    <w:rsid w:val="00877418"/>
    <w:rsid w:val="00880856"/>
    <w:rsid w:val="00881486"/>
    <w:rsid w:val="00881638"/>
    <w:rsid w:val="008825D2"/>
    <w:rsid w:val="00885040"/>
    <w:rsid w:val="0088528B"/>
    <w:rsid w:val="00885977"/>
    <w:rsid w:val="00885D64"/>
    <w:rsid w:val="00886D3C"/>
    <w:rsid w:val="00887C30"/>
    <w:rsid w:val="00890D80"/>
    <w:rsid w:val="00891B54"/>
    <w:rsid w:val="008920C5"/>
    <w:rsid w:val="00893AA8"/>
    <w:rsid w:val="00893D5C"/>
    <w:rsid w:val="008941EB"/>
    <w:rsid w:val="00894AF3"/>
    <w:rsid w:val="00895D11"/>
    <w:rsid w:val="00895ED9"/>
    <w:rsid w:val="00896B20"/>
    <w:rsid w:val="008A3C33"/>
    <w:rsid w:val="008A50D5"/>
    <w:rsid w:val="008A71AA"/>
    <w:rsid w:val="008B0374"/>
    <w:rsid w:val="008B064F"/>
    <w:rsid w:val="008B089D"/>
    <w:rsid w:val="008B1AB3"/>
    <w:rsid w:val="008B2F70"/>
    <w:rsid w:val="008B3BB5"/>
    <w:rsid w:val="008B3CD0"/>
    <w:rsid w:val="008B3FC6"/>
    <w:rsid w:val="008B503E"/>
    <w:rsid w:val="008B535A"/>
    <w:rsid w:val="008B5427"/>
    <w:rsid w:val="008B5486"/>
    <w:rsid w:val="008B5B64"/>
    <w:rsid w:val="008B70A6"/>
    <w:rsid w:val="008C01B1"/>
    <w:rsid w:val="008C3A1C"/>
    <w:rsid w:val="008C4F7C"/>
    <w:rsid w:val="008C5970"/>
    <w:rsid w:val="008C6179"/>
    <w:rsid w:val="008C6304"/>
    <w:rsid w:val="008C6B4C"/>
    <w:rsid w:val="008C7987"/>
    <w:rsid w:val="008C7E93"/>
    <w:rsid w:val="008D3927"/>
    <w:rsid w:val="008D3BDC"/>
    <w:rsid w:val="008E0BE2"/>
    <w:rsid w:val="008E100C"/>
    <w:rsid w:val="008E15E1"/>
    <w:rsid w:val="008E247E"/>
    <w:rsid w:val="008E28D9"/>
    <w:rsid w:val="008E6D0D"/>
    <w:rsid w:val="008E727F"/>
    <w:rsid w:val="008E774A"/>
    <w:rsid w:val="008E7865"/>
    <w:rsid w:val="008E7C43"/>
    <w:rsid w:val="008F124C"/>
    <w:rsid w:val="008F1AC1"/>
    <w:rsid w:val="008F2FCE"/>
    <w:rsid w:val="008F33D7"/>
    <w:rsid w:val="008F410A"/>
    <w:rsid w:val="008F44A2"/>
    <w:rsid w:val="008F543D"/>
    <w:rsid w:val="008F64E5"/>
    <w:rsid w:val="008F6FCA"/>
    <w:rsid w:val="00901B8A"/>
    <w:rsid w:val="00901B8D"/>
    <w:rsid w:val="00902B87"/>
    <w:rsid w:val="009033E4"/>
    <w:rsid w:val="0090395B"/>
    <w:rsid w:val="0090498C"/>
    <w:rsid w:val="009051E4"/>
    <w:rsid w:val="00906560"/>
    <w:rsid w:val="009070D8"/>
    <w:rsid w:val="009073C3"/>
    <w:rsid w:val="0090758A"/>
    <w:rsid w:val="0091024A"/>
    <w:rsid w:val="00911098"/>
    <w:rsid w:val="00911673"/>
    <w:rsid w:val="009179D0"/>
    <w:rsid w:val="00917E3E"/>
    <w:rsid w:val="00920137"/>
    <w:rsid w:val="0092102A"/>
    <w:rsid w:val="009223EA"/>
    <w:rsid w:val="00922A95"/>
    <w:rsid w:val="009247BE"/>
    <w:rsid w:val="00926F92"/>
    <w:rsid w:val="00927748"/>
    <w:rsid w:val="00927F59"/>
    <w:rsid w:val="009300A0"/>
    <w:rsid w:val="00930E9C"/>
    <w:rsid w:val="00931E7A"/>
    <w:rsid w:val="00932644"/>
    <w:rsid w:val="00933C68"/>
    <w:rsid w:val="00934375"/>
    <w:rsid w:val="009356B9"/>
    <w:rsid w:val="009357D1"/>
    <w:rsid w:val="0093691D"/>
    <w:rsid w:val="00936DCF"/>
    <w:rsid w:val="00940F9E"/>
    <w:rsid w:val="00941A64"/>
    <w:rsid w:val="009430C0"/>
    <w:rsid w:val="0094475A"/>
    <w:rsid w:val="009452B3"/>
    <w:rsid w:val="009457CC"/>
    <w:rsid w:val="00945915"/>
    <w:rsid w:val="00946348"/>
    <w:rsid w:val="0094697E"/>
    <w:rsid w:val="00947030"/>
    <w:rsid w:val="0094728F"/>
    <w:rsid w:val="00947636"/>
    <w:rsid w:val="009476C2"/>
    <w:rsid w:val="00947CA1"/>
    <w:rsid w:val="0095126D"/>
    <w:rsid w:val="009529AF"/>
    <w:rsid w:val="00953131"/>
    <w:rsid w:val="00954DB5"/>
    <w:rsid w:val="0095550A"/>
    <w:rsid w:val="00955BB8"/>
    <w:rsid w:val="0095654A"/>
    <w:rsid w:val="00957EBD"/>
    <w:rsid w:val="009627E6"/>
    <w:rsid w:val="00962B8A"/>
    <w:rsid w:val="00966139"/>
    <w:rsid w:val="00966752"/>
    <w:rsid w:val="00966E03"/>
    <w:rsid w:val="009679A2"/>
    <w:rsid w:val="00970503"/>
    <w:rsid w:val="00970FCB"/>
    <w:rsid w:val="00971791"/>
    <w:rsid w:val="00971EAE"/>
    <w:rsid w:val="00972925"/>
    <w:rsid w:val="00972BD1"/>
    <w:rsid w:val="00973520"/>
    <w:rsid w:val="00973AC6"/>
    <w:rsid w:val="00974135"/>
    <w:rsid w:val="00975FD5"/>
    <w:rsid w:val="00976F39"/>
    <w:rsid w:val="009804D1"/>
    <w:rsid w:val="00981586"/>
    <w:rsid w:val="00981ADF"/>
    <w:rsid w:val="0098236B"/>
    <w:rsid w:val="00982C7E"/>
    <w:rsid w:val="009838CD"/>
    <w:rsid w:val="009854A7"/>
    <w:rsid w:val="009856F0"/>
    <w:rsid w:val="00987AE7"/>
    <w:rsid w:val="0099006F"/>
    <w:rsid w:val="00990A3E"/>
    <w:rsid w:val="00991DE4"/>
    <w:rsid w:val="009921B5"/>
    <w:rsid w:val="00992904"/>
    <w:rsid w:val="00992B3B"/>
    <w:rsid w:val="00993484"/>
    <w:rsid w:val="0099414E"/>
    <w:rsid w:val="00995DA2"/>
    <w:rsid w:val="00996274"/>
    <w:rsid w:val="00996BA1"/>
    <w:rsid w:val="00996D6D"/>
    <w:rsid w:val="0099716F"/>
    <w:rsid w:val="009A0D36"/>
    <w:rsid w:val="009A0E3E"/>
    <w:rsid w:val="009A0ED7"/>
    <w:rsid w:val="009A3C65"/>
    <w:rsid w:val="009A42F1"/>
    <w:rsid w:val="009A4C69"/>
    <w:rsid w:val="009A54BB"/>
    <w:rsid w:val="009A6A75"/>
    <w:rsid w:val="009B04E2"/>
    <w:rsid w:val="009B0BFF"/>
    <w:rsid w:val="009B1208"/>
    <w:rsid w:val="009B12AB"/>
    <w:rsid w:val="009B2F53"/>
    <w:rsid w:val="009B4B26"/>
    <w:rsid w:val="009B5789"/>
    <w:rsid w:val="009B7512"/>
    <w:rsid w:val="009B78E1"/>
    <w:rsid w:val="009B7B04"/>
    <w:rsid w:val="009B7E26"/>
    <w:rsid w:val="009C01C2"/>
    <w:rsid w:val="009C0490"/>
    <w:rsid w:val="009C0566"/>
    <w:rsid w:val="009C0963"/>
    <w:rsid w:val="009C0A8D"/>
    <w:rsid w:val="009C0B5D"/>
    <w:rsid w:val="009C0C4D"/>
    <w:rsid w:val="009C28BD"/>
    <w:rsid w:val="009C45EE"/>
    <w:rsid w:val="009C49D0"/>
    <w:rsid w:val="009C6C0C"/>
    <w:rsid w:val="009D1DA7"/>
    <w:rsid w:val="009D1F7E"/>
    <w:rsid w:val="009D48A9"/>
    <w:rsid w:val="009D52C5"/>
    <w:rsid w:val="009D57C3"/>
    <w:rsid w:val="009D6ACF"/>
    <w:rsid w:val="009D72B4"/>
    <w:rsid w:val="009D738B"/>
    <w:rsid w:val="009D749C"/>
    <w:rsid w:val="009D7A1C"/>
    <w:rsid w:val="009E0368"/>
    <w:rsid w:val="009E0B9C"/>
    <w:rsid w:val="009E207B"/>
    <w:rsid w:val="009E2714"/>
    <w:rsid w:val="009E3703"/>
    <w:rsid w:val="009E3F01"/>
    <w:rsid w:val="009E4D7A"/>
    <w:rsid w:val="009E52E4"/>
    <w:rsid w:val="009E59DB"/>
    <w:rsid w:val="009E5B57"/>
    <w:rsid w:val="009E6336"/>
    <w:rsid w:val="009E64AE"/>
    <w:rsid w:val="009E7920"/>
    <w:rsid w:val="009F2B83"/>
    <w:rsid w:val="009F2C82"/>
    <w:rsid w:val="009F35F9"/>
    <w:rsid w:val="009F3645"/>
    <w:rsid w:val="009F4033"/>
    <w:rsid w:val="009F423C"/>
    <w:rsid w:val="009F474E"/>
    <w:rsid w:val="009F4D2E"/>
    <w:rsid w:val="009F5483"/>
    <w:rsid w:val="009F5757"/>
    <w:rsid w:val="009F5971"/>
    <w:rsid w:val="009F5B9E"/>
    <w:rsid w:val="009F6581"/>
    <w:rsid w:val="009F68DF"/>
    <w:rsid w:val="00A0007B"/>
    <w:rsid w:val="00A0043A"/>
    <w:rsid w:val="00A00657"/>
    <w:rsid w:val="00A0067F"/>
    <w:rsid w:val="00A0100C"/>
    <w:rsid w:val="00A02147"/>
    <w:rsid w:val="00A02408"/>
    <w:rsid w:val="00A0441F"/>
    <w:rsid w:val="00A046E7"/>
    <w:rsid w:val="00A04BB6"/>
    <w:rsid w:val="00A064C3"/>
    <w:rsid w:val="00A1085C"/>
    <w:rsid w:val="00A13397"/>
    <w:rsid w:val="00A13F52"/>
    <w:rsid w:val="00A16917"/>
    <w:rsid w:val="00A20F9B"/>
    <w:rsid w:val="00A22141"/>
    <w:rsid w:val="00A22532"/>
    <w:rsid w:val="00A229B8"/>
    <w:rsid w:val="00A22CD3"/>
    <w:rsid w:val="00A23BEF"/>
    <w:rsid w:val="00A243A2"/>
    <w:rsid w:val="00A246E4"/>
    <w:rsid w:val="00A27BAD"/>
    <w:rsid w:val="00A27F35"/>
    <w:rsid w:val="00A3013A"/>
    <w:rsid w:val="00A30BF4"/>
    <w:rsid w:val="00A315BD"/>
    <w:rsid w:val="00A320F0"/>
    <w:rsid w:val="00A336EC"/>
    <w:rsid w:val="00A33D72"/>
    <w:rsid w:val="00A34349"/>
    <w:rsid w:val="00A357EB"/>
    <w:rsid w:val="00A36956"/>
    <w:rsid w:val="00A376CB"/>
    <w:rsid w:val="00A377D4"/>
    <w:rsid w:val="00A405C3"/>
    <w:rsid w:val="00A407A7"/>
    <w:rsid w:val="00A42677"/>
    <w:rsid w:val="00A42788"/>
    <w:rsid w:val="00A43D20"/>
    <w:rsid w:val="00A442D8"/>
    <w:rsid w:val="00A47574"/>
    <w:rsid w:val="00A47D9A"/>
    <w:rsid w:val="00A53049"/>
    <w:rsid w:val="00A553A6"/>
    <w:rsid w:val="00A554E0"/>
    <w:rsid w:val="00A56E8D"/>
    <w:rsid w:val="00A60151"/>
    <w:rsid w:val="00A6145B"/>
    <w:rsid w:val="00A622B1"/>
    <w:rsid w:val="00A63BE3"/>
    <w:rsid w:val="00A6415F"/>
    <w:rsid w:val="00A6450F"/>
    <w:rsid w:val="00A6500B"/>
    <w:rsid w:val="00A652BE"/>
    <w:rsid w:val="00A655A4"/>
    <w:rsid w:val="00A66298"/>
    <w:rsid w:val="00A66307"/>
    <w:rsid w:val="00A66C4D"/>
    <w:rsid w:val="00A6744D"/>
    <w:rsid w:val="00A6795C"/>
    <w:rsid w:val="00A70E3C"/>
    <w:rsid w:val="00A714EE"/>
    <w:rsid w:val="00A72F35"/>
    <w:rsid w:val="00A74943"/>
    <w:rsid w:val="00A77027"/>
    <w:rsid w:val="00A8005B"/>
    <w:rsid w:val="00A81569"/>
    <w:rsid w:val="00A81705"/>
    <w:rsid w:val="00A81EAB"/>
    <w:rsid w:val="00A82E16"/>
    <w:rsid w:val="00A8310A"/>
    <w:rsid w:val="00A838F0"/>
    <w:rsid w:val="00A83DDC"/>
    <w:rsid w:val="00A845EF"/>
    <w:rsid w:val="00A84A63"/>
    <w:rsid w:val="00A85DA3"/>
    <w:rsid w:val="00A86A65"/>
    <w:rsid w:val="00A86CD7"/>
    <w:rsid w:val="00A8781D"/>
    <w:rsid w:val="00A905E8"/>
    <w:rsid w:val="00A913D4"/>
    <w:rsid w:val="00A939F2"/>
    <w:rsid w:val="00A93A90"/>
    <w:rsid w:val="00A973B8"/>
    <w:rsid w:val="00AA0787"/>
    <w:rsid w:val="00AA0FB7"/>
    <w:rsid w:val="00AA18E7"/>
    <w:rsid w:val="00AA1FC1"/>
    <w:rsid w:val="00AA5E59"/>
    <w:rsid w:val="00AA6259"/>
    <w:rsid w:val="00AA7BA7"/>
    <w:rsid w:val="00AB12C0"/>
    <w:rsid w:val="00AB1670"/>
    <w:rsid w:val="00AB19C9"/>
    <w:rsid w:val="00AB3307"/>
    <w:rsid w:val="00AB4760"/>
    <w:rsid w:val="00AB55C4"/>
    <w:rsid w:val="00AB560A"/>
    <w:rsid w:val="00AC1856"/>
    <w:rsid w:val="00AC48F3"/>
    <w:rsid w:val="00AC4E4A"/>
    <w:rsid w:val="00AC5125"/>
    <w:rsid w:val="00AC581D"/>
    <w:rsid w:val="00AC5E7C"/>
    <w:rsid w:val="00AC62B3"/>
    <w:rsid w:val="00AC6882"/>
    <w:rsid w:val="00AD094F"/>
    <w:rsid w:val="00AD445E"/>
    <w:rsid w:val="00AD4987"/>
    <w:rsid w:val="00AD5957"/>
    <w:rsid w:val="00AD7B05"/>
    <w:rsid w:val="00AE0570"/>
    <w:rsid w:val="00AE1415"/>
    <w:rsid w:val="00AE1F1B"/>
    <w:rsid w:val="00AE69DF"/>
    <w:rsid w:val="00AE7A4C"/>
    <w:rsid w:val="00AF32AF"/>
    <w:rsid w:val="00AF3DBD"/>
    <w:rsid w:val="00AF558B"/>
    <w:rsid w:val="00AF6134"/>
    <w:rsid w:val="00AF61CE"/>
    <w:rsid w:val="00B00649"/>
    <w:rsid w:val="00B02D18"/>
    <w:rsid w:val="00B0354B"/>
    <w:rsid w:val="00B042CF"/>
    <w:rsid w:val="00B04ACC"/>
    <w:rsid w:val="00B04F2F"/>
    <w:rsid w:val="00B053ED"/>
    <w:rsid w:val="00B057F0"/>
    <w:rsid w:val="00B061B0"/>
    <w:rsid w:val="00B10BAA"/>
    <w:rsid w:val="00B112CC"/>
    <w:rsid w:val="00B12521"/>
    <w:rsid w:val="00B132FB"/>
    <w:rsid w:val="00B139B1"/>
    <w:rsid w:val="00B13E56"/>
    <w:rsid w:val="00B14423"/>
    <w:rsid w:val="00B148F8"/>
    <w:rsid w:val="00B14B3F"/>
    <w:rsid w:val="00B20E82"/>
    <w:rsid w:val="00B212B6"/>
    <w:rsid w:val="00B2333A"/>
    <w:rsid w:val="00B2424F"/>
    <w:rsid w:val="00B24A89"/>
    <w:rsid w:val="00B24BFF"/>
    <w:rsid w:val="00B25C10"/>
    <w:rsid w:val="00B26FE6"/>
    <w:rsid w:val="00B27B24"/>
    <w:rsid w:val="00B30651"/>
    <w:rsid w:val="00B310FD"/>
    <w:rsid w:val="00B31985"/>
    <w:rsid w:val="00B3348D"/>
    <w:rsid w:val="00B34705"/>
    <w:rsid w:val="00B35A39"/>
    <w:rsid w:val="00B361A7"/>
    <w:rsid w:val="00B36439"/>
    <w:rsid w:val="00B366E1"/>
    <w:rsid w:val="00B37976"/>
    <w:rsid w:val="00B42EF5"/>
    <w:rsid w:val="00B43784"/>
    <w:rsid w:val="00B4614C"/>
    <w:rsid w:val="00B467DA"/>
    <w:rsid w:val="00B46D96"/>
    <w:rsid w:val="00B52802"/>
    <w:rsid w:val="00B5341B"/>
    <w:rsid w:val="00B53D39"/>
    <w:rsid w:val="00B54635"/>
    <w:rsid w:val="00B55096"/>
    <w:rsid w:val="00B56025"/>
    <w:rsid w:val="00B56084"/>
    <w:rsid w:val="00B61ABE"/>
    <w:rsid w:val="00B61CD1"/>
    <w:rsid w:val="00B63613"/>
    <w:rsid w:val="00B63CB8"/>
    <w:rsid w:val="00B664C7"/>
    <w:rsid w:val="00B66783"/>
    <w:rsid w:val="00B66A02"/>
    <w:rsid w:val="00B676F4"/>
    <w:rsid w:val="00B67C9B"/>
    <w:rsid w:val="00B717E3"/>
    <w:rsid w:val="00B75BB4"/>
    <w:rsid w:val="00B76F9E"/>
    <w:rsid w:val="00B811B5"/>
    <w:rsid w:val="00B83552"/>
    <w:rsid w:val="00B841B8"/>
    <w:rsid w:val="00B86672"/>
    <w:rsid w:val="00B86C6B"/>
    <w:rsid w:val="00B90950"/>
    <w:rsid w:val="00B9181D"/>
    <w:rsid w:val="00B91EC0"/>
    <w:rsid w:val="00B9217E"/>
    <w:rsid w:val="00B922DC"/>
    <w:rsid w:val="00B9327B"/>
    <w:rsid w:val="00B96C31"/>
    <w:rsid w:val="00B96FBC"/>
    <w:rsid w:val="00BA0618"/>
    <w:rsid w:val="00BA070A"/>
    <w:rsid w:val="00BA176B"/>
    <w:rsid w:val="00BA1F22"/>
    <w:rsid w:val="00BA2256"/>
    <w:rsid w:val="00BA22B9"/>
    <w:rsid w:val="00BA2F9D"/>
    <w:rsid w:val="00BA5EF1"/>
    <w:rsid w:val="00BA77D9"/>
    <w:rsid w:val="00BB0181"/>
    <w:rsid w:val="00BB09DC"/>
    <w:rsid w:val="00BB0EEC"/>
    <w:rsid w:val="00BB1204"/>
    <w:rsid w:val="00BB1D35"/>
    <w:rsid w:val="00BB2AC2"/>
    <w:rsid w:val="00BB35E0"/>
    <w:rsid w:val="00BB525D"/>
    <w:rsid w:val="00BB608B"/>
    <w:rsid w:val="00BB7801"/>
    <w:rsid w:val="00BC1D73"/>
    <w:rsid w:val="00BC2295"/>
    <w:rsid w:val="00BC257F"/>
    <w:rsid w:val="00BC2F2E"/>
    <w:rsid w:val="00BC3CFC"/>
    <w:rsid w:val="00BC4FB5"/>
    <w:rsid w:val="00BC7D9F"/>
    <w:rsid w:val="00BD02C3"/>
    <w:rsid w:val="00BD03A5"/>
    <w:rsid w:val="00BD08F2"/>
    <w:rsid w:val="00BD2067"/>
    <w:rsid w:val="00BD2B42"/>
    <w:rsid w:val="00BD43F5"/>
    <w:rsid w:val="00BD4F13"/>
    <w:rsid w:val="00BD6008"/>
    <w:rsid w:val="00BD7BA4"/>
    <w:rsid w:val="00BE06E4"/>
    <w:rsid w:val="00BE1153"/>
    <w:rsid w:val="00BE2237"/>
    <w:rsid w:val="00BE2FCA"/>
    <w:rsid w:val="00BE325C"/>
    <w:rsid w:val="00BE375B"/>
    <w:rsid w:val="00BE39D7"/>
    <w:rsid w:val="00BE425F"/>
    <w:rsid w:val="00BE4F2D"/>
    <w:rsid w:val="00BE5968"/>
    <w:rsid w:val="00BE59A9"/>
    <w:rsid w:val="00BE7362"/>
    <w:rsid w:val="00BE7AAB"/>
    <w:rsid w:val="00BE7AAD"/>
    <w:rsid w:val="00BF007B"/>
    <w:rsid w:val="00BF010F"/>
    <w:rsid w:val="00BF040D"/>
    <w:rsid w:val="00BF09EE"/>
    <w:rsid w:val="00BF12A3"/>
    <w:rsid w:val="00BF1A33"/>
    <w:rsid w:val="00BF39E3"/>
    <w:rsid w:val="00BF45CB"/>
    <w:rsid w:val="00BF5203"/>
    <w:rsid w:val="00BF57EB"/>
    <w:rsid w:val="00BF6D6F"/>
    <w:rsid w:val="00BF7E31"/>
    <w:rsid w:val="00C00AAA"/>
    <w:rsid w:val="00C02D0C"/>
    <w:rsid w:val="00C0581A"/>
    <w:rsid w:val="00C05D8F"/>
    <w:rsid w:val="00C0681B"/>
    <w:rsid w:val="00C06930"/>
    <w:rsid w:val="00C07F77"/>
    <w:rsid w:val="00C1117D"/>
    <w:rsid w:val="00C11D11"/>
    <w:rsid w:val="00C11DBF"/>
    <w:rsid w:val="00C124D0"/>
    <w:rsid w:val="00C126D3"/>
    <w:rsid w:val="00C15585"/>
    <w:rsid w:val="00C16780"/>
    <w:rsid w:val="00C17210"/>
    <w:rsid w:val="00C1721C"/>
    <w:rsid w:val="00C175D3"/>
    <w:rsid w:val="00C2046A"/>
    <w:rsid w:val="00C21035"/>
    <w:rsid w:val="00C22432"/>
    <w:rsid w:val="00C24042"/>
    <w:rsid w:val="00C24128"/>
    <w:rsid w:val="00C251EF"/>
    <w:rsid w:val="00C254D4"/>
    <w:rsid w:val="00C26CA9"/>
    <w:rsid w:val="00C31284"/>
    <w:rsid w:val="00C31316"/>
    <w:rsid w:val="00C32EEC"/>
    <w:rsid w:val="00C357DF"/>
    <w:rsid w:val="00C35E0B"/>
    <w:rsid w:val="00C362AF"/>
    <w:rsid w:val="00C36478"/>
    <w:rsid w:val="00C36AD9"/>
    <w:rsid w:val="00C370C0"/>
    <w:rsid w:val="00C37243"/>
    <w:rsid w:val="00C4063E"/>
    <w:rsid w:val="00C40B8B"/>
    <w:rsid w:val="00C40C22"/>
    <w:rsid w:val="00C40DD6"/>
    <w:rsid w:val="00C42379"/>
    <w:rsid w:val="00C4372D"/>
    <w:rsid w:val="00C44D7D"/>
    <w:rsid w:val="00C461E3"/>
    <w:rsid w:val="00C463AA"/>
    <w:rsid w:val="00C472E1"/>
    <w:rsid w:val="00C52F3B"/>
    <w:rsid w:val="00C53057"/>
    <w:rsid w:val="00C5350C"/>
    <w:rsid w:val="00C5487C"/>
    <w:rsid w:val="00C552CC"/>
    <w:rsid w:val="00C565A1"/>
    <w:rsid w:val="00C56F83"/>
    <w:rsid w:val="00C57779"/>
    <w:rsid w:val="00C61CE4"/>
    <w:rsid w:val="00C6246C"/>
    <w:rsid w:val="00C63041"/>
    <w:rsid w:val="00C634C4"/>
    <w:rsid w:val="00C64A04"/>
    <w:rsid w:val="00C64FCD"/>
    <w:rsid w:val="00C65654"/>
    <w:rsid w:val="00C663DE"/>
    <w:rsid w:val="00C67CF0"/>
    <w:rsid w:val="00C67DC7"/>
    <w:rsid w:val="00C7068B"/>
    <w:rsid w:val="00C7131F"/>
    <w:rsid w:val="00C72030"/>
    <w:rsid w:val="00C72E0D"/>
    <w:rsid w:val="00C77184"/>
    <w:rsid w:val="00C81D87"/>
    <w:rsid w:val="00C84B03"/>
    <w:rsid w:val="00C87746"/>
    <w:rsid w:val="00C878B4"/>
    <w:rsid w:val="00C87B86"/>
    <w:rsid w:val="00C903DC"/>
    <w:rsid w:val="00C917F6"/>
    <w:rsid w:val="00C926D8"/>
    <w:rsid w:val="00C92BE5"/>
    <w:rsid w:val="00C9305F"/>
    <w:rsid w:val="00C94B4E"/>
    <w:rsid w:val="00C953D6"/>
    <w:rsid w:val="00C95582"/>
    <w:rsid w:val="00C968A7"/>
    <w:rsid w:val="00CA0162"/>
    <w:rsid w:val="00CA0F0C"/>
    <w:rsid w:val="00CA2DEB"/>
    <w:rsid w:val="00CA3143"/>
    <w:rsid w:val="00CA3C67"/>
    <w:rsid w:val="00CA6029"/>
    <w:rsid w:val="00CA6986"/>
    <w:rsid w:val="00CA7366"/>
    <w:rsid w:val="00CA74E8"/>
    <w:rsid w:val="00CA78E2"/>
    <w:rsid w:val="00CA7CCB"/>
    <w:rsid w:val="00CB080A"/>
    <w:rsid w:val="00CB2727"/>
    <w:rsid w:val="00CB2F5A"/>
    <w:rsid w:val="00CB3224"/>
    <w:rsid w:val="00CB3C12"/>
    <w:rsid w:val="00CB4909"/>
    <w:rsid w:val="00CB546B"/>
    <w:rsid w:val="00CB64EE"/>
    <w:rsid w:val="00CB6D0D"/>
    <w:rsid w:val="00CB7B38"/>
    <w:rsid w:val="00CC009D"/>
    <w:rsid w:val="00CC013C"/>
    <w:rsid w:val="00CC0E3F"/>
    <w:rsid w:val="00CC2F0F"/>
    <w:rsid w:val="00CC7651"/>
    <w:rsid w:val="00CD09FA"/>
    <w:rsid w:val="00CD0E18"/>
    <w:rsid w:val="00CD1602"/>
    <w:rsid w:val="00CD1AA9"/>
    <w:rsid w:val="00CD3B43"/>
    <w:rsid w:val="00CD434A"/>
    <w:rsid w:val="00CD44B4"/>
    <w:rsid w:val="00CD7F59"/>
    <w:rsid w:val="00CE0A61"/>
    <w:rsid w:val="00CE1B72"/>
    <w:rsid w:val="00CE3792"/>
    <w:rsid w:val="00CE47D3"/>
    <w:rsid w:val="00CE4882"/>
    <w:rsid w:val="00CE4A14"/>
    <w:rsid w:val="00CE6257"/>
    <w:rsid w:val="00CE6B98"/>
    <w:rsid w:val="00CF066D"/>
    <w:rsid w:val="00CF076A"/>
    <w:rsid w:val="00CF10AE"/>
    <w:rsid w:val="00CF16F3"/>
    <w:rsid w:val="00CF1C60"/>
    <w:rsid w:val="00CF2F2D"/>
    <w:rsid w:val="00CF3103"/>
    <w:rsid w:val="00CF3D5E"/>
    <w:rsid w:val="00CF5A20"/>
    <w:rsid w:val="00CF5FCE"/>
    <w:rsid w:val="00CF6738"/>
    <w:rsid w:val="00CF6DD0"/>
    <w:rsid w:val="00CF70EA"/>
    <w:rsid w:val="00CF726E"/>
    <w:rsid w:val="00CF7F66"/>
    <w:rsid w:val="00D00E5E"/>
    <w:rsid w:val="00D02666"/>
    <w:rsid w:val="00D027D0"/>
    <w:rsid w:val="00D02B30"/>
    <w:rsid w:val="00D02D5B"/>
    <w:rsid w:val="00D03706"/>
    <w:rsid w:val="00D0401C"/>
    <w:rsid w:val="00D04171"/>
    <w:rsid w:val="00D051CF"/>
    <w:rsid w:val="00D067AC"/>
    <w:rsid w:val="00D06936"/>
    <w:rsid w:val="00D06B3E"/>
    <w:rsid w:val="00D078CD"/>
    <w:rsid w:val="00D07AD5"/>
    <w:rsid w:val="00D10F2B"/>
    <w:rsid w:val="00D1525F"/>
    <w:rsid w:val="00D155CC"/>
    <w:rsid w:val="00D157CB"/>
    <w:rsid w:val="00D15969"/>
    <w:rsid w:val="00D17112"/>
    <w:rsid w:val="00D21BA9"/>
    <w:rsid w:val="00D21BC7"/>
    <w:rsid w:val="00D21CD4"/>
    <w:rsid w:val="00D21FD4"/>
    <w:rsid w:val="00D22B07"/>
    <w:rsid w:val="00D23648"/>
    <w:rsid w:val="00D2436E"/>
    <w:rsid w:val="00D254B7"/>
    <w:rsid w:val="00D260A3"/>
    <w:rsid w:val="00D271A7"/>
    <w:rsid w:val="00D27C05"/>
    <w:rsid w:val="00D32C2D"/>
    <w:rsid w:val="00D34BEA"/>
    <w:rsid w:val="00D351A9"/>
    <w:rsid w:val="00D3631A"/>
    <w:rsid w:val="00D363F7"/>
    <w:rsid w:val="00D40F07"/>
    <w:rsid w:val="00D41591"/>
    <w:rsid w:val="00D42F0C"/>
    <w:rsid w:val="00D437F1"/>
    <w:rsid w:val="00D4406E"/>
    <w:rsid w:val="00D45773"/>
    <w:rsid w:val="00D46935"/>
    <w:rsid w:val="00D46FA5"/>
    <w:rsid w:val="00D503DF"/>
    <w:rsid w:val="00D50AD3"/>
    <w:rsid w:val="00D50F9F"/>
    <w:rsid w:val="00D5109A"/>
    <w:rsid w:val="00D5119F"/>
    <w:rsid w:val="00D51839"/>
    <w:rsid w:val="00D51CA7"/>
    <w:rsid w:val="00D52865"/>
    <w:rsid w:val="00D5399B"/>
    <w:rsid w:val="00D547ED"/>
    <w:rsid w:val="00D55A5A"/>
    <w:rsid w:val="00D56605"/>
    <w:rsid w:val="00D60724"/>
    <w:rsid w:val="00D628CD"/>
    <w:rsid w:val="00D635B4"/>
    <w:rsid w:val="00D64757"/>
    <w:rsid w:val="00D64AFF"/>
    <w:rsid w:val="00D676B0"/>
    <w:rsid w:val="00D713F0"/>
    <w:rsid w:val="00D7187E"/>
    <w:rsid w:val="00D750AF"/>
    <w:rsid w:val="00D75A9F"/>
    <w:rsid w:val="00D75B90"/>
    <w:rsid w:val="00D77C02"/>
    <w:rsid w:val="00D77F26"/>
    <w:rsid w:val="00D8091C"/>
    <w:rsid w:val="00D80C81"/>
    <w:rsid w:val="00D80E1C"/>
    <w:rsid w:val="00D8104B"/>
    <w:rsid w:val="00D82EC9"/>
    <w:rsid w:val="00D82F14"/>
    <w:rsid w:val="00D842FE"/>
    <w:rsid w:val="00D849D5"/>
    <w:rsid w:val="00D857E0"/>
    <w:rsid w:val="00D86839"/>
    <w:rsid w:val="00D874E7"/>
    <w:rsid w:val="00D9046A"/>
    <w:rsid w:val="00D9085A"/>
    <w:rsid w:val="00D90F3C"/>
    <w:rsid w:val="00D91088"/>
    <w:rsid w:val="00D92863"/>
    <w:rsid w:val="00D94F39"/>
    <w:rsid w:val="00D964B2"/>
    <w:rsid w:val="00D96C2F"/>
    <w:rsid w:val="00D96C8D"/>
    <w:rsid w:val="00D97789"/>
    <w:rsid w:val="00DA05B1"/>
    <w:rsid w:val="00DA3491"/>
    <w:rsid w:val="00DA58F2"/>
    <w:rsid w:val="00DA6369"/>
    <w:rsid w:val="00DA6AEB"/>
    <w:rsid w:val="00DA769F"/>
    <w:rsid w:val="00DB0A53"/>
    <w:rsid w:val="00DB19A5"/>
    <w:rsid w:val="00DB28CC"/>
    <w:rsid w:val="00DB31E6"/>
    <w:rsid w:val="00DB3CDD"/>
    <w:rsid w:val="00DB4CC8"/>
    <w:rsid w:val="00DB5284"/>
    <w:rsid w:val="00DB56D4"/>
    <w:rsid w:val="00DB5C4A"/>
    <w:rsid w:val="00DB6998"/>
    <w:rsid w:val="00DB6A56"/>
    <w:rsid w:val="00DB7D8A"/>
    <w:rsid w:val="00DC0500"/>
    <w:rsid w:val="00DC2C03"/>
    <w:rsid w:val="00DC3C55"/>
    <w:rsid w:val="00DC3F87"/>
    <w:rsid w:val="00DC42A6"/>
    <w:rsid w:val="00DC4727"/>
    <w:rsid w:val="00DC5027"/>
    <w:rsid w:val="00DC5180"/>
    <w:rsid w:val="00DC61C4"/>
    <w:rsid w:val="00DC69DC"/>
    <w:rsid w:val="00DC6A2D"/>
    <w:rsid w:val="00DC7AEC"/>
    <w:rsid w:val="00DD1CAC"/>
    <w:rsid w:val="00DD21BB"/>
    <w:rsid w:val="00DD5B97"/>
    <w:rsid w:val="00DD699C"/>
    <w:rsid w:val="00DD6B57"/>
    <w:rsid w:val="00DD6F88"/>
    <w:rsid w:val="00DE0181"/>
    <w:rsid w:val="00DE18EC"/>
    <w:rsid w:val="00DE2A53"/>
    <w:rsid w:val="00DE32D6"/>
    <w:rsid w:val="00DE3419"/>
    <w:rsid w:val="00DE4612"/>
    <w:rsid w:val="00DE479F"/>
    <w:rsid w:val="00DE56A5"/>
    <w:rsid w:val="00DE5FFB"/>
    <w:rsid w:val="00DE6BEE"/>
    <w:rsid w:val="00DF057B"/>
    <w:rsid w:val="00DF0D5A"/>
    <w:rsid w:val="00DF15CA"/>
    <w:rsid w:val="00DF2871"/>
    <w:rsid w:val="00DF319F"/>
    <w:rsid w:val="00DF476A"/>
    <w:rsid w:val="00DF5378"/>
    <w:rsid w:val="00DF6F3F"/>
    <w:rsid w:val="00DF767D"/>
    <w:rsid w:val="00DF768F"/>
    <w:rsid w:val="00DF7B62"/>
    <w:rsid w:val="00DF7B7F"/>
    <w:rsid w:val="00DF7C9C"/>
    <w:rsid w:val="00E003ED"/>
    <w:rsid w:val="00E014DB"/>
    <w:rsid w:val="00E015F2"/>
    <w:rsid w:val="00E03786"/>
    <w:rsid w:val="00E03989"/>
    <w:rsid w:val="00E04C5C"/>
    <w:rsid w:val="00E05A77"/>
    <w:rsid w:val="00E05BB9"/>
    <w:rsid w:val="00E065BB"/>
    <w:rsid w:val="00E07CAC"/>
    <w:rsid w:val="00E07DBD"/>
    <w:rsid w:val="00E1093F"/>
    <w:rsid w:val="00E11387"/>
    <w:rsid w:val="00E11B17"/>
    <w:rsid w:val="00E11FA4"/>
    <w:rsid w:val="00E14DE4"/>
    <w:rsid w:val="00E155FE"/>
    <w:rsid w:val="00E1615B"/>
    <w:rsid w:val="00E16B36"/>
    <w:rsid w:val="00E202B4"/>
    <w:rsid w:val="00E20947"/>
    <w:rsid w:val="00E20BC2"/>
    <w:rsid w:val="00E20F91"/>
    <w:rsid w:val="00E22FB6"/>
    <w:rsid w:val="00E24094"/>
    <w:rsid w:val="00E24341"/>
    <w:rsid w:val="00E25218"/>
    <w:rsid w:val="00E326A6"/>
    <w:rsid w:val="00E33077"/>
    <w:rsid w:val="00E337EC"/>
    <w:rsid w:val="00E3707D"/>
    <w:rsid w:val="00E37AA6"/>
    <w:rsid w:val="00E37EB8"/>
    <w:rsid w:val="00E41684"/>
    <w:rsid w:val="00E43B72"/>
    <w:rsid w:val="00E43EB7"/>
    <w:rsid w:val="00E462D6"/>
    <w:rsid w:val="00E47EEF"/>
    <w:rsid w:val="00E50859"/>
    <w:rsid w:val="00E50D7F"/>
    <w:rsid w:val="00E514F4"/>
    <w:rsid w:val="00E518D1"/>
    <w:rsid w:val="00E52924"/>
    <w:rsid w:val="00E57002"/>
    <w:rsid w:val="00E60086"/>
    <w:rsid w:val="00E60247"/>
    <w:rsid w:val="00E60879"/>
    <w:rsid w:val="00E641DF"/>
    <w:rsid w:val="00E64ED0"/>
    <w:rsid w:val="00E670EB"/>
    <w:rsid w:val="00E674A8"/>
    <w:rsid w:val="00E67A9D"/>
    <w:rsid w:val="00E70C0C"/>
    <w:rsid w:val="00E70C37"/>
    <w:rsid w:val="00E71B09"/>
    <w:rsid w:val="00E729F2"/>
    <w:rsid w:val="00E73654"/>
    <w:rsid w:val="00E73880"/>
    <w:rsid w:val="00E73A40"/>
    <w:rsid w:val="00E75271"/>
    <w:rsid w:val="00E774A3"/>
    <w:rsid w:val="00E77A1B"/>
    <w:rsid w:val="00E802EC"/>
    <w:rsid w:val="00E810DD"/>
    <w:rsid w:val="00E81B14"/>
    <w:rsid w:val="00E82418"/>
    <w:rsid w:val="00E836EC"/>
    <w:rsid w:val="00E83976"/>
    <w:rsid w:val="00E83B92"/>
    <w:rsid w:val="00E84A37"/>
    <w:rsid w:val="00E852BA"/>
    <w:rsid w:val="00E858C8"/>
    <w:rsid w:val="00E875C7"/>
    <w:rsid w:val="00E87EF2"/>
    <w:rsid w:val="00E90076"/>
    <w:rsid w:val="00E909C4"/>
    <w:rsid w:val="00E90B09"/>
    <w:rsid w:val="00E923B0"/>
    <w:rsid w:val="00E92606"/>
    <w:rsid w:val="00E92AF4"/>
    <w:rsid w:val="00E94C35"/>
    <w:rsid w:val="00E952C4"/>
    <w:rsid w:val="00E96A50"/>
    <w:rsid w:val="00EA1A17"/>
    <w:rsid w:val="00EA225D"/>
    <w:rsid w:val="00EA33B1"/>
    <w:rsid w:val="00EA3884"/>
    <w:rsid w:val="00EA39B6"/>
    <w:rsid w:val="00EA3F39"/>
    <w:rsid w:val="00EA5115"/>
    <w:rsid w:val="00EA56B4"/>
    <w:rsid w:val="00EA5DBA"/>
    <w:rsid w:val="00EA6EB2"/>
    <w:rsid w:val="00EA7D0E"/>
    <w:rsid w:val="00EB0385"/>
    <w:rsid w:val="00EB2A0C"/>
    <w:rsid w:val="00EB4218"/>
    <w:rsid w:val="00EB4B69"/>
    <w:rsid w:val="00EB5D1F"/>
    <w:rsid w:val="00EB640D"/>
    <w:rsid w:val="00EB667D"/>
    <w:rsid w:val="00EB75C9"/>
    <w:rsid w:val="00EC09B2"/>
    <w:rsid w:val="00EC18C4"/>
    <w:rsid w:val="00EC2691"/>
    <w:rsid w:val="00EC332F"/>
    <w:rsid w:val="00EC35F7"/>
    <w:rsid w:val="00EC37CC"/>
    <w:rsid w:val="00EC3CBF"/>
    <w:rsid w:val="00EC4F21"/>
    <w:rsid w:val="00EC4F5E"/>
    <w:rsid w:val="00EC55FF"/>
    <w:rsid w:val="00EC5D01"/>
    <w:rsid w:val="00EC7B37"/>
    <w:rsid w:val="00EC7CAF"/>
    <w:rsid w:val="00ED0537"/>
    <w:rsid w:val="00ED07F8"/>
    <w:rsid w:val="00ED1869"/>
    <w:rsid w:val="00ED224F"/>
    <w:rsid w:val="00ED31CA"/>
    <w:rsid w:val="00ED37FE"/>
    <w:rsid w:val="00ED51CA"/>
    <w:rsid w:val="00ED5319"/>
    <w:rsid w:val="00ED687A"/>
    <w:rsid w:val="00ED7BB8"/>
    <w:rsid w:val="00ED7CB2"/>
    <w:rsid w:val="00EE1665"/>
    <w:rsid w:val="00EE2BCB"/>
    <w:rsid w:val="00EE376F"/>
    <w:rsid w:val="00EE3AE9"/>
    <w:rsid w:val="00EE3EB8"/>
    <w:rsid w:val="00EE4B9D"/>
    <w:rsid w:val="00EE504F"/>
    <w:rsid w:val="00EE5DC5"/>
    <w:rsid w:val="00EE632E"/>
    <w:rsid w:val="00EE709C"/>
    <w:rsid w:val="00EE73E1"/>
    <w:rsid w:val="00EE7761"/>
    <w:rsid w:val="00EE7990"/>
    <w:rsid w:val="00EF2881"/>
    <w:rsid w:val="00EF39E7"/>
    <w:rsid w:val="00EF3AB5"/>
    <w:rsid w:val="00EF4550"/>
    <w:rsid w:val="00EF4940"/>
    <w:rsid w:val="00EF57EA"/>
    <w:rsid w:val="00EF5C49"/>
    <w:rsid w:val="00EF6189"/>
    <w:rsid w:val="00EF6615"/>
    <w:rsid w:val="00EF67CF"/>
    <w:rsid w:val="00EF699F"/>
    <w:rsid w:val="00EF6EB6"/>
    <w:rsid w:val="00EF7AC8"/>
    <w:rsid w:val="00EF7B0C"/>
    <w:rsid w:val="00F026DC"/>
    <w:rsid w:val="00F02EBF"/>
    <w:rsid w:val="00F0486A"/>
    <w:rsid w:val="00F04AFE"/>
    <w:rsid w:val="00F04C82"/>
    <w:rsid w:val="00F05255"/>
    <w:rsid w:val="00F05402"/>
    <w:rsid w:val="00F05D07"/>
    <w:rsid w:val="00F06FE7"/>
    <w:rsid w:val="00F10B41"/>
    <w:rsid w:val="00F1176F"/>
    <w:rsid w:val="00F11D1C"/>
    <w:rsid w:val="00F12582"/>
    <w:rsid w:val="00F1296A"/>
    <w:rsid w:val="00F150AA"/>
    <w:rsid w:val="00F15294"/>
    <w:rsid w:val="00F155B4"/>
    <w:rsid w:val="00F212DF"/>
    <w:rsid w:val="00F26866"/>
    <w:rsid w:val="00F26D5D"/>
    <w:rsid w:val="00F27BCB"/>
    <w:rsid w:val="00F32B8C"/>
    <w:rsid w:val="00F3311E"/>
    <w:rsid w:val="00F341AB"/>
    <w:rsid w:val="00F347E4"/>
    <w:rsid w:val="00F34875"/>
    <w:rsid w:val="00F34BB4"/>
    <w:rsid w:val="00F3572D"/>
    <w:rsid w:val="00F367EB"/>
    <w:rsid w:val="00F3716C"/>
    <w:rsid w:val="00F37FA7"/>
    <w:rsid w:val="00F40110"/>
    <w:rsid w:val="00F413E6"/>
    <w:rsid w:val="00F42734"/>
    <w:rsid w:val="00F43202"/>
    <w:rsid w:val="00F4393E"/>
    <w:rsid w:val="00F43E31"/>
    <w:rsid w:val="00F442C4"/>
    <w:rsid w:val="00F451BA"/>
    <w:rsid w:val="00F45914"/>
    <w:rsid w:val="00F463B0"/>
    <w:rsid w:val="00F47872"/>
    <w:rsid w:val="00F500FB"/>
    <w:rsid w:val="00F5145E"/>
    <w:rsid w:val="00F5156B"/>
    <w:rsid w:val="00F526C4"/>
    <w:rsid w:val="00F53D05"/>
    <w:rsid w:val="00F557F1"/>
    <w:rsid w:val="00F55E2E"/>
    <w:rsid w:val="00F576AE"/>
    <w:rsid w:val="00F62023"/>
    <w:rsid w:val="00F6210A"/>
    <w:rsid w:val="00F62966"/>
    <w:rsid w:val="00F64117"/>
    <w:rsid w:val="00F65CE2"/>
    <w:rsid w:val="00F66AD5"/>
    <w:rsid w:val="00F67FC8"/>
    <w:rsid w:val="00F71F68"/>
    <w:rsid w:val="00F72975"/>
    <w:rsid w:val="00F72A44"/>
    <w:rsid w:val="00F743C4"/>
    <w:rsid w:val="00F74DC6"/>
    <w:rsid w:val="00F75864"/>
    <w:rsid w:val="00F7596E"/>
    <w:rsid w:val="00F774D9"/>
    <w:rsid w:val="00F77BBB"/>
    <w:rsid w:val="00F819E7"/>
    <w:rsid w:val="00F827DD"/>
    <w:rsid w:val="00F83AA2"/>
    <w:rsid w:val="00F842E8"/>
    <w:rsid w:val="00F86D0C"/>
    <w:rsid w:val="00F86FA0"/>
    <w:rsid w:val="00F87F30"/>
    <w:rsid w:val="00F90612"/>
    <w:rsid w:val="00F90E50"/>
    <w:rsid w:val="00F91474"/>
    <w:rsid w:val="00F91BED"/>
    <w:rsid w:val="00F93556"/>
    <w:rsid w:val="00F936AF"/>
    <w:rsid w:val="00F94770"/>
    <w:rsid w:val="00F94A92"/>
    <w:rsid w:val="00F95E46"/>
    <w:rsid w:val="00F9653A"/>
    <w:rsid w:val="00F96898"/>
    <w:rsid w:val="00F973FF"/>
    <w:rsid w:val="00F9748B"/>
    <w:rsid w:val="00F97783"/>
    <w:rsid w:val="00F978A7"/>
    <w:rsid w:val="00F97F05"/>
    <w:rsid w:val="00FA0ADE"/>
    <w:rsid w:val="00FA1334"/>
    <w:rsid w:val="00FA2880"/>
    <w:rsid w:val="00FA4F42"/>
    <w:rsid w:val="00FA7199"/>
    <w:rsid w:val="00FA788A"/>
    <w:rsid w:val="00FB2258"/>
    <w:rsid w:val="00FB2398"/>
    <w:rsid w:val="00FB42DA"/>
    <w:rsid w:val="00FB58C1"/>
    <w:rsid w:val="00FB5F0D"/>
    <w:rsid w:val="00FB69D9"/>
    <w:rsid w:val="00FB731F"/>
    <w:rsid w:val="00FB7588"/>
    <w:rsid w:val="00FC1D53"/>
    <w:rsid w:val="00FC31F7"/>
    <w:rsid w:val="00FC395B"/>
    <w:rsid w:val="00FC536F"/>
    <w:rsid w:val="00FC5521"/>
    <w:rsid w:val="00FC5535"/>
    <w:rsid w:val="00FC5C0D"/>
    <w:rsid w:val="00FC6740"/>
    <w:rsid w:val="00FC7551"/>
    <w:rsid w:val="00FC767A"/>
    <w:rsid w:val="00FD018C"/>
    <w:rsid w:val="00FD1ABB"/>
    <w:rsid w:val="00FD2D49"/>
    <w:rsid w:val="00FD36E7"/>
    <w:rsid w:val="00FD372D"/>
    <w:rsid w:val="00FD3818"/>
    <w:rsid w:val="00FD4360"/>
    <w:rsid w:val="00FD5A10"/>
    <w:rsid w:val="00FD6A59"/>
    <w:rsid w:val="00FE06A1"/>
    <w:rsid w:val="00FE1621"/>
    <w:rsid w:val="00FE1D4F"/>
    <w:rsid w:val="00FE1EA5"/>
    <w:rsid w:val="00FE25DA"/>
    <w:rsid w:val="00FE31B9"/>
    <w:rsid w:val="00FE3ED8"/>
    <w:rsid w:val="00FE60A5"/>
    <w:rsid w:val="00FE6ABC"/>
    <w:rsid w:val="00FF3CA4"/>
    <w:rsid w:val="00FF5C4E"/>
    <w:rsid w:val="00FF6A52"/>
    <w:rsid w:val="00FF712E"/>
    <w:rsid w:val="00FF7BC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8C04470-0713-4B17-A91E-AAD8DFFB62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A62D1"/>
    <w:rPr>
      <w:rFonts w:eastAsiaTheme="minorEastAsia"/>
      <w:lang w:eastAsia="en-GB"/>
    </w:rPr>
  </w:style>
  <w:style w:type="paragraph" w:styleId="Heading1">
    <w:name w:val="heading 1"/>
    <w:basedOn w:val="Normal"/>
    <w:next w:val="Normal"/>
    <w:link w:val="Heading1Char"/>
    <w:uiPriority w:val="9"/>
    <w:qFormat/>
    <w:rsid w:val="006A62D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A62D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A62D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A13397"/>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62D1"/>
    <w:rPr>
      <w:rFonts w:asciiTheme="majorHAnsi" w:eastAsiaTheme="majorEastAsia" w:hAnsiTheme="majorHAnsi" w:cstheme="majorBidi"/>
      <w:color w:val="2E74B5" w:themeColor="accent1" w:themeShade="BF"/>
      <w:sz w:val="32"/>
      <w:szCs w:val="32"/>
      <w:lang w:eastAsia="en-GB"/>
    </w:rPr>
  </w:style>
  <w:style w:type="character" w:customStyle="1" w:styleId="Heading2Char">
    <w:name w:val="Heading 2 Char"/>
    <w:basedOn w:val="DefaultParagraphFont"/>
    <w:link w:val="Heading2"/>
    <w:uiPriority w:val="9"/>
    <w:rsid w:val="006A62D1"/>
    <w:rPr>
      <w:rFonts w:asciiTheme="majorHAnsi" w:eastAsiaTheme="majorEastAsia" w:hAnsiTheme="majorHAnsi" w:cstheme="majorBidi"/>
      <w:color w:val="2E74B5" w:themeColor="accent1" w:themeShade="BF"/>
      <w:sz w:val="26"/>
      <w:szCs w:val="26"/>
      <w:lang w:eastAsia="en-GB"/>
    </w:rPr>
  </w:style>
  <w:style w:type="character" w:customStyle="1" w:styleId="Heading3Char">
    <w:name w:val="Heading 3 Char"/>
    <w:basedOn w:val="DefaultParagraphFont"/>
    <w:link w:val="Heading3"/>
    <w:uiPriority w:val="9"/>
    <w:rsid w:val="006A62D1"/>
    <w:rPr>
      <w:rFonts w:asciiTheme="majorHAnsi" w:eastAsiaTheme="majorEastAsia" w:hAnsiTheme="majorHAnsi" w:cstheme="majorBidi"/>
      <w:color w:val="1F4D78" w:themeColor="accent1" w:themeShade="7F"/>
      <w:sz w:val="24"/>
      <w:szCs w:val="24"/>
      <w:lang w:eastAsia="en-GB"/>
    </w:rPr>
  </w:style>
  <w:style w:type="paragraph" w:styleId="FootnoteText">
    <w:name w:val="footnote text"/>
    <w:basedOn w:val="Normal"/>
    <w:link w:val="FootnoteTextChar"/>
    <w:uiPriority w:val="99"/>
    <w:semiHidden/>
    <w:unhideWhenUsed/>
    <w:rsid w:val="006A62D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A62D1"/>
    <w:rPr>
      <w:rFonts w:eastAsiaTheme="minorEastAsia"/>
      <w:sz w:val="20"/>
      <w:szCs w:val="20"/>
      <w:lang w:eastAsia="en-GB"/>
    </w:rPr>
  </w:style>
  <w:style w:type="character" w:styleId="FootnoteReference">
    <w:name w:val="footnote reference"/>
    <w:basedOn w:val="DefaultParagraphFont"/>
    <w:uiPriority w:val="99"/>
    <w:semiHidden/>
    <w:unhideWhenUsed/>
    <w:rsid w:val="006A62D1"/>
    <w:rPr>
      <w:vertAlign w:val="superscript"/>
    </w:rPr>
  </w:style>
  <w:style w:type="paragraph" w:styleId="Header">
    <w:name w:val="header"/>
    <w:basedOn w:val="Normal"/>
    <w:link w:val="HeaderChar"/>
    <w:uiPriority w:val="99"/>
    <w:unhideWhenUsed/>
    <w:rsid w:val="006A62D1"/>
    <w:pPr>
      <w:tabs>
        <w:tab w:val="center" w:pos="4513"/>
        <w:tab w:val="right" w:pos="9026"/>
      </w:tabs>
      <w:spacing w:after="0" w:line="240" w:lineRule="auto"/>
    </w:pPr>
  </w:style>
  <w:style w:type="character" w:customStyle="1" w:styleId="HeaderChar">
    <w:name w:val="Header Char"/>
    <w:basedOn w:val="DefaultParagraphFont"/>
    <w:link w:val="Header"/>
    <w:uiPriority w:val="99"/>
    <w:rsid w:val="006A62D1"/>
    <w:rPr>
      <w:rFonts w:eastAsiaTheme="minorEastAsia"/>
      <w:lang w:eastAsia="en-GB"/>
    </w:rPr>
  </w:style>
  <w:style w:type="paragraph" w:styleId="Footer">
    <w:name w:val="footer"/>
    <w:basedOn w:val="Normal"/>
    <w:link w:val="FooterChar"/>
    <w:uiPriority w:val="99"/>
    <w:unhideWhenUsed/>
    <w:rsid w:val="006A62D1"/>
    <w:pPr>
      <w:tabs>
        <w:tab w:val="center" w:pos="4513"/>
        <w:tab w:val="right" w:pos="9026"/>
      </w:tabs>
      <w:spacing w:after="0" w:line="240" w:lineRule="auto"/>
    </w:pPr>
  </w:style>
  <w:style w:type="character" w:customStyle="1" w:styleId="FooterChar">
    <w:name w:val="Footer Char"/>
    <w:basedOn w:val="DefaultParagraphFont"/>
    <w:link w:val="Footer"/>
    <w:uiPriority w:val="99"/>
    <w:rsid w:val="006A62D1"/>
    <w:rPr>
      <w:rFonts w:eastAsiaTheme="minorEastAsia"/>
      <w:lang w:eastAsia="en-GB"/>
    </w:rPr>
  </w:style>
  <w:style w:type="paragraph" w:styleId="Caption">
    <w:name w:val="caption"/>
    <w:basedOn w:val="Normal"/>
    <w:next w:val="Normal"/>
    <w:uiPriority w:val="35"/>
    <w:unhideWhenUsed/>
    <w:qFormat/>
    <w:rsid w:val="006A62D1"/>
    <w:pPr>
      <w:spacing w:after="200" w:line="240" w:lineRule="auto"/>
    </w:pPr>
    <w:rPr>
      <w:i/>
      <w:iCs/>
      <w:color w:val="44546A" w:themeColor="text2"/>
      <w:sz w:val="18"/>
      <w:szCs w:val="18"/>
    </w:rPr>
  </w:style>
  <w:style w:type="table" w:styleId="TableGrid">
    <w:name w:val="Table Grid"/>
    <w:basedOn w:val="TableNormal"/>
    <w:uiPriority w:val="39"/>
    <w:rsid w:val="006A62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6A62D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A62D1"/>
    <w:rPr>
      <w:rFonts w:asciiTheme="majorHAnsi" w:eastAsiaTheme="majorEastAsia" w:hAnsiTheme="majorHAnsi" w:cstheme="majorBidi"/>
      <w:spacing w:val="-10"/>
      <w:kern w:val="28"/>
      <w:sz w:val="56"/>
      <w:szCs w:val="56"/>
      <w:lang w:eastAsia="en-GB"/>
    </w:rPr>
  </w:style>
  <w:style w:type="paragraph" w:styleId="NormalWeb">
    <w:name w:val="Normal (Web)"/>
    <w:basedOn w:val="Normal"/>
    <w:uiPriority w:val="99"/>
    <w:semiHidden/>
    <w:unhideWhenUsed/>
    <w:rsid w:val="006A62D1"/>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6A62D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A62D1"/>
    <w:rPr>
      <w:rFonts w:ascii="Tahoma" w:eastAsiaTheme="minorEastAsia" w:hAnsi="Tahoma" w:cs="Tahoma"/>
      <w:sz w:val="16"/>
      <w:szCs w:val="16"/>
      <w:lang w:eastAsia="en-GB"/>
    </w:rPr>
  </w:style>
  <w:style w:type="paragraph" w:styleId="ListParagraph">
    <w:name w:val="List Paragraph"/>
    <w:basedOn w:val="Normal"/>
    <w:uiPriority w:val="34"/>
    <w:qFormat/>
    <w:rsid w:val="004C0AC5"/>
    <w:pPr>
      <w:ind w:left="720"/>
      <w:contextualSpacing/>
    </w:pPr>
    <w:rPr>
      <w:rFonts w:eastAsiaTheme="minorHAnsi"/>
      <w:lang w:eastAsia="en-US"/>
    </w:rPr>
  </w:style>
  <w:style w:type="paragraph" w:styleId="NoSpacing">
    <w:name w:val="No Spacing"/>
    <w:uiPriority w:val="1"/>
    <w:qFormat/>
    <w:rsid w:val="00F43202"/>
    <w:pPr>
      <w:spacing w:after="0" w:line="240" w:lineRule="auto"/>
    </w:pPr>
    <w:rPr>
      <w:rFonts w:eastAsiaTheme="minorEastAsia"/>
      <w:lang w:eastAsia="en-GB"/>
    </w:rPr>
  </w:style>
  <w:style w:type="paragraph" w:customStyle="1" w:styleId="TableofTables">
    <w:name w:val="Table of Tables"/>
    <w:basedOn w:val="Normal"/>
    <w:link w:val="TableofTablesChar"/>
    <w:rsid w:val="0036218B"/>
    <w:rPr>
      <w:rFonts w:eastAsiaTheme="minorHAnsi"/>
      <w:lang w:eastAsia="en-US"/>
    </w:rPr>
  </w:style>
  <w:style w:type="character" w:customStyle="1" w:styleId="TableofTablesChar">
    <w:name w:val="Table of Tables Char"/>
    <w:basedOn w:val="DefaultParagraphFont"/>
    <w:link w:val="TableofTables"/>
    <w:rsid w:val="0036218B"/>
  </w:style>
  <w:style w:type="character" w:customStyle="1" w:styleId="Heading4Char">
    <w:name w:val="Heading 4 Char"/>
    <w:basedOn w:val="DefaultParagraphFont"/>
    <w:link w:val="Heading4"/>
    <w:uiPriority w:val="9"/>
    <w:rsid w:val="00A13397"/>
    <w:rPr>
      <w:rFonts w:asciiTheme="majorHAnsi" w:eastAsiaTheme="majorEastAsia" w:hAnsiTheme="majorHAnsi" w:cstheme="majorBidi"/>
      <w:i/>
      <w:iCs/>
      <w:color w:val="2E74B5" w:themeColor="accent1" w:themeShade="BF"/>
      <w:lang w:eastAsia="en-GB"/>
    </w:rPr>
  </w:style>
  <w:style w:type="character" w:styleId="PlaceholderText">
    <w:name w:val="Placeholder Text"/>
    <w:basedOn w:val="DefaultParagraphFont"/>
    <w:uiPriority w:val="99"/>
    <w:semiHidden/>
    <w:rsid w:val="00A622B1"/>
    <w:rPr>
      <w:color w:val="808080"/>
    </w:rPr>
  </w:style>
  <w:style w:type="paragraph" w:styleId="TableofFigures">
    <w:name w:val="table of figures"/>
    <w:basedOn w:val="Normal"/>
    <w:next w:val="Normal"/>
    <w:uiPriority w:val="99"/>
    <w:unhideWhenUsed/>
    <w:rsid w:val="003B4319"/>
    <w:pPr>
      <w:spacing w:after="0"/>
    </w:pPr>
  </w:style>
  <w:style w:type="character" w:styleId="Hyperlink">
    <w:name w:val="Hyperlink"/>
    <w:basedOn w:val="DefaultParagraphFont"/>
    <w:uiPriority w:val="99"/>
    <w:unhideWhenUsed/>
    <w:rsid w:val="003B4319"/>
    <w:rPr>
      <w:color w:val="0563C1" w:themeColor="hyperlink"/>
      <w:u w:val="single"/>
    </w:rPr>
  </w:style>
  <w:style w:type="table" w:customStyle="1" w:styleId="PlainTable51">
    <w:name w:val="Plain Table 51"/>
    <w:basedOn w:val="TableNormal"/>
    <w:uiPriority w:val="45"/>
    <w:rsid w:val="00B811B5"/>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41">
    <w:name w:val="Plain Table 41"/>
    <w:basedOn w:val="TableNormal"/>
    <w:uiPriority w:val="44"/>
    <w:rsid w:val="00B811B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B811B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B811B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11">
    <w:name w:val="Plain Table 11"/>
    <w:basedOn w:val="TableNormal"/>
    <w:uiPriority w:val="41"/>
    <w:rsid w:val="00B811B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TableNormal"/>
    <w:uiPriority w:val="40"/>
    <w:rsid w:val="00B811B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ListTable2-Accent41">
    <w:name w:val="List Table 2 - Accent 41"/>
    <w:basedOn w:val="TableNormal"/>
    <w:uiPriority w:val="47"/>
    <w:rsid w:val="00B811B5"/>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21">
    <w:name w:val="List Table 21"/>
    <w:basedOn w:val="TableNormal"/>
    <w:uiPriority w:val="47"/>
    <w:rsid w:val="00B811B5"/>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Accent31">
    <w:name w:val="List Table 1 Light - Accent 31"/>
    <w:basedOn w:val="TableNormal"/>
    <w:uiPriority w:val="46"/>
    <w:rsid w:val="00B811B5"/>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1Light-Accent21">
    <w:name w:val="List Table 1 Light - Accent 21"/>
    <w:basedOn w:val="TableNormal"/>
    <w:uiPriority w:val="46"/>
    <w:rsid w:val="00B811B5"/>
    <w:pPr>
      <w:spacing w:after="0" w:line="240" w:lineRule="auto"/>
    </w:p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1Light-Accent11">
    <w:name w:val="List Table 1 Light - Accent 11"/>
    <w:basedOn w:val="TableNormal"/>
    <w:uiPriority w:val="46"/>
    <w:rsid w:val="00B811B5"/>
    <w:pPr>
      <w:spacing w:after="0"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Figures">
    <w:name w:val="Figures"/>
    <w:basedOn w:val="Normal"/>
    <w:link w:val="FiguresChar"/>
    <w:qFormat/>
    <w:rsid w:val="000C0B19"/>
    <w:pPr>
      <w:spacing w:line="360" w:lineRule="auto"/>
      <w:jc w:val="both"/>
    </w:pPr>
    <w:rPr>
      <w:rFonts w:ascii="Times New Roman" w:eastAsia="Calibri" w:hAnsi="Times New Roman" w:cs="Times New Roman"/>
      <w:color w:val="FF0000"/>
    </w:rPr>
  </w:style>
  <w:style w:type="paragraph" w:customStyle="1" w:styleId="Tables">
    <w:name w:val="Tables"/>
    <w:basedOn w:val="Figures"/>
    <w:link w:val="TablesChar"/>
    <w:qFormat/>
    <w:rsid w:val="000C0B19"/>
  </w:style>
  <w:style w:type="character" w:customStyle="1" w:styleId="FiguresChar">
    <w:name w:val="Figures Char"/>
    <w:basedOn w:val="DefaultParagraphFont"/>
    <w:link w:val="Figures"/>
    <w:rsid w:val="000C0B19"/>
    <w:rPr>
      <w:rFonts w:ascii="Times New Roman" w:eastAsia="Calibri" w:hAnsi="Times New Roman" w:cs="Times New Roman"/>
      <w:color w:val="FF0000"/>
      <w:lang w:eastAsia="en-GB"/>
    </w:rPr>
  </w:style>
  <w:style w:type="paragraph" w:customStyle="1" w:styleId="Reference">
    <w:name w:val="Reference"/>
    <w:basedOn w:val="Normal"/>
    <w:link w:val="ReferenceChar"/>
    <w:qFormat/>
    <w:rsid w:val="000C0B19"/>
    <w:rPr>
      <w:rFonts w:ascii="Times New Roman" w:eastAsia="Calibri" w:hAnsi="Times New Roman"/>
      <w:color w:val="00B050"/>
    </w:rPr>
  </w:style>
  <w:style w:type="character" w:customStyle="1" w:styleId="TablesChar">
    <w:name w:val="Tables Char"/>
    <w:basedOn w:val="FiguresChar"/>
    <w:link w:val="Tables"/>
    <w:rsid w:val="000C0B19"/>
    <w:rPr>
      <w:rFonts w:ascii="Times New Roman" w:eastAsia="Calibri" w:hAnsi="Times New Roman" w:cs="Times New Roman"/>
      <w:color w:val="FF0000"/>
      <w:lang w:eastAsia="en-GB"/>
    </w:rPr>
  </w:style>
  <w:style w:type="paragraph" w:customStyle="1" w:styleId="Equation">
    <w:name w:val="Equation"/>
    <w:basedOn w:val="Reference"/>
    <w:link w:val="EquationChar"/>
    <w:qFormat/>
    <w:rsid w:val="005B4E7E"/>
    <w:rPr>
      <w:color w:val="7030A0"/>
    </w:rPr>
  </w:style>
  <w:style w:type="character" w:customStyle="1" w:styleId="ReferenceChar">
    <w:name w:val="Reference Char"/>
    <w:basedOn w:val="DefaultParagraphFont"/>
    <w:link w:val="Reference"/>
    <w:rsid w:val="000C0B19"/>
    <w:rPr>
      <w:rFonts w:ascii="Times New Roman" w:eastAsia="Calibri" w:hAnsi="Times New Roman"/>
      <w:color w:val="00B050"/>
      <w:lang w:eastAsia="en-GB"/>
    </w:rPr>
  </w:style>
  <w:style w:type="character" w:customStyle="1" w:styleId="EquationChar">
    <w:name w:val="Equation Char"/>
    <w:basedOn w:val="ReferenceChar"/>
    <w:link w:val="Equation"/>
    <w:rsid w:val="005B4E7E"/>
    <w:rPr>
      <w:rFonts w:ascii="Times New Roman" w:eastAsia="Calibri" w:hAnsi="Times New Roman"/>
      <w:color w:val="7030A0"/>
      <w:lang w:eastAsia="en-GB"/>
    </w:rPr>
  </w:style>
  <w:style w:type="character" w:styleId="Strong">
    <w:name w:val="Strong"/>
    <w:basedOn w:val="DefaultParagraphFont"/>
    <w:uiPriority w:val="22"/>
    <w:qFormat/>
    <w:rsid w:val="0024785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798591">
      <w:bodyDiv w:val="1"/>
      <w:marLeft w:val="0"/>
      <w:marRight w:val="0"/>
      <w:marTop w:val="0"/>
      <w:marBottom w:val="0"/>
      <w:divBdr>
        <w:top w:val="none" w:sz="0" w:space="0" w:color="auto"/>
        <w:left w:val="none" w:sz="0" w:space="0" w:color="auto"/>
        <w:bottom w:val="none" w:sz="0" w:space="0" w:color="auto"/>
        <w:right w:val="none" w:sz="0" w:space="0" w:color="auto"/>
      </w:divBdr>
    </w:div>
    <w:div w:id="245040472">
      <w:bodyDiv w:val="1"/>
      <w:marLeft w:val="0"/>
      <w:marRight w:val="0"/>
      <w:marTop w:val="0"/>
      <w:marBottom w:val="0"/>
      <w:divBdr>
        <w:top w:val="none" w:sz="0" w:space="0" w:color="auto"/>
        <w:left w:val="none" w:sz="0" w:space="0" w:color="auto"/>
        <w:bottom w:val="none" w:sz="0" w:space="0" w:color="auto"/>
        <w:right w:val="none" w:sz="0" w:space="0" w:color="auto"/>
      </w:divBdr>
    </w:div>
    <w:div w:id="265625336">
      <w:bodyDiv w:val="1"/>
      <w:marLeft w:val="0"/>
      <w:marRight w:val="0"/>
      <w:marTop w:val="0"/>
      <w:marBottom w:val="0"/>
      <w:divBdr>
        <w:top w:val="none" w:sz="0" w:space="0" w:color="auto"/>
        <w:left w:val="none" w:sz="0" w:space="0" w:color="auto"/>
        <w:bottom w:val="none" w:sz="0" w:space="0" w:color="auto"/>
        <w:right w:val="none" w:sz="0" w:space="0" w:color="auto"/>
      </w:divBdr>
    </w:div>
    <w:div w:id="305860544">
      <w:bodyDiv w:val="1"/>
      <w:marLeft w:val="0"/>
      <w:marRight w:val="0"/>
      <w:marTop w:val="0"/>
      <w:marBottom w:val="0"/>
      <w:divBdr>
        <w:top w:val="none" w:sz="0" w:space="0" w:color="auto"/>
        <w:left w:val="none" w:sz="0" w:space="0" w:color="auto"/>
        <w:bottom w:val="none" w:sz="0" w:space="0" w:color="auto"/>
        <w:right w:val="none" w:sz="0" w:space="0" w:color="auto"/>
      </w:divBdr>
    </w:div>
    <w:div w:id="377901075">
      <w:bodyDiv w:val="1"/>
      <w:marLeft w:val="0"/>
      <w:marRight w:val="0"/>
      <w:marTop w:val="0"/>
      <w:marBottom w:val="0"/>
      <w:divBdr>
        <w:top w:val="none" w:sz="0" w:space="0" w:color="auto"/>
        <w:left w:val="none" w:sz="0" w:space="0" w:color="auto"/>
        <w:bottom w:val="none" w:sz="0" w:space="0" w:color="auto"/>
        <w:right w:val="none" w:sz="0" w:space="0" w:color="auto"/>
      </w:divBdr>
    </w:div>
    <w:div w:id="393822825">
      <w:bodyDiv w:val="1"/>
      <w:marLeft w:val="0"/>
      <w:marRight w:val="0"/>
      <w:marTop w:val="0"/>
      <w:marBottom w:val="0"/>
      <w:divBdr>
        <w:top w:val="none" w:sz="0" w:space="0" w:color="auto"/>
        <w:left w:val="none" w:sz="0" w:space="0" w:color="auto"/>
        <w:bottom w:val="none" w:sz="0" w:space="0" w:color="auto"/>
        <w:right w:val="none" w:sz="0" w:space="0" w:color="auto"/>
      </w:divBdr>
    </w:div>
    <w:div w:id="451822682">
      <w:bodyDiv w:val="1"/>
      <w:marLeft w:val="0"/>
      <w:marRight w:val="0"/>
      <w:marTop w:val="0"/>
      <w:marBottom w:val="0"/>
      <w:divBdr>
        <w:top w:val="none" w:sz="0" w:space="0" w:color="auto"/>
        <w:left w:val="none" w:sz="0" w:space="0" w:color="auto"/>
        <w:bottom w:val="none" w:sz="0" w:space="0" w:color="auto"/>
        <w:right w:val="none" w:sz="0" w:space="0" w:color="auto"/>
      </w:divBdr>
    </w:div>
    <w:div w:id="452941772">
      <w:bodyDiv w:val="1"/>
      <w:marLeft w:val="0"/>
      <w:marRight w:val="0"/>
      <w:marTop w:val="0"/>
      <w:marBottom w:val="0"/>
      <w:divBdr>
        <w:top w:val="none" w:sz="0" w:space="0" w:color="auto"/>
        <w:left w:val="none" w:sz="0" w:space="0" w:color="auto"/>
        <w:bottom w:val="none" w:sz="0" w:space="0" w:color="auto"/>
        <w:right w:val="none" w:sz="0" w:space="0" w:color="auto"/>
      </w:divBdr>
    </w:div>
    <w:div w:id="461777821">
      <w:bodyDiv w:val="1"/>
      <w:marLeft w:val="0"/>
      <w:marRight w:val="0"/>
      <w:marTop w:val="0"/>
      <w:marBottom w:val="0"/>
      <w:divBdr>
        <w:top w:val="none" w:sz="0" w:space="0" w:color="auto"/>
        <w:left w:val="none" w:sz="0" w:space="0" w:color="auto"/>
        <w:bottom w:val="none" w:sz="0" w:space="0" w:color="auto"/>
        <w:right w:val="none" w:sz="0" w:space="0" w:color="auto"/>
      </w:divBdr>
    </w:div>
    <w:div w:id="470251252">
      <w:bodyDiv w:val="1"/>
      <w:marLeft w:val="0"/>
      <w:marRight w:val="0"/>
      <w:marTop w:val="0"/>
      <w:marBottom w:val="0"/>
      <w:divBdr>
        <w:top w:val="none" w:sz="0" w:space="0" w:color="auto"/>
        <w:left w:val="none" w:sz="0" w:space="0" w:color="auto"/>
        <w:bottom w:val="none" w:sz="0" w:space="0" w:color="auto"/>
        <w:right w:val="none" w:sz="0" w:space="0" w:color="auto"/>
      </w:divBdr>
    </w:div>
    <w:div w:id="496581765">
      <w:bodyDiv w:val="1"/>
      <w:marLeft w:val="0"/>
      <w:marRight w:val="0"/>
      <w:marTop w:val="0"/>
      <w:marBottom w:val="0"/>
      <w:divBdr>
        <w:top w:val="none" w:sz="0" w:space="0" w:color="auto"/>
        <w:left w:val="none" w:sz="0" w:space="0" w:color="auto"/>
        <w:bottom w:val="none" w:sz="0" w:space="0" w:color="auto"/>
        <w:right w:val="none" w:sz="0" w:space="0" w:color="auto"/>
      </w:divBdr>
    </w:div>
    <w:div w:id="574707311">
      <w:bodyDiv w:val="1"/>
      <w:marLeft w:val="0"/>
      <w:marRight w:val="0"/>
      <w:marTop w:val="0"/>
      <w:marBottom w:val="0"/>
      <w:divBdr>
        <w:top w:val="none" w:sz="0" w:space="0" w:color="auto"/>
        <w:left w:val="none" w:sz="0" w:space="0" w:color="auto"/>
        <w:bottom w:val="none" w:sz="0" w:space="0" w:color="auto"/>
        <w:right w:val="none" w:sz="0" w:space="0" w:color="auto"/>
      </w:divBdr>
    </w:div>
    <w:div w:id="576473671">
      <w:bodyDiv w:val="1"/>
      <w:marLeft w:val="0"/>
      <w:marRight w:val="0"/>
      <w:marTop w:val="0"/>
      <w:marBottom w:val="0"/>
      <w:divBdr>
        <w:top w:val="none" w:sz="0" w:space="0" w:color="auto"/>
        <w:left w:val="none" w:sz="0" w:space="0" w:color="auto"/>
        <w:bottom w:val="none" w:sz="0" w:space="0" w:color="auto"/>
        <w:right w:val="none" w:sz="0" w:space="0" w:color="auto"/>
      </w:divBdr>
    </w:div>
    <w:div w:id="619796677">
      <w:bodyDiv w:val="1"/>
      <w:marLeft w:val="0"/>
      <w:marRight w:val="0"/>
      <w:marTop w:val="0"/>
      <w:marBottom w:val="0"/>
      <w:divBdr>
        <w:top w:val="none" w:sz="0" w:space="0" w:color="auto"/>
        <w:left w:val="none" w:sz="0" w:space="0" w:color="auto"/>
        <w:bottom w:val="none" w:sz="0" w:space="0" w:color="auto"/>
        <w:right w:val="none" w:sz="0" w:space="0" w:color="auto"/>
      </w:divBdr>
    </w:div>
    <w:div w:id="631442279">
      <w:bodyDiv w:val="1"/>
      <w:marLeft w:val="0"/>
      <w:marRight w:val="0"/>
      <w:marTop w:val="0"/>
      <w:marBottom w:val="0"/>
      <w:divBdr>
        <w:top w:val="none" w:sz="0" w:space="0" w:color="auto"/>
        <w:left w:val="none" w:sz="0" w:space="0" w:color="auto"/>
        <w:bottom w:val="none" w:sz="0" w:space="0" w:color="auto"/>
        <w:right w:val="none" w:sz="0" w:space="0" w:color="auto"/>
      </w:divBdr>
    </w:div>
    <w:div w:id="655768668">
      <w:bodyDiv w:val="1"/>
      <w:marLeft w:val="0"/>
      <w:marRight w:val="0"/>
      <w:marTop w:val="0"/>
      <w:marBottom w:val="0"/>
      <w:divBdr>
        <w:top w:val="none" w:sz="0" w:space="0" w:color="auto"/>
        <w:left w:val="none" w:sz="0" w:space="0" w:color="auto"/>
        <w:bottom w:val="none" w:sz="0" w:space="0" w:color="auto"/>
        <w:right w:val="none" w:sz="0" w:space="0" w:color="auto"/>
      </w:divBdr>
    </w:div>
    <w:div w:id="711807507">
      <w:bodyDiv w:val="1"/>
      <w:marLeft w:val="0"/>
      <w:marRight w:val="0"/>
      <w:marTop w:val="0"/>
      <w:marBottom w:val="0"/>
      <w:divBdr>
        <w:top w:val="none" w:sz="0" w:space="0" w:color="auto"/>
        <w:left w:val="none" w:sz="0" w:space="0" w:color="auto"/>
        <w:bottom w:val="none" w:sz="0" w:space="0" w:color="auto"/>
        <w:right w:val="none" w:sz="0" w:space="0" w:color="auto"/>
      </w:divBdr>
    </w:div>
    <w:div w:id="743795278">
      <w:bodyDiv w:val="1"/>
      <w:marLeft w:val="0"/>
      <w:marRight w:val="0"/>
      <w:marTop w:val="0"/>
      <w:marBottom w:val="0"/>
      <w:divBdr>
        <w:top w:val="none" w:sz="0" w:space="0" w:color="auto"/>
        <w:left w:val="none" w:sz="0" w:space="0" w:color="auto"/>
        <w:bottom w:val="none" w:sz="0" w:space="0" w:color="auto"/>
        <w:right w:val="none" w:sz="0" w:space="0" w:color="auto"/>
      </w:divBdr>
    </w:div>
    <w:div w:id="797337511">
      <w:bodyDiv w:val="1"/>
      <w:marLeft w:val="0"/>
      <w:marRight w:val="0"/>
      <w:marTop w:val="0"/>
      <w:marBottom w:val="0"/>
      <w:divBdr>
        <w:top w:val="none" w:sz="0" w:space="0" w:color="auto"/>
        <w:left w:val="none" w:sz="0" w:space="0" w:color="auto"/>
        <w:bottom w:val="none" w:sz="0" w:space="0" w:color="auto"/>
        <w:right w:val="none" w:sz="0" w:space="0" w:color="auto"/>
      </w:divBdr>
    </w:div>
    <w:div w:id="834341421">
      <w:bodyDiv w:val="1"/>
      <w:marLeft w:val="0"/>
      <w:marRight w:val="0"/>
      <w:marTop w:val="0"/>
      <w:marBottom w:val="0"/>
      <w:divBdr>
        <w:top w:val="none" w:sz="0" w:space="0" w:color="auto"/>
        <w:left w:val="none" w:sz="0" w:space="0" w:color="auto"/>
        <w:bottom w:val="none" w:sz="0" w:space="0" w:color="auto"/>
        <w:right w:val="none" w:sz="0" w:space="0" w:color="auto"/>
      </w:divBdr>
    </w:div>
    <w:div w:id="837430496">
      <w:bodyDiv w:val="1"/>
      <w:marLeft w:val="0"/>
      <w:marRight w:val="0"/>
      <w:marTop w:val="0"/>
      <w:marBottom w:val="0"/>
      <w:divBdr>
        <w:top w:val="none" w:sz="0" w:space="0" w:color="auto"/>
        <w:left w:val="none" w:sz="0" w:space="0" w:color="auto"/>
        <w:bottom w:val="none" w:sz="0" w:space="0" w:color="auto"/>
        <w:right w:val="none" w:sz="0" w:space="0" w:color="auto"/>
      </w:divBdr>
    </w:div>
    <w:div w:id="890919232">
      <w:bodyDiv w:val="1"/>
      <w:marLeft w:val="0"/>
      <w:marRight w:val="0"/>
      <w:marTop w:val="0"/>
      <w:marBottom w:val="0"/>
      <w:divBdr>
        <w:top w:val="none" w:sz="0" w:space="0" w:color="auto"/>
        <w:left w:val="none" w:sz="0" w:space="0" w:color="auto"/>
        <w:bottom w:val="none" w:sz="0" w:space="0" w:color="auto"/>
        <w:right w:val="none" w:sz="0" w:space="0" w:color="auto"/>
      </w:divBdr>
    </w:div>
    <w:div w:id="892042818">
      <w:bodyDiv w:val="1"/>
      <w:marLeft w:val="0"/>
      <w:marRight w:val="0"/>
      <w:marTop w:val="0"/>
      <w:marBottom w:val="0"/>
      <w:divBdr>
        <w:top w:val="none" w:sz="0" w:space="0" w:color="auto"/>
        <w:left w:val="none" w:sz="0" w:space="0" w:color="auto"/>
        <w:bottom w:val="none" w:sz="0" w:space="0" w:color="auto"/>
        <w:right w:val="none" w:sz="0" w:space="0" w:color="auto"/>
      </w:divBdr>
    </w:div>
    <w:div w:id="894857676">
      <w:bodyDiv w:val="1"/>
      <w:marLeft w:val="0"/>
      <w:marRight w:val="0"/>
      <w:marTop w:val="0"/>
      <w:marBottom w:val="0"/>
      <w:divBdr>
        <w:top w:val="none" w:sz="0" w:space="0" w:color="auto"/>
        <w:left w:val="none" w:sz="0" w:space="0" w:color="auto"/>
        <w:bottom w:val="none" w:sz="0" w:space="0" w:color="auto"/>
        <w:right w:val="none" w:sz="0" w:space="0" w:color="auto"/>
      </w:divBdr>
    </w:div>
    <w:div w:id="955866337">
      <w:bodyDiv w:val="1"/>
      <w:marLeft w:val="0"/>
      <w:marRight w:val="0"/>
      <w:marTop w:val="0"/>
      <w:marBottom w:val="0"/>
      <w:divBdr>
        <w:top w:val="none" w:sz="0" w:space="0" w:color="auto"/>
        <w:left w:val="none" w:sz="0" w:space="0" w:color="auto"/>
        <w:bottom w:val="none" w:sz="0" w:space="0" w:color="auto"/>
        <w:right w:val="none" w:sz="0" w:space="0" w:color="auto"/>
      </w:divBdr>
    </w:div>
    <w:div w:id="989287522">
      <w:bodyDiv w:val="1"/>
      <w:marLeft w:val="0"/>
      <w:marRight w:val="0"/>
      <w:marTop w:val="0"/>
      <w:marBottom w:val="0"/>
      <w:divBdr>
        <w:top w:val="none" w:sz="0" w:space="0" w:color="auto"/>
        <w:left w:val="none" w:sz="0" w:space="0" w:color="auto"/>
        <w:bottom w:val="none" w:sz="0" w:space="0" w:color="auto"/>
        <w:right w:val="none" w:sz="0" w:space="0" w:color="auto"/>
      </w:divBdr>
    </w:div>
    <w:div w:id="1079640515">
      <w:bodyDiv w:val="1"/>
      <w:marLeft w:val="0"/>
      <w:marRight w:val="0"/>
      <w:marTop w:val="0"/>
      <w:marBottom w:val="0"/>
      <w:divBdr>
        <w:top w:val="none" w:sz="0" w:space="0" w:color="auto"/>
        <w:left w:val="none" w:sz="0" w:space="0" w:color="auto"/>
        <w:bottom w:val="none" w:sz="0" w:space="0" w:color="auto"/>
        <w:right w:val="none" w:sz="0" w:space="0" w:color="auto"/>
      </w:divBdr>
    </w:div>
    <w:div w:id="1132359935">
      <w:bodyDiv w:val="1"/>
      <w:marLeft w:val="0"/>
      <w:marRight w:val="0"/>
      <w:marTop w:val="0"/>
      <w:marBottom w:val="0"/>
      <w:divBdr>
        <w:top w:val="none" w:sz="0" w:space="0" w:color="auto"/>
        <w:left w:val="none" w:sz="0" w:space="0" w:color="auto"/>
        <w:bottom w:val="none" w:sz="0" w:space="0" w:color="auto"/>
        <w:right w:val="none" w:sz="0" w:space="0" w:color="auto"/>
      </w:divBdr>
    </w:div>
    <w:div w:id="1140801268">
      <w:bodyDiv w:val="1"/>
      <w:marLeft w:val="0"/>
      <w:marRight w:val="0"/>
      <w:marTop w:val="0"/>
      <w:marBottom w:val="0"/>
      <w:divBdr>
        <w:top w:val="none" w:sz="0" w:space="0" w:color="auto"/>
        <w:left w:val="none" w:sz="0" w:space="0" w:color="auto"/>
        <w:bottom w:val="none" w:sz="0" w:space="0" w:color="auto"/>
        <w:right w:val="none" w:sz="0" w:space="0" w:color="auto"/>
      </w:divBdr>
    </w:div>
    <w:div w:id="1159492619">
      <w:bodyDiv w:val="1"/>
      <w:marLeft w:val="0"/>
      <w:marRight w:val="0"/>
      <w:marTop w:val="0"/>
      <w:marBottom w:val="0"/>
      <w:divBdr>
        <w:top w:val="none" w:sz="0" w:space="0" w:color="auto"/>
        <w:left w:val="none" w:sz="0" w:space="0" w:color="auto"/>
        <w:bottom w:val="none" w:sz="0" w:space="0" w:color="auto"/>
        <w:right w:val="none" w:sz="0" w:space="0" w:color="auto"/>
      </w:divBdr>
    </w:div>
    <w:div w:id="1187524740">
      <w:bodyDiv w:val="1"/>
      <w:marLeft w:val="0"/>
      <w:marRight w:val="0"/>
      <w:marTop w:val="0"/>
      <w:marBottom w:val="0"/>
      <w:divBdr>
        <w:top w:val="none" w:sz="0" w:space="0" w:color="auto"/>
        <w:left w:val="none" w:sz="0" w:space="0" w:color="auto"/>
        <w:bottom w:val="none" w:sz="0" w:space="0" w:color="auto"/>
        <w:right w:val="none" w:sz="0" w:space="0" w:color="auto"/>
      </w:divBdr>
    </w:div>
    <w:div w:id="1188788085">
      <w:bodyDiv w:val="1"/>
      <w:marLeft w:val="0"/>
      <w:marRight w:val="0"/>
      <w:marTop w:val="0"/>
      <w:marBottom w:val="0"/>
      <w:divBdr>
        <w:top w:val="none" w:sz="0" w:space="0" w:color="auto"/>
        <w:left w:val="none" w:sz="0" w:space="0" w:color="auto"/>
        <w:bottom w:val="none" w:sz="0" w:space="0" w:color="auto"/>
        <w:right w:val="none" w:sz="0" w:space="0" w:color="auto"/>
      </w:divBdr>
    </w:div>
    <w:div w:id="1193878802">
      <w:bodyDiv w:val="1"/>
      <w:marLeft w:val="0"/>
      <w:marRight w:val="0"/>
      <w:marTop w:val="0"/>
      <w:marBottom w:val="0"/>
      <w:divBdr>
        <w:top w:val="none" w:sz="0" w:space="0" w:color="auto"/>
        <w:left w:val="none" w:sz="0" w:space="0" w:color="auto"/>
        <w:bottom w:val="none" w:sz="0" w:space="0" w:color="auto"/>
        <w:right w:val="none" w:sz="0" w:space="0" w:color="auto"/>
      </w:divBdr>
    </w:div>
    <w:div w:id="1222713032">
      <w:bodyDiv w:val="1"/>
      <w:marLeft w:val="0"/>
      <w:marRight w:val="0"/>
      <w:marTop w:val="0"/>
      <w:marBottom w:val="0"/>
      <w:divBdr>
        <w:top w:val="none" w:sz="0" w:space="0" w:color="auto"/>
        <w:left w:val="none" w:sz="0" w:space="0" w:color="auto"/>
        <w:bottom w:val="none" w:sz="0" w:space="0" w:color="auto"/>
        <w:right w:val="none" w:sz="0" w:space="0" w:color="auto"/>
      </w:divBdr>
    </w:div>
    <w:div w:id="1251088899">
      <w:bodyDiv w:val="1"/>
      <w:marLeft w:val="0"/>
      <w:marRight w:val="0"/>
      <w:marTop w:val="0"/>
      <w:marBottom w:val="0"/>
      <w:divBdr>
        <w:top w:val="none" w:sz="0" w:space="0" w:color="auto"/>
        <w:left w:val="none" w:sz="0" w:space="0" w:color="auto"/>
        <w:bottom w:val="none" w:sz="0" w:space="0" w:color="auto"/>
        <w:right w:val="none" w:sz="0" w:space="0" w:color="auto"/>
      </w:divBdr>
    </w:div>
    <w:div w:id="1288851058">
      <w:bodyDiv w:val="1"/>
      <w:marLeft w:val="0"/>
      <w:marRight w:val="0"/>
      <w:marTop w:val="0"/>
      <w:marBottom w:val="0"/>
      <w:divBdr>
        <w:top w:val="none" w:sz="0" w:space="0" w:color="auto"/>
        <w:left w:val="none" w:sz="0" w:space="0" w:color="auto"/>
        <w:bottom w:val="none" w:sz="0" w:space="0" w:color="auto"/>
        <w:right w:val="none" w:sz="0" w:space="0" w:color="auto"/>
      </w:divBdr>
    </w:div>
    <w:div w:id="1379431370">
      <w:bodyDiv w:val="1"/>
      <w:marLeft w:val="0"/>
      <w:marRight w:val="0"/>
      <w:marTop w:val="0"/>
      <w:marBottom w:val="0"/>
      <w:divBdr>
        <w:top w:val="none" w:sz="0" w:space="0" w:color="auto"/>
        <w:left w:val="none" w:sz="0" w:space="0" w:color="auto"/>
        <w:bottom w:val="none" w:sz="0" w:space="0" w:color="auto"/>
        <w:right w:val="none" w:sz="0" w:space="0" w:color="auto"/>
      </w:divBdr>
    </w:div>
    <w:div w:id="1381904246">
      <w:bodyDiv w:val="1"/>
      <w:marLeft w:val="0"/>
      <w:marRight w:val="0"/>
      <w:marTop w:val="0"/>
      <w:marBottom w:val="0"/>
      <w:divBdr>
        <w:top w:val="none" w:sz="0" w:space="0" w:color="auto"/>
        <w:left w:val="none" w:sz="0" w:space="0" w:color="auto"/>
        <w:bottom w:val="none" w:sz="0" w:space="0" w:color="auto"/>
        <w:right w:val="none" w:sz="0" w:space="0" w:color="auto"/>
      </w:divBdr>
    </w:div>
    <w:div w:id="1396589523">
      <w:bodyDiv w:val="1"/>
      <w:marLeft w:val="0"/>
      <w:marRight w:val="0"/>
      <w:marTop w:val="0"/>
      <w:marBottom w:val="0"/>
      <w:divBdr>
        <w:top w:val="none" w:sz="0" w:space="0" w:color="auto"/>
        <w:left w:val="none" w:sz="0" w:space="0" w:color="auto"/>
        <w:bottom w:val="none" w:sz="0" w:space="0" w:color="auto"/>
        <w:right w:val="none" w:sz="0" w:space="0" w:color="auto"/>
      </w:divBdr>
    </w:div>
    <w:div w:id="1406225203">
      <w:bodyDiv w:val="1"/>
      <w:marLeft w:val="0"/>
      <w:marRight w:val="0"/>
      <w:marTop w:val="0"/>
      <w:marBottom w:val="0"/>
      <w:divBdr>
        <w:top w:val="none" w:sz="0" w:space="0" w:color="auto"/>
        <w:left w:val="none" w:sz="0" w:space="0" w:color="auto"/>
        <w:bottom w:val="none" w:sz="0" w:space="0" w:color="auto"/>
        <w:right w:val="none" w:sz="0" w:space="0" w:color="auto"/>
      </w:divBdr>
    </w:div>
    <w:div w:id="1407336596">
      <w:bodyDiv w:val="1"/>
      <w:marLeft w:val="0"/>
      <w:marRight w:val="0"/>
      <w:marTop w:val="0"/>
      <w:marBottom w:val="0"/>
      <w:divBdr>
        <w:top w:val="none" w:sz="0" w:space="0" w:color="auto"/>
        <w:left w:val="none" w:sz="0" w:space="0" w:color="auto"/>
        <w:bottom w:val="none" w:sz="0" w:space="0" w:color="auto"/>
        <w:right w:val="none" w:sz="0" w:space="0" w:color="auto"/>
      </w:divBdr>
    </w:div>
    <w:div w:id="1418791154">
      <w:bodyDiv w:val="1"/>
      <w:marLeft w:val="0"/>
      <w:marRight w:val="0"/>
      <w:marTop w:val="0"/>
      <w:marBottom w:val="0"/>
      <w:divBdr>
        <w:top w:val="none" w:sz="0" w:space="0" w:color="auto"/>
        <w:left w:val="none" w:sz="0" w:space="0" w:color="auto"/>
        <w:bottom w:val="none" w:sz="0" w:space="0" w:color="auto"/>
        <w:right w:val="none" w:sz="0" w:space="0" w:color="auto"/>
      </w:divBdr>
    </w:div>
    <w:div w:id="1431707209">
      <w:bodyDiv w:val="1"/>
      <w:marLeft w:val="0"/>
      <w:marRight w:val="0"/>
      <w:marTop w:val="0"/>
      <w:marBottom w:val="0"/>
      <w:divBdr>
        <w:top w:val="none" w:sz="0" w:space="0" w:color="auto"/>
        <w:left w:val="none" w:sz="0" w:space="0" w:color="auto"/>
        <w:bottom w:val="none" w:sz="0" w:space="0" w:color="auto"/>
        <w:right w:val="none" w:sz="0" w:space="0" w:color="auto"/>
      </w:divBdr>
    </w:div>
    <w:div w:id="1441485760">
      <w:bodyDiv w:val="1"/>
      <w:marLeft w:val="0"/>
      <w:marRight w:val="0"/>
      <w:marTop w:val="0"/>
      <w:marBottom w:val="0"/>
      <w:divBdr>
        <w:top w:val="none" w:sz="0" w:space="0" w:color="auto"/>
        <w:left w:val="none" w:sz="0" w:space="0" w:color="auto"/>
        <w:bottom w:val="none" w:sz="0" w:space="0" w:color="auto"/>
        <w:right w:val="none" w:sz="0" w:space="0" w:color="auto"/>
      </w:divBdr>
    </w:div>
    <w:div w:id="1450123026">
      <w:bodyDiv w:val="1"/>
      <w:marLeft w:val="0"/>
      <w:marRight w:val="0"/>
      <w:marTop w:val="0"/>
      <w:marBottom w:val="0"/>
      <w:divBdr>
        <w:top w:val="none" w:sz="0" w:space="0" w:color="auto"/>
        <w:left w:val="none" w:sz="0" w:space="0" w:color="auto"/>
        <w:bottom w:val="none" w:sz="0" w:space="0" w:color="auto"/>
        <w:right w:val="none" w:sz="0" w:space="0" w:color="auto"/>
      </w:divBdr>
    </w:div>
    <w:div w:id="1464425116">
      <w:bodyDiv w:val="1"/>
      <w:marLeft w:val="0"/>
      <w:marRight w:val="0"/>
      <w:marTop w:val="0"/>
      <w:marBottom w:val="0"/>
      <w:divBdr>
        <w:top w:val="none" w:sz="0" w:space="0" w:color="auto"/>
        <w:left w:val="none" w:sz="0" w:space="0" w:color="auto"/>
        <w:bottom w:val="none" w:sz="0" w:space="0" w:color="auto"/>
        <w:right w:val="none" w:sz="0" w:space="0" w:color="auto"/>
      </w:divBdr>
    </w:div>
    <w:div w:id="1480881689">
      <w:bodyDiv w:val="1"/>
      <w:marLeft w:val="0"/>
      <w:marRight w:val="0"/>
      <w:marTop w:val="0"/>
      <w:marBottom w:val="0"/>
      <w:divBdr>
        <w:top w:val="none" w:sz="0" w:space="0" w:color="auto"/>
        <w:left w:val="none" w:sz="0" w:space="0" w:color="auto"/>
        <w:bottom w:val="none" w:sz="0" w:space="0" w:color="auto"/>
        <w:right w:val="none" w:sz="0" w:space="0" w:color="auto"/>
      </w:divBdr>
    </w:div>
    <w:div w:id="1539121452">
      <w:bodyDiv w:val="1"/>
      <w:marLeft w:val="0"/>
      <w:marRight w:val="0"/>
      <w:marTop w:val="0"/>
      <w:marBottom w:val="0"/>
      <w:divBdr>
        <w:top w:val="none" w:sz="0" w:space="0" w:color="auto"/>
        <w:left w:val="none" w:sz="0" w:space="0" w:color="auto"/>
        <w:bottom w:val="none" w:sz="0" w:space="0" w:color="auto"/>
        <w:right w:val="none" w:sz="0" w:space="0" w:color="auto"/>
      </w:divBdr>
    </w:div>
    <w:div w:id="1570074743">
      <w:bodyDiv w:val="1"/>
      <w:marLeft w:val="0"/>
      <w:marRight w:val="0"/>
      <w:marTop w:val="0"/>
      <w:marBottom w:val="0"/>
      <w:divBdr>
        <w:top w:val="none" w:sz="0" w:space="0" w:color="auto"/>
        <w:left w:val="none" w:sz="0" w:space="0" w:color="auto"/>
        <w:bottom w:val="none" w:sz="0" w:space="0" w:color="auto"/>
        <w:right w:val="none" w:sz="0" w:space="0" w:color="auto"/>
      </w:divBdr>
    </w:div>
    <w:div w:id="1603143358">
      <w:bodyDiv w:val="1"/>
      <w:marLeft w:val="0"/>
      <w:marRight w:val="0"/>
      <w:marTop w:val="0"/>
      <w:marBottom w:val="0"/>
      <w:divBdr>
        <w:top w:val="none" w:sz="0" w:space="0" w:color="auto"/>
        <w:left w:val="none" w:sz="0" w:space="0" w:color="auto"/>
        <w:bottom w:val="none" w:sz="0" w:space="0" w:color="auto"/>
        <w:right w:val="none" w:sz="0" w:space="0" w:color="auto"/>
      </w:divBdr>
    </w:div>
    <w:div w:id="1619607073">
      <w:bodyDiv w:val="1"/>
      <w:marLeft w:val="0"/>
      <w:marRight w:val="0"/>
      <w:marTop w:val="0"/>
      <w:marBottom w:val="0"/>
      <w:divBdr>
        <w:top w:val="none" w:sz="0" w:space="0" w:color="auto"/>
        <w:left w:val="none" w:sz="0" w:space="0" w:color="auto"/>
        <w:bottom w:val="none" w:sz="0" w:space="0" w:color="auto"/>
        <w:right w:val="none" w:sz="0" w:space="0" w:color="auto"/>
      </w:divBdr>
    </w:div>
    <w:div w:id="1645086729">
      <w:bodyDiv w:val="1"/>
      <w:marLeft w:val="0"/>
      <w:marRight w:val="0"/>
      <w:marTop w:val="0"/>
      <w:marBottom w:val="0"/>
      <w:divBdr>
        <w:top w:val="none" w:sz="0" w:space="0" w:color="auto"/>
        <w:left w:val="none" w:sz="0" w:space="0" w:color="auto"/>
        <w:bottom w:val="none" w:sz="0" w:space="0" w:color="auto"/>
        <w:right w:val="none" w:sz="0" w:space="0" w:color="auto"/>
      </w:divBdr>
    </w:div>
    <w:div w:id="1657489489">
      <w:bodyDiv w:val="1"/>
      <w:marLeft w:val="0"/>
      <w:marRight w:val="0"/>
      <w:marTop w:val="0"/>
      <w:marBottom w:val="0"/>
      <w:divBdr>
        <w:top w:val="none" w:sz="0" w:space="0" w:color="auto"/>
        <w:left w:val="none" w:sz="0" w:space="0" w:color="auto"/>
        <w:bottom w:val="none" w:sz="0" w:space="0" w:color="auto"/>
        <w:right w:val="none" w:sz="0" w:space="0" w:color="auto"/>
      </w:divBdr>
    </w:div>
    <w:div w:id="1684168316">
      <w:bodyDiv w:val="1"/>
      <w:marLeft w:val="0"/>
      <w:marRight w:val="0"/>
      <w:marTop w:val="0"/>
      <w:marBottom w:val="0"/>
      <w:divBdr>
        <w:top w:val="none" w:sz="0" w:space="0" w:color="auto"/>
        <w:left w:val="none" w:sz="0" w:space="0" w:color="auto"/>
        <w:bottom w:val="none" w:sz="0" w:space="0" w:color="auto"/>
        <w:right w:val="none" w:sz="0" w:space="0" w:color="auto"/>
      </w:divBdr>
    </w:div>
    <w:div w:id="1715083920">
      <w:bodyDiv w:val="1"/>
      <w:marLeft w:val="0"/>
      <w:marRight w:val="0"/>
      <w:marTop w:val="0"/>
      <w:marBottom w:val="0"/>
      <w:divBdr>
        <w:top w:val="none" w:sz="0" w:space="0" w:color="auto"/>
        <w:left w:val="none" w:sz="0" w:space="0" w:color="auto"/>
        <w:bottom w:val="none" w:sz="0" w:space="0" w:color="auto"/>
        <w:right w:val="none" w:sz="0" w:space="0" w:color="auto"/>
      </w:divBdr>
    </w:div>
    <w:div w:id="1721704114">
      <w:bodyDiv w:val="1"/>
      <w:marLeft w:val="0"/>
      <w:marRight w:val="0"/>
      <w:marTop w:val="0"/>
      <w:marBottom w:val="0"/>
      <w:divBdr>
        <w:top w:val="none" w:sz="0" w:space="0" w:color="auto"/>
        <w:left w:val="none" w:sz="0" w:space="0" w:color="auto"/>
        <w:bottom w:val="none" w:sz="0" w:space="0" w:color="auto"/>
        <w:right w:val="none" w:sz="0" w:space="0" w:color="auto"/>
      </w:divBdr>
    </w:div>
    <w:div w:id="1747218492">
      <w:bodyDiv w:val="1"/>
      <w:marLeft w:val="0"/>
      <w:marRight w:val="0"/>
      <w:marTop w:val="0"/>
      <w:marBottom w:val="0"/>
      <w:divBdr>
        <w:top w:val="none" w:sz="0" w:space="0" w:color="auto"/>
        <w:left w:val="none" w:sz="0" w:space="0" w:color="auto"/>
        <w:bottom w:val="none" w:sz="0" w:space="0" w:color="auto"/>
        <w:right w:val="none" w:sz="0" w:space="0" w:color="auto"/>
      </w:divBdr>
    </w:div>
    <w:div w:id="1798793998">
      <w:bodyDiv w:val="1"/>
      <w:marLeft w:val="0"/>
      <w:marRight w:val="0"/>
      <w:marTop w:val="0"/>
      <w:marBottom w:val="0"/>
      <w:divBdr>
        <w:top w:val="none" w:sz="0" w:space="0" w:color="auto"/>
        <w:left w:val="none" w:sz="0" w:space="0" w:color="auto"/>
        <w:bottom w:val="none" w:sz="0" w:space="0" w:color="auto"/>
        <w:right w:val="none" w:sz="0" w:space="0" w:color="auto"/>
      </w:divBdr>
    </w:div>
    <w:div w:id="1834683634">
      <w:bodyDiv w:val="1"/>
      <w:marLeft w:val="0"/>
      <w:marRight w:val="0"/>
      <w:marTop w:val="0"/>
      <w:marBottom w:val="0"/>
      <w:divBdr>
        <w:top w:val="none" w:sz="0" w:space="0" w:color="auto"/>
        <w:left w:val="none" w:sz="0" w:space="0" w:color="auto"/>
        <w:bottom w:val="none" w:sz="0" w:space="0" w:color="auto"/>
        <w:right w:val="none" w:sz="0" w:space="0" w:color="auto"/>
      </w:divBdr>
      <w:divsChild>
        <w:div w:id="535045716">
          <w:marLeft w:val="547"/>
          <w:marRight w:val="0"/>
          <w:marTop w:val="0"/>
          <w:marBottom w:val="0"/>
          <w:divBdr>
            <w:top w:val="none" w:sz="0" w:space="0" w:color="auto"/>
            <w:left w:val="none" w:sz="0" w:space="0" w:color="auto"/>
            <w:bottom w:val="none" w:sz="0" w:space="0" w:color="auto"/>
            <w:right w:val="none" w:sz="0" w:space="0" w:color="auto"/>
          </w:divBdr>
        </w:div>
        <w:div w:id="958418982">
          <w:marLeft w:val="547"/>
          <w:marRight w:val="0"/>
          <w:marTop w:val="0"/>
          <w:marBottom w:val="0"/>
          <w:divBdr>
            <w:top w:val="none" w:sz="0" w:space="0" w:color="auto"/>
            <w:left w:val="none" w:sz="0" w:space="0" w:color="auto"/>
            <w:bottom w:val="none" w:sz="0" w:space="0" w:color="auto"/>
            <w:right w:val="none" w:sz="0" w:space="0" w:color="auto"/>
          </w:divBdr>
        </w:div>
      </w:divsChild>
    </w:div>
    <w:div w:id="1834949734">
      <w:bodyDiv w:val="1"/>
      <w:marLeft w:val="0"/>
      <w:marRight w:val="0"/>
      <w:marTop w:val="0"/>
      <w:marBottom w:val="0"/>
      <w:divBdr>
        <w:top w:val="none" w:sz="0" w:space="0" w:color="auto"/>
        <w:left w:val="none" w:sz="0" w:space="0" w:color="auto"/>
        <w:bottom w:val="none" w:sz="0" w:space="0" w:color="auto"/>
        <w:right w:val="none" w:sz="0" w:space="0" w:color="auto"/>
      </w:divBdr>
    </w:div>
    <w:div w:id="1866483921">
      <w:bodyDiv w:val="1"/>
      <w:marLeft w:val="0"/>
      <w:marRight w:val="0"/>
      <w:marTop w:val="0"/>
      <w:marBottom w:val="0"/>
      <w:divBdr>
        <w:top w:val="none" w:sz="0" w:space="0" w:color="auto"/>
        <w:left w:val="none" w:sz="0" w:space="0" w:color="auto"/>
        <w:bottom w:val="none" w:sz="0" w:space="0" w:color="auto"/>
        <w:right w:val="none" w:sz="0" w:space="0" w:color="auto"/>
      </w:divBdr>
    </w:div>
    <w:div w:id="1878590408">
      <w:bodyDiv w:val="1"/>
      <w:marLeft w:val="0"/>
      <w:marRight w:val="0"/>
      <w:marTop w:val="0"/>
      <w:marBottom w:val="0"/>
      <w:divBdr>
        <w:top w:val="none" w:sz="0" w:space="0" w:color="auto"/>
        <w:left w:val="none" w:sz="0" w:space="0" w:color="auto"/>
        <w:bottom w:val="none" w:sz="0" w:space="0" w:color="auto"/>
        <w:right w:val="none" w:sz="0" w:space="0" w:color="auto"/>
      </w:divBdr>
    </w:div>
    <w:div w:id="1902861961">
      <w:bodyDiv w:val="1"/>
      <w:marLeft w:val="0"/>
      <w:marRight w:val="0"/>
      <w:marTop w:val="0"/>
      <w:marBottom w:val="0"/>
      <w:divBdr>
        <w:top w:val="none" w:sz="0" w:space="0" w:color="auto"/>
        <w:left w:val="none" w:sz="0" w:space="0" w:color="auto"/>
        <w:bottom w:val="none" w:sz="0" w:space="0" w:color="auto"/>
        <w:right w:val="none" w:sz="0" w:space="0" w:color="auto"/>
      </w:divBdr>
    </w:div>
    <w:div w:id="1925724946">
      <w:bodyDiv w:val="1"/>
      <w:marLeft w:val="0"/>
      <w:marRight w:val="0"/>
      <w:marTop w:val="0"/>
      <w:marBottom w:val="0"/>
      <w:divBdr>
        <w:top w:val="none" w:sz="0" w:space="0" w:color="auto"/>
        <w:left w:val="none" w:sz="0" w:space="0" w:color="auto"/>
        <w:bottom w:val="none" w:sz="0" w:space="0" w:color="auto"/>
        <w:right w:val="none" w:sz="0" w:space="0" w:color="auto"/>
      </w:divBdr>
    </w:div>
    <w:div w:id="1930503585">
      <w:bodyDiv w:val="1"/>
      <w:marLeft w:val="0"/>
      <w:marRight w:val="0"/>
      <w:marTop w:val="0"/>
      <w:marBottom w:val="0"/>
      <w:divBdr>
        <w:top w:val="none" w:sz="0" w:space="0" w:color="auto"/>
        <w:left w:val="none" w:sz="0" w:space="0" w:color="auto"/>
        <w:bottom w:val="none" w:sz="0" w:space="0" w:color="auto"/>
        <w:right w:val="none" w:sz="0" w:space="0" w:color="auto"/>
      </w:divBdr>
    </w:div>
    <w:div w:id="1983845233">
      <w:bodyDiv w:val="1"/>
      <w:marLeft w:val="0"/>
      <w:marRight w:val="0"/>
      <w:marTop w:val="0"/>
      <w:marBottom w:val="0"/>
      <w:divBdr>
        <w:top w:val="none" w:sz="0" w:space="0" w:color="auto"/>
        <w:left w:val="none" w:sz="0" w:space="0" w:color="auto"/>
        <w:bottom w:val="none" w:sz="0" w:space="0" w:color="auto"/>
        <w:right w:val="none" w:sz="0" w:space="0" w:color="auto"/>
      </w:divBdr>
    </w:div>
    <w:div w:id="1991402120">
      <w:bodyDiv w:val="1"/>
      <w:marLeft w:val="0"/>
      <w:marRight w:val="0"/>
      <w:marTop w:val="0"/>
      <w:marBottom w:val="0"/>
      <w:divBdr>
        <w:top w:val="none" w:sz="0" w:space="0" w:color="auto"/>
        <w:left w:val="none" w:sz="0" w:space="0" w:color="auto"/>
        <w:bottom w:val="none" w:sz="0" w:space="0" w:color="auto"/>
        <w:right w:val="none" w:sz="0" w:space="0" w:color="auto"/>
      </w:divBdr>
    </w:div>
    <w:div w:id="2056544412">
      <w:bodyDiv w:val="1"/>
      <w:marLeft w:val="0"/>
      <w:marRight w:val="0"/>
      <w:marTop w:val="0"/>
      <w:marBottom w:val="0"/>
      <w:divBdr>
        <w:top w:val="none" w:sz="0" w:space="0" w:color="auto"/>
        <w:left w:val="none" w:sz="0" w:space="0" w:color="auto"/>
        <w:bottom w:val="none" w:sz="0" w:space="0" w:color="auto"/>
        <w:right w:val="none" w:sz="0" w:space="0" w:color="auto"/>
      </w:divBdr>
    </w:div>
    <w:div w:id="2057124873">
      <w:bodyDiv w:val="1"/>
      <w:marLeft w:val="0"/>
      <w:marRight w:val="0"/>
      <w:marTop w:val="0"/>
      <w:marBottom w:val="0"/>
      <w:divBdr>
        <w:top w:val="none" w:sz="0" w:space="0" w:color="auto"/>
        <w:left w:val="none" w:sz="0" w:space="0" w:color="auto"/>
        <w:bottom w:val="none" w:sz="0" w:space="0" w:color="auto"/>
        <w:right w:val="none" w:sz="0" w:space="0" w:color="auto"/>
      </w:divBdr>
    </w:div>
    <w:div w:id="2082285301">
      <w:bodyDiv w:val="1"/>
      <w:marLeft w:val="0"/>
      <w:marRight w:val="0"/>
      <w:marTop w:val="0"/>
      <w:marBottom w:val="0"/>
      <w:divBdr>
        <w:top w:val="none" w:sz="0" w:space="0" w:color="auto"/>
        <w:left w:val="none" w:sz="0" w:space="0" w:color="auto"/>
        <w:bottom w:val="none" w:sz="0" w:space="0" w:color="auto"/>
        <w:right w:val="none" w:sz="0" w:space="0" w:color="auto"/>
      </w:divBdr>
    </w:div>
    <w:div w:id="2128741396">
      <w:bodyDiv w:val="1"/>
      <w:marLeft w:val="0"/>
      <w:marRight w:val="0"/>
      <w:marTop w:val="0"/>
      <w:marBottom w:val="0"/>
      <w:divBdr>
        <w:top w:val="none" w:sz="0" w:space="0" w:color="auto"/>
        <w:left w:val="none" w:sz="0" w:space="0" w:color="auto"/>
        <w:bottom w:val="none" w:sz="0" w:space="0" w:color="auto"/>
        <w:right w:val="none" w:sz="0" w:space="0" w:color="auto"/>
      </w:divBdr>
    </w:div>
    <w:div w:id="2130927710">
      <w:bodyDiv w:val="1"/>
      <w:marLeft w:val="0"/>
      <w:marRight w:val="0"/>
      <w:marTop w:val="0"/>
      <w:marBottom w:val="0"/>
      <w:divBdr>
        <w:top w:val="none" w:sz="0" w:space="0" w:color="auto"/>
        <w:left w:val="none" w:sz="0" w:space="0" w:color="auto"/>
        <w:bottom w:val="none" w:sz="0" w:space="0" w:color="auto"/>
        <w:right w:val="none" w:sz="0" w:space="0" w:color="auto"/>
      </w:divBdr>
    </w:div>
    <w:div w:id="2131580768">
      <w:bodyDiv w:val="1"/>
      <w:marLeft w:val="0"/>
      <w:marRight w:val="0"/>
      <w:marTop w:val="0"/>
      <w:marBottom w:val="0"/>
      <w:divBdr>
        <w:top w:val="none" w:sz="0" w:space="0" w:color="auto"/>
        <w:left w:val="none" w:sz="0" w:space="0" w:color="auto"/>
        <w:bottom w:val="none" w:sz="0" w:space="0" w:color="auto"/>
        <w:right w:val="none" w:sz="0" w:space="0" w:color="auto"/>
      </w:divBdr>
    </w:div>
    <w:div w:id="2134009607">
      <w:bodyDiv w:val="1"/>
      <w:marLeft w:val="0"/>
      <w:marRight w:val="0"/>
      <w:marTop w:val="0"/>
      <w:marBottom w:val="0"/>
      <w:divBdr>
        <w:top w:val="none" w:sz="0" w:space="0" w:color="auto"/>
        <w:left w:val="none" w:sz="0" w:space="0" w:color="auto"/>
        <w:bottom w:val="none" w:sz="0" w:space="0" w:color="auto"/>
        <w:right w:val="none" w:sz="0" w:space="0" w:color="auto"/>
      </w:divBdr>
    </w:div>
    <w:div w:id="2147314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emf"/><Relationship Id="rId117" Type="http://schemas.openxmlformats.org/officeDocument/2006/relationships/chart" Target="charts/chart23.xml"/><Relationship Id="rId21" Type="http://schemas.openxmlformats.org/officeDocument/2006/relationships/diagramColors" Target="diagrams/colors2.xml"/><Relationship Id="rId42" Type="http://schemas.openxmlformats.org/officeDocument/2006/relationships/diagramQuickStyle" Target="diagrams/quickStyle5.xml"/><Relationship Id="rId47" Type="http://schemas.openxmlformats.org/officeDocument/2006/relationships/diagramQuickStyle" Target="diagrams/quickStyle6.xml"/><Relationship Id="rId63" Type="http://schemas.openxmlformats.org/officeDocument/2006/relationships/footer" Target="footer3.xml"/><Relationship Id="rId68" Type="http://schemas.openxmlformats.org/officeDocument/2006/relationships/footer" Target="footer5.xml"/><Relationship Id="rId84" Type="http://schemas.openxmlformats.org/officeDocument/2006/relationships/chart" Target="charts/chart2.xml"/><Relationship Id="rId89" Type="http://schemas.openxmlformats.org/officeDocument/2006/relationships/image" Target="media/image24.png"/><Relationship Id="rId112" Type="http://schemas.openxmlformats.org/officeDocument/2006/relationships/chart" Target="charts/chart18.xml"/><Relationship Id="rId133" Type="http://schemas.openxmlformats.org/officeDocument/2006/relationships/image" Target="media/image38.png"/><Relationship Id="rId138" Type="http://schemas.openxmlformats.org/officeDocument/2006/relationships/image" Target="media/image43.png"/><Relationship Id="rId154" Type="http://schemas.openxmlformats.org/officeDocument/2006/relationships/footer" Target="footer16.xml"/><Relationship Id="rId16" Type="http://schemas.openxmlformats.org/officeDocument/2006/relationships/diagramColors" Target="diagrams/colors1.xml"/><Relationship Id="rId107" Type="http://schemas.openxmlformats.org/officeDocument/2006/relationships/image" Target="media/image33.png"/><Relationship Id="rId11" Type="http://schemas.openxmlformats.org/officeDocument/2006/relationships/header" Target="header2.xml"/><Relationship Id="rId32" Type="http://schemas.openxmlformats.org/officeDocument/2006/relationships/diagramQuickStyle" Target="diagrams/quickStyle3.xml"/><Relationship Id="rId37" Type="http://schemas.openxmlformats.org/officeDocument/2006/relationships/diagramQuickStyle" Target="diagrams/quickStyle4.xml"/><Relationship Id="rId53" Type="http://schemas.openxmlformats.org/officeDocument/2006/relationships/image" Target="media/image9.png"/><Relationship Id="rId58" Type="http://schemas.openxmlformats.org/officeDocument/2006/relationships/diagramQuickStyle" Target="diagrams/quickStyle7.xml"/><Relationship Id="rId74" Type="http://schemas.openxmlformats.org/officeDocument/2006/relationships/image" Target="media/image19.png"/><Relationship Id="rId79" Type="http://schemas.openxmlformats.org/officeDocument/2006/relationships/footer" Target="footer10.xml"/><Relationship Id="rId102" Type="http://schemas.openxmlformats.org/officeDocument/2006/relationships/chart" Target="charts/chart13.xml"/><Relationship Id="rId123" Type="http://schemas.openxmlformats.org/officeDocument/2006/relationships/hyperlink" Target="http://worldsteel.com/" TargetMode="External"/><Relationship Id="rId128" Type="http://schemas.openxmlformats.org/officeDocument/2006/relationships/hyperlink" Target="http://www.worldsteel.com/" TargetMode="External"/><Relationship Id="rId144" Type="http://schemas.openxmlformats.org/officeDocument/2006/relationships/image" Target="media/image49.png"/><Relationship Id="rId149" Type="http://schemas.openxmlformats.org/officeDocument/2006/relationships/image" Target="media/image54.png"/><Relationship Id="rId5" Type="http://schemas.openxmlformats.org/officeDocument/2006/relationships/webSettings" Target="webSettings.xml"/><Relationship Id="rId90" Type="http://schemas.openxmlformats.org/officeDocument/2006/relationships/chart" Target="charts/chart7.xml"/><Relationship Id="rId95" Type="http://schemas.openxmlformats.org/officeDocument/2006/relationships/image" Target="media/image27.jpeg"/><Relationship Id="rId22" Type="http://schemas.microsoft.com/office/2007/relationships/diagramDrawing" Target="diagrams/drawing2.xml"/><Relationship Id="rId27" Type="http://schemas.openxmlformats.org/officeDocument/2006/relationships/image" Target="media/image6.png"/><Relationship Id="rId43" Type="http://schemas.openxmlformats.org/officeDocument/2006/relationships/diagramColors" Target="diagrams/colors5.xml"/><Relationship Id="rId48" Type="http://schemas.openxmlformats.org/officeDocument/2006/relationships/diagramColors" Target="diagrams/colors6.xml"/><Relationship Id="rId64" Type="http://schemas.openxmlformats.org/officeDocument/2006/relationships/image" Target="media/image14.png"/><Relationship Id="rId69" Type="http://schemas.openxmlformats.org/officeDocument/2006/relationships/image" Target="media/image17.png"/><Relationship Id="rId113" Type="http://schemas.openxmlformats.org/officeDocument/2006/relationships/chart" Target="charts/chart19.xml"/><Relationship Id="rId118" Type="http://schemas.openxmlformats.org/officeDocument/2006/relationships/image" Target="media/image36.png"/><Relationship Id="rId134" Type="http://schemas.openxmlformats.org/officeDocument/2006/relationships/image" Target="media/image39.png"/><Relationship Id="rId139" Type="http://schemas.openxmlformats.org/officeDocument/2006/relationships/image" Target="media/image44.png"/><Relationship Id="rId80" Type="http://schemas.openxmlformats.org/officeDocument/2006/relationships/image" Target="media/image22.png"/><Relationship Id="rId85" Type="http://schemas.openxmlformats.org/officeDocument/2006/relationships/chart" Target="charts/chart3.xml"/><Relationship Id="rId150" Type="http://schemas.openxmlformats.org/officeDocument/2006/relationships/image" Target="media/image55.png"/><Relationship Id="rId155" Type="http://schemas.openxmlformats.org/officeDocument/2006/relationships/footer" Target="footer17.xml"/><Relationship Id="rId12" Type="http://schemas.openxmlformats.org/officeDocument/2006/relationships/footer" Target="footer2.xml"/><Relationship Id="rId17" Type="http://schemas.microsoft.com/office/2007/relationships/diagramDrawing" Target="diagrams/drawing1.xml"/><Relationship Id="rId25" Type="http://schemas.openxmlformats.org/officeDocument/2006/relationships/image" Target="media/image4.png"/><Relationship Id="rId33" Type="http://schemas.openxmlformats.org/officeDocument/2006/relationships/diagramColors" Target="diagrams/colors3.xml"/><Relationship Id="rId38" Type="http://schemas.openxmlformats.org/officeDocument/2006/relationships/diagramColors" Target="diagrams/colors4.xml"/><Relationship Id="rId46" Type="http://schemas.openxmlformats.org/officeDocument/2006/relationships/diagramLayout" Target="diagrams/layout6.xml"/><Relationship Id="rId59" Type="http://schemas.openxmlformats.org/officeDocument/2006/relationships/diagramColors" Target="diagrams/colors7.xml"/><Relationship Id="rId67" Type="http://schemas.openxmlformats.org/officeDocument/2006/relationships/image" Target="media/image16.png"/><Relationship Id="rId103" Type="http://schemas.openxmlformats.org/officeDocument/2006/relationships/image" Target="media/image31.png"/><Relationship Id="rId108" Type="http://schemas.openxmlformats.org/officeDocument/2006/relationships/chart" Target="charts/chart16.xml"/><Relationship Id="rId116" Type="http://schemas.openxmlformats.org/officeDocument/2006/relationships/chart" Target="charts/chart22.xml"/><Relationship Id="rId124" Type="http://schemas.openxmlformats.org/officeDocument/2006/relationships/hyperlink" Target="http://www.worldsteel.com/" TargetMode="External"/><Relationship Id="rId129" Type="http://schemas.openxmlformats.org/officeDocument/2006/relationships/hyperlink" Target="http://www1.eere.energy.gov/manufacturing/industries_technologies/metalcasting/pdfs/doebestpractice_052804.pdf" TargetMode="External"/><Relationship Id="rId137" Type="http://schemas.openxmlformats.org/officeDocument/2006/relationships/image" Target="media/image42.png"/><Relationship Id="rId20" Type="http://schemas.openxmlformats.org/officeDocument/2006/relationships/diagramQuickStyle" Target="diagrams/quickStyle2.xml"/><Relationship Id="rId41" Type="http://schemas.openxmlformats.org/officeDocument/2006/relationships/diagramLayout" Target="diagrams/layout5.xml"/><Relationship Id="rId54" Type="http://schemas.openxmlformats.org/officeDocument/2006/relationships/image" Target="media/image10.png"/><Relationship Id="rId62" Type="http://schemas.openxmlformats.org/officeDocument/2006/relationships/image" Target="media/image13.png"/><Relationship Id="rId70" Type="http://schemas.openxmlformats.org/officeDocument/2006/relationships/footer" Target="footer6.xml"/><Relationship Id="rId75" Type="http://schemas.openxmlformats.org/officeDocument/2006/relationships/footer" Target="footer8.xml"/><Relationship Id="rId83" Type="http://schemas.openxmlformats.org/officeDocument/2006/relationships/footer" Target="footer12.xml"/><Relationship Id="rId88" Type="http://schemas.openxmlformats.org/officeDocument/2006/relationships/chart" Target="charts/chart6.xml"/><Relationship Id="rId91" Type="http://schemas.openxmlformats.org/officeDocument/2006/relationships/chart" Target="charts/chart8.xml"/><Relationship Id="rId96" Type="http://schemas.openxmlformats.org/officeDocument/2006/relationships/chart" Target="charts/chart10.xml"/><Relationship Id="rId111" Type="http://schemas.openxmlformats.org/officeDocument/2006/relationships/image" Target="media/image35.png"/><Relationship Id="rId132" Type="http://schemas.openxmlformats.org/officeDocument/2006/relationships/image" Target="media/image37.png"/><Relationship Id="rId140" Type="http://schemas.openxmlformats.org/officeDocument/2006/relationships/image" Target="media/image45.png"/><Relationship Id="rId145" Type="http://schemas.openxmlformats.org/officeDocument/2006/relationships/image" Target="media/image50.png"/><Relationship Id="rId153"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image" Target="media/image2.png"/><Relationship Id="rId28" Type="http://schemas.openxmlformats.org/officeDocument/2006/relationships/image" Target="media/image7.emf"/><Relationship Id="rId36" Type="http://schemas.openxmlformats.org/officeDocument/2006/relationships/diagramLayout" Target="diagrams/layout4.xml"/><Relationship Id="rId49" Type="http://schemas.microsoft.com/office/2007/relationships/diagramDrawing" Target="diagrams/drawing6.xml"/><Relationship Id="rId57" Type="http://schemas.openxmlformats.org/officeDocument/2006/relationships/diagramLayout" Target="diagrams/layout7.xml"/><Relationship Id="rId106" Type="http://schemas.openxmlformats.org/officeDocument/2006/relationships/chart" Target="charts/chart15.xml"/><Relationship Id="rId114" Type="http://schemas.openxmlformats.org/officeDocument/2006/relationships/chart" Target="charts/chart20.xml"/><Relationship Id="rId119" Type="http://schemas.openxmlformats.org/officeDocument/2006/relationships/footer" Target="footer13.xml"/><Relationship Id="rId127" Type="http://schemas.openxmlformats.org/officeDocument/2006/relationships/hyperlink" Target="http://www.moderncasting.com/content/view/841/207/" TargetMode="External"/><Relationship Id="rId10" Type="http://schemas.openxmlformats.org/officeDocument/2006/relationships/footer" Target="footer1.xml"/><Relationship Id="rId31" Type="http://schemas.openxmlformats.org/officeDocument/2006/relationships/diagramLayout" Target="diagrams/layout3.xml"/><Relationship Id="rId44" Type="http://schemas.microsoft.com/office/2007/relationships/diagramDrawing" Target="diagrams/drawing5.xml"/><Relationship Id="rId52" Type="http://schemas.openxmlformats.org/officeDocument/2006/relationships/image" Target="media/image8.png"/><Relationship Id="rId60" Type="http://schemas.microsoft.com/office/2007/relationships/diagramDrawing" Target="diagrams/drawing7.xml"/><Relationship Id="rId65" Type="http://schemas.openxmlformats.org/officeDocument/2006/relationships/footer" Target="footer4.xml"/><Relationship Id="rId73" Type="http://schemas.openxmlformats.org/officeDocument/2006/relationships/chart" Target="charts/chart1.xml"/><Relationship Id="rId78" Type="http://schemas.openxmlformats.org/officeDocument/2006/relationships/image" Target="media/image21.png"/><Relationship Id="rId81" Type="http://schemas.openxmlformats.org/officeDocument/2006/relationships/footer" Target="footer11.xml"/><Relationship Id="rId86" Type="http://schemas.openxmlformats.org/officeDocument/2006/relationships/chart" Target="charts/chart4.xml"/><Relationship Id="rId94" Type="http://schemas.openxmlformats.org/officeDocument/2006/relationships/chart" Target="charts/chart9.xml"/><Relationship Id="rId99" Type="http://schemas.openxmlformats.org/officeDocument/2006/relationships/chart" Target="charts/chart11.xml"/><Relationship Id="rId101" Type="http://schemas.openxmlformats.org/officeDocument/2006/relationships/image" Target="media/image30.png"/><Relationship Id="rId122" Type="http://schemas.openxmlformats.org/officeDocument/2006/relationships/hyperlink" Target="http://www.worldsteel.com/" TargetMode="External"/><Relationship Id="rId130" Type="http://schemas.openxmlformats.org/officeDocument/2006/relationships/hyperlink" Target="http://www.eurofer.eu/eurofer/Publications/pdf/2009&#8208;ESF.pdf/" TargetMode="External"/><Relationship Id="rId135" Type="http://schemas.openxmlformats.org/officeDocument/2006/relationships/image" Target="media/image40.png"/><Relationship Id="rId143" Type="http://schemas.openxmlformats.org/officeDocument/2006/relationships/image" Target="media/image48.png"/><Relationship Id="rId148" Type="http://schemas.openxmlformats.org/officeDocument/2006/relationships/image" Target="media/image53.png"/><Relationship Id="rId151" Type="http://schemas.openxmlformats.org/officeDocument/2006/relationships/image" Target="media/image56.pn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diagramData" Target="diagrams/data1.xml"/><Relationship Id="rId18" Type="http://schemas.openxmlformats.org/officeDocument/2006/relationships/diagramData" Target="diagrams/data2.xml"/><Relationship Id="rId39" Type="http://schemas.microsoft.com/office/2007/relationships/diagramDrawing" Target="diagrams/drawing4.xml"/><Relationship Id="rId109" Type="http://schemas.openxmlformats.org/officeDocument/2006/relationships/image" Target="media/image34.png"/><Relationship Id="rId34" Type="http://schemas.microsoft.com/office/2007/relationships/diagramDrawing" Target="diagrams/drawing3.xml"/><Relationship Id="rId55" Type="http://schemas.openxmlformats.org/officeDocument/2006/relationships/image" Target="media/image11.png"/><Relationship Id="rId76" Type="http://schemas.openxmlformats.org/officeDocument/2006/relationships/image" Target="media/image20.png"/><Relationship Id="rId97" Type="http://schemas.openxmlformats.org/officeDocument/2006/relationships/image" Target="media/image28.png"/><Relationship Id="rId104" Type="http://schemas.openxmlformats.org/officeDocument/2006/relationships/chart" Target="charts/chart14.xml"/><Relationship Id="rId120" Type="http://schemas.openxmlformats.org/officeDocument/2006/relationships/footer" Target="footer14.xml"/><Relationship Id="rId125" Type="http://schemas.openxmlformats.org/officeDocument/2006/relationships/hyperlink" Target="http://escholarship.org/uc/item/77n9d4sp.pdf/" TargetMode="External"/><Relationship Id="rId141" Type="http://schemas.openxmlformats.org/officeDocument/2006/relationships/image" Target="media/image46.png"/><Relationship Id="rId146"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image" Target="media/image18.png"/><Relationship Id="rId92" Type="http://schemas.openxmlformats.org/officeDocument/2006/relationships/image" Target="media/image25.png"/><Relationship Id="rId2" Type="http://schemas.openxmlformats.org/officeDocument/2006/relationships/numbering" Target="numbering.xml"/><Relationship Id="rId29" Type="http://schemas.openxmlformats.org/officeDocument/2006/relationships/header" Target="header3.xml"/><Relationship Id="rId24" Type="http://schemas.openxmlformats.org/officeDocument/2006/relationships/image" Target="media/image3.png"/><Relationship Id="rId40" Type="http://schemas.openxmlformats.org/officeDocument/2006/relationships/diagramData" Target="diagrams/data5.xml"/><Relationship Id="rId45" Type="http://schemas.openxmlformats.org/officeDocument/2006/relationships/diagramData" Target="diagrams/data6.xml"/><Relationship Id="rId66" Type="http://schemas.openxmlformats.org/officeDocument/2006/relationships/image" Target="media/image15.png"/><Relationship Id="rId87" Type="http://schemas.openxmlformats.org/officeDocument/2006/relationships/chart" Target="charts/chart5.xml"/><Relationship Id="rId110" Type="http://schemas.openxmlformats.org/officeDocument/2006/relationships/chart" Target="charts/chart17.xml"/><Relationship Id="rId115" Type="http://schemas.openxmlformats.org/officeDocument/2006/relationships/chart" Target="charts/chart21.xml"/><Relationship Id="rId131" Type="http://schemas.openxmlformats.org/officeDocument/2006/relationships/footer" Target="footer15.xml"/><Relationship Id="rId136" Type="http://schemas.openxmlformats.org/officeDocument/2006/relationships/image" Target="media/image41.png"/><Relationship Id="rId157" Type="http://schemas.openxmlformats.org/officeDocument/2006/relationships/theme" Target="theme/theme1.xml"/><Relationship Id="rId61" Type="http://schemas.openxmlformats.org/officeDocument/2006/relationships/image" Target="media/image12.png"/><Relationship Id="rId82" Type="http://schemas.openxmlformats.org/officeDocument/2006/relationships/image" Target="media/image23.png"/><Relationship Id="rId152" Type="http://schemas.openxmlformats.org/officeDocument/2006/relationships/image" Target="media/image57.png"/><Relationship Id="rId19" Type="http://schemas.openxmlformats.org/officeDocument/2006/relationships/diagramLayout" Target="diagrams/layout2.xml"/><Relationship Id="rId14" Type="http://schemas.openxmlformats.org/officeDocument/2006/relationships/diagramLayout" Target="diagrams/layout1.xml"/><Relationship Id="rId30" Type="http://schemas.openxmlformats.org/officeDocument/2006/relationships/diagramData" Target="diagrams/data3.xml"/><Relationship Id="rId35" Type="http://schemas.openxmlformats.org/officeDocument/2006/relationships/diagramData" Target="diagrams/data4.xml"/><Relationship Id="rId56" Type="http://schemas.openxmlformats.org/officeDocument/2006/relationships/diagramData" Target="diagrams/data7.xml"/><Relationship Id="rId77" Type="http://schemas.openxmlformats.org/officeDocument/2006/relationships/footer" Target="footer9.xml"/><Relationship Id="rId100" Type="http://schemas.openxmlformats.org/officeDocument/2006/relationships/chart" Target="charts/chart12.xml"/><Relationship Id="rId105" Type="http://schemas.openxmlformats.org/officeDocument/2006/relationships/image" Target="media/image32.png"/><Relationship Id="rId126" Type="http://schemas.openxmlformats.org/officeDocument/2006/relationships/hyperlink" Target="http://www.tatasteelconstruction.com/en/sustainability/carbon_and_steel/" TargetMode="External"/><Relationship Id="rId147" Type="http://schemas.openxmlformats.org/officeDocument/2006/relationships/image" Target="media/image52.png"/><Relationship Id="rId8" Type="http://schemas.openxmlformats.org/officeDocument/2006/relationships/image" Target="media/image1.png"/><Relationship Id="rId72" Type="http://schemas.openxmlformats.org/officeDocument/2006/relationships/footer" Target="footer7.xml"/><Relationship Id="rId93" Type="http://schemas.openxmlformats.org/officeDocument/2006/relationships/image" Target="media/image26.png"/><Relationship Id="rId98" Type="http://schemas.openxmlformats.org/officeDocument/2006/relationships/image" Target="media/image29.png"/><Relationship Id="rId121" Type="http://schemas.openxmlformats.org/officeDocument/2006/relationships/hyperlink" Target="http://www.worldsteel.com/" TargetMode="External"/><Relationship Id="rId142" Type="http://schemas.openxmlformats.org/officeDocument/2006/relationships/image" Target="media/image47.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H:\First%20Draft%20of%20Report\Work%20Package%201\1.%20Master%20Result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Raheel\Desktop\4th%20Year%20%20(The%20%20Final%20)\Current%20Work\2.%20Automotive%20Grade\2.%20Results\Ferro-alloy\3.%20Ferro-Manganese.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Raheel\Desktop\4th%20Year%20%20(The%20%20Final%20)\Current%20Work\2.%20Automotive%20Grade\2.%20Results\Ferro-alloy\4.%20Ferro-Molybdenum.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Raheel\Desktop\Ferro-Alloy\Master%20Results\5.%20Ferro-Nickel.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Raheel\Desktop\Ferro-Alloy\Master%20Results\6.%20Ferro-Niobium.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Raheel\Desktop\Ferro-Alloy\Master%20Results\7.%20Ferro-Silicon.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Raheel\Desktop\Ferro-Alloy\Master%20Results\8.%20Ferro-Titanium.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Raheel\Desktop\Ferro-Alloy\Master%20Results\9.%20Ferro-Vanadium.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Raheel\Desktop\Ferro-Alloy\Master%20Results\10.%20Si-Mn.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G:\First%20Draft%20of%20Report\Work%20Package%204\Current%20Model.xls"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G:\First%20Draft%20of%20Report\Work%20Package%204\Current%20Model.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First%20Draft%20of%20Report\Work%20Package%201\1.%20Master%20Results.xlsx"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1.xml.rels><?xml version="1.0" encoding="UTF-8" standalone="yes"?>
<Relationships xmlns="http://schemas.openxmlformats.org/package/2006/relationships"><Relationship Id="rId1" Type="http://schemas.openxmlformats.org/officeDocument/2006/relationships/oleObject" Target="file:///G:\First%20Draft%20of%20Report\Work%20Package%204\Current%20Model.xls"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G:\First%20Draft%20of%20Report\Work%20Package%204\Current%20Model.xls"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G:\First%20Draft%20of%20Report\Work%20Package%204\Current%20Model.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First%20Draft%20of%20Report\Work%20Package%201\1.%20Master%20Result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H:\First%20Draft%20of%20Report\Work%20Package%201\1.%20Master%20Result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Raheel\Desktop\Ferro-Alloy\Master%20Results\1.%20Ferro-Boron.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Raheel\Desktop\Ferro-Alloy\Master%20Results\1.%20Ferro-Boron.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G:\First%20Draft%20of%20Report\Work%20Package%202\Master%20Results\2.%20Ferro-Chromium.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Raheel\Desktop\Work%20Package%202\1.%20Master%20Results\2.%20Ferro-Chromium.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G:\First%20Draft%20of%20Report\Work%20Package%202\Master%20Results\3.%20Ferro-Manganes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r>
              <a:rPr lang="en-US"/>
              <a:t>A comparison</a:t>
            </a:r>
            <a:r>
              <a:rPr lang="en-US" baseline="0"/>
              <a:t> of GWP in terms of three countries and two alternative databases</a:t>
            </a:r>
          </a:p>
          <a:p>
            <a:pPr>
              <a:defRPr lang="en-US" sz="1400" b="0" i="0" u="none" strike="noStrike" kern="1200" spc="0" baseline="0">
                <a:solidFill>
                  <a:schemeClr val="tx1">
                    <a:lumMod val="65000"/>
                    <a:lumOff val="35000"/>
                  </a:schemeClr>
                </a:solidFill>
                <a:latin typeface="+mn-lt"/>
                <a:ea typeface="+mn-ea"/>
                <a:cs typeface="+mn-cs"/>
              </a:defRPr>
            </a:pPr>
            <a:endParaRPr lang="en-US"/>
          </a:p>
        </c:rich>
      </c:tx>
      <c:layout>
        <c:manualLayout>
          <c:xMode val="edge"/>
          <c:yMode val="edge"/>
          <c:x val="0.1656880996706287"/>
          <c:y val="2.8328611898016991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329736672075379"/>
          <c:y val="0.25247083491334132"/>
          <c:w val="0.75359551486681375"/>
          <c:h val="0.53859784524101628"/>
        </c:manualLayout>
      </c:layout>
      <c:bar3DChart>
        <c:barDir val="col"/>
        <c:grouping val="clustered"/>
        <c:varyColors val="0"/>
        <c:ser>
          <c:idx val="1"/>
          <c:order val="0"/>
          <c:tx>
            <c:strRef>
              <c:f>'2.1 Gabi vs IEA Summary'!$E$12</c:f>
              <c:strCache>
                <c:ptCount val="1"/>
                <c:pt idx="0">
                  <c:v>Gabi</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'2.1 Gabi vs IEA Summary'!$D$13:$D$15</c:f>
              <c:strCache>
                <c:ptCount val="3"/>
                <c:pt idx="0">
                  <c:v>India</c:v>
                </c:pt>
                <c:pt idx="1">
                  <c:v>Japan</c:v>
                </c:pt>
                <c:pt idx="2">
                  <c:v>Norway</c:v>
                </c:pt>
              </c:strCache>
            </c:strRef>
          </c:cat>
          <c:val>
            <c:numRef>
              <c:f>'2.1 Gabi vs IEA Summary'!$E$13:$E$15</c:f>
              <c:numCache>
                <c:formatCode>0.000</c:formatCode>
                <c:ptCount val="3"/>
                <c:pt idx="0">
                  <c:v>0.37204988644569181</c:v>
                </c:pt>
                <c:pt idx="1">
                  <c:v>0.1656007874361887</c:v>
                </c:pt>
                <c:pt idx="2" formatCode="0.0000">
                  <c:v>1.2922022298175581E-2</c:v>
                </c:pt>
              </c:numCache>
            </c:numRef>
          </c:val>
        </c:ser>
        <c:ser>
          <c:idx val="0"/>
          <c:order val="1"/>
          <c:tx>
            <c:strRef>
              <c:f>'2.1 Gabi vs IEA Summary'!$F$12</c:f>
              <c:strCache>
                <c:ptCount val="1"/>
                <c:pt idx="0">
                  <c:v>IEA</c:v>
                </c:pt>
              </c:strCache>
            </c:strRef>
          </c:tx>
          <c:spPr>
            <a:solidFill>
              <a:schemeClr val="accent1"/>
            </a:solidFill>
            <a:ln>
              <a:noFill/>
            </a:ln>
            <a:effectLst/>
            <a:sp3d/>
          </c:spPr>
          <c:invertIfNegative val="0"/>
          <c:dLbls>
            <c:dLbl>
              <c:idx val="2"/>
              <c:layout>
                <c:manualLayout>
                  <c:x val="2.5776886724903351E-2"/>
                  <c:y val="-1.1331444759206801E-2"/>
                </c:manualLayout>
              </c:layout>
              <c:showLegendKey val="0"/>
              <c:showVal val="1"/>
              <c:showCatName val="0"/>
              <c:showSerName val="0"/>
              <c:showPercent val="0"/>
              <c:showBubbleSize val="0"/>
              <c:extLst>
                <c:ext xmlns:c15="http://schemas.microsoft.com/office/drawing/2012/chart" uri="{CE6537A1-D6FC-4f65-9D91-7224C49458BB}">
                  <c15:layout>
                    <c:manualLayout>
                      <c:w val="9.5653266331658285E-2"/>
                      <c:h val="7.7116290984718713E-2"/>
                    </c:manualLayout>
                  </c15:layout>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'2.1 Gabi vs IEA Summary'!$D$13:$D$15</c:f>
              <c:strCache>
                <c:ptCount val="3"/>
                <c:pt idx="0">
                  <c:v>India</c:v>
                </c:pt>
                <c:pt idx="1">
                  <c:v>Japan</c:v>
                </c:pt>
                <c:pt idx="2">
                  <c:v>Norway</c:v>
                </c:pt>
              </c:strCache>
            </c:strRef>
          </c:cat>
          <c:val>
            <c:numRef>
              <c:f>'2.1 Gabi vs IEA Summary'!$F$13:$F$15</c:f>
              <c:numCache>
                <c:formatCode>0.000</c:formatCode>
                <c:ptCount val="3"/>
                <c:pt idx="0">
                  <c:v>0.38507731224096753</c:v>
                </c:pt>
                <c:pt idx="1">
                  <c:v>0.18202141896259219</c:v>
                </c:pt>
                <c:pt idx="2" formatCode="0.0000">
                  <c:v>6.7858837945849156E-3</c:v>
                </c:pt>
              </c:numCache>
            </c:numRef>
          </c:val>
        </c:ser>
        <c:dLbls>
          <c:showLegendKey val="0"/>
          <c:showVal val="1"/>
          <c:showCatName val="0"/>
          <c:showSerName val="0"/>
          <c:showPercent val="0"/>
          <c:showBubbleSize val="0"/>
        </c:dLbls>
        <c:gapWidth val="150"/>
        <c:shape val="box"/>
        <c:axId val="477300336"/>
        <c:axId val="477300728"/>
        <c:axId val="0"/>
      </c:bar3DChart>
      <c:catAx>
        <c:axId val="477300336"/>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GB"/>
                  <a:t>Country</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477300728"/>
        <c:crosses val="autoZero"/>
        <c:auto val="1"/>
        <c:lblAlgn val="ctr"/>
        <c:lblOffset val="100"/>
        <c:noMultiLvlLbl val="0"/>
      </c:catAx>
      <c:valAx>
        <c:axId val="477300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GB"/>
                  <a:t>Global</a:t>
                </a:r>
                <a:r>
                  <a:rPr lang="en-GB" baseline="0"/>
                  <a:t> Warming Potential (kg/CO</a:t>
                </a:r>
                <a:r>
                  <a:rPr lang="en-GB" baseline="-25000"/>
                  <a:t>2</a:t>
                </a:r>
                <a:r>
                  <a:rPr lang="en-GB" baseline="0"/>
                  <a:t>)</a:t>
                </a:r>
                <a:endParaRPr lang="en-GB"/>
              </a:p>
            </c:rich>
          </c:tx>
          <c:layout>
            <c:manualLayout>
              <c:xMode val="edge"/>
              <c:yMode val="edge"/>
              <c:x val="2.1565958101391176E-2"/>
              <c:y val="0.18384102755401421"/>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477300336"/>
        <c:crosses val="autoZero"/>
        <c:crossBetween val="between"/>
      </c:valAx>
      <c:spPr>
        <a:noFill/>
        <a:ln>
          <a:noFill/>
        </a:ln>
        <a:effectLst/>
      </c:spPr>
    </c:plotArea>
    <c:legend>
      <c:legendPos val="r"/>
      <c:layout>
        <c:manualLayout>
          <c:xMode val="edge"/>
          <c:yMode val="edge"/>
          <c:x val="0.87359957857616344"/>
          <c:y val="0.48156922138033331"/>
          <c:w val="9.4313018564987083E-2"/>
          <c:h val="0.19637855767388848"/>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84524638927652"/>
          <c:y val="8.6938351610537493E-2"/>
          <c:w val="0.59286531170248058"/>
          <c:h val="0.56189175680704562"/>
        </c:manualLayout>
      </c:layout>
      <c:barChart>
        <c:barDir val="col"/>
        <c:grouping val="stacked"/>
        <c:varyColors val="0"/>
        <c:ser>
          <c:idx val="0"/>
          <c:order val="0"/>
          <c:invertIfNegative val="0"/>
          <c:dPt>
            <c:idx val="0"/>
            <c:invertIfNegative val="0"/>
            <c:bubble3D val="0"/>
            <c:spPr>
              <a:solidFill>
                <a:srgbClr val="7030A0"/>
              </a:solidFill>
            </c:spPr>
          </c:dPt>
          <c:dPt>
            <c:idx val="1"/>
            <c:invertIfNegative val="0"/>
            <c:bubble3D val="0"/>
            <c:spPr>
              <a:solidFill>
                <a:srgbClr val="7030A0"/>
              </a:solidFill>
            </c:spPr>
          </c:dPt>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'Fe-Mn'!$C$17:$C$18</c:f>
              <c:strCache>
                <c:ptCount val="2"/>
                <c:pt idx="0">
                  <c:v>Gabi HC Fe-Mn (77% Mn)</c:v>
                </c:pt>
                <c:pt idx="1">
                  <c:v>Gabi LC Fe-Mn (90% Mn)</c:v>
                </c:pt>
              </c:strCache>
            </c:strRef>
          </c:cat>
          <c:val>
            <c:numRef>
              <c:f>'Fe-Mn'!$E$17:$E$18</c:f>
              <c:numCache>
                <c:formatCode>0.00</c:formatCode>
                <c:ptCount val="2"/>
                <c:pt idx="0">
                  <c:v>7.1910505149024795</c:v>
                </c:pt>
                <c:pt idx="1">
                  <c:v>7.8454454069138597</c:v>
                </c:pt>
              </c:numCache>
            </c:numRef>
          </c:val>
          <c:extLst>
            <c:ext xmlns:c15="http://schemas.microsoft.com/office/drawing/2012/chart" uri="{02D57815-91ED-43cb-92C2-25804820EDAC}">
              <c15:filteredSeriesTitle>
                <c15:tx>
                  <c:v>GWP</c:v>
                </c15:tx>
              </c15:filteredSeriesTitle>
            </c:ext>
          </c:extLst>
        </c:ser>
        <c:dLbls>
          <c:showLegendKey val="0"/>
          <c:showVal val="0"/>
          <c:showCatName val="0"/>
          <c:showSerName val="0"/>
          <c:showPercent val="0"/>
          <c:showBubbleSize val="0"/>
        </c:dLbls>
        <c:gapWidth val="150"/>
        <c:overlap val="100"/>
        <c:axId val="654516872"/>
        <c:axId val="654517264"/>
      </c:barChart>
      <c:catAx>
        <c:axId val="654516872"/>
        <c:scaling>
          <c:orientation val="minMax"/>
        </c:scaling>
        <c:delete val="0"/>
        <c:axPos val="b"/>
        <c:title>
          <c:tx>
            <c:rich>
              <a:bodyPr/>
              <a:lstStyle/>
              <a:p>
                <a:pPr>
                  <a:defRPr lang="en-US"/>
                </a:pPr>
                <a:r>
                  <a:rPr lang="en-GB"/>
                  <a:t>Fe-Mn</a:t>
                </a:r>
                <a:r>
                  <a:rPr lang="en-GB" baseline="0"/>
                  <a:t> Data Source</a:t>
                </a:r>
                <a:endParaRPr lang="en-GB"/>
              </a:p>
            </c:rich>
          </c:tx>
          <c:layout>
            <c:manualLayout>
              <c:xMode val="edge"/>
              <c:yMode val="edge"/>
              <c:x val="0.36710809729752125"/>
              <c:y val="0.76189424809144368"/>
            </c:manualLayout>
          </c:layout>
          <c:overlay val="0"/>
        </c:title>
        <c:numFmt formatCode="General" sourceLinked="1"/>
        <c:majorTickMark val="out"/>
        <c:minorTickMark val="none"/>
        <c:tickLblPos val="nextTo"/>
        <c:txPr>
          <a:bodyPr/>
          <a:lstStyle/>
          <a:p>
            <a:pPr>
              <a:defRPr lang="en-US"/>
            </a:pPr>
            <a:endParaRPr lang="en-US"/>
          </a:p>
        </c:txPr>
        <c:crossAx val="654517264"/>
        <c:crosses val="autoZero"/>
        <c:auto val="1"/>
        <c:lblAlgn val="ctr"/>
        <c:lblOffset val="100"/>
        <c:noMultiLvlLbl val="0"/>
      </c:catAx>
      <c:valAx>
        <c:axId val="654517264"/>
        <c:scaling>
          <c:orientation val="minMax"/>
        </c:scaling>
        <c:delete val="0"/>
        <c:axPos val="l"/>
        <c:majorGridlines/>
        <c:title>
          <c:tx>
            <c:rich>
              <a:bodyPr/>
              <a:lstStyle/>
              <a:p>
                <a:pPr>
                  <a:defRPr lang="en-US"/>
                </a:pPr>
                <a:r>
                  <a:rPr lang="en-GB"/>
                  <a:t>CML2001 - Apr. 2013, Global Warming Potential (GWP 100 years) [kg CO2-</a:t>
                </a:r>
                <a:r>
                  <a:rPr lang="en-GB" sz="1000" b="1" i="0" u="none" strike="noStrike" kern="1200" baseline="0">
                    <a:solidFill>
                      <a:sysClr val="windowText" lastClr="000000"/>
                    </a:solidFill>
                    <a:latin typeface="+mn-lt"/>
                    <a:ea typeface="+mn-ea"/>
                    <a:cs typeface="+mn-cs"/>
                  </a:rPr>
                  <a:t>Equiv</a:t>
                </a:r>
                <a:r>
                  <a:rPr lang="en-GB"/>
                  <a:t>.]</a:t>
                </a:r>
              </a:p>
            </c:rich>
          </c:tx>
          <c:layout>
            <c:manualLayout>
              <c:xMode val="edge"/>
              <c:yMode val="edge"/>
              <c:x val="2.4742287584515896E-2"/>
              <c:y val="0.12602986433103675"/>
            </c:manualLayout>
          </c:layout>
          <c:overlay val="0"/>
        </c:title>
        <c:numFmt formatCode="0.00" sourceLinked="1"/>
        <c:majorTickMark val="out"/>
        <c:minorTickMark val="none"/>
        <c:tickLblPos val="nextTo"/>
        <c:txPr>
          <a:bodyPr/>
          <a:lstStyle/>
          <a:p>
            <a:pPr>
              <a:defRPr lang="en-US"/>
            </a:pPr>
            <a:endParaRPr lang="en-US"/>
          </a:p>
        </c:txPr>
        <c:crossAx val="654516872"/>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v>GWP</c:v>
          </c:tx>
          <c:invertIfNegative val="0"/>
          <c:dPt>
            <c:idx val="0"/>
            <c:invertIfNegative val="0"/>
            <c:bubble3D val="0"/>
            <c:spPr>
              <a:solidFill>
                <a:schemeClr val="accent2"/>
              </a:solidFill>
            </c:spPr>
          </c:dPt>
          <c:dPt>
            <c:idx val="1"/>
            <c:invertIfNegative val="0"/>
            <c:bubble3D val="0"/>
            <c:spPr>
              <a:solidFill>
                <a:srgbClr val="7030A0"/>
              </a:solidFill>
            </c:spPr>
          </c:dPt>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'Fe-Mo'!$B$9:$B$10</c:f>
              <c:strCache>
                <c:ptCount val="2"/>
                <c:pt idx="0">
                  <c:v>Fe-Mo (67% Mo) (IMOA)</c:v>
                </c:pt>
                <c:pt idx="1">
                  <c:v>Fe-Mo (Gabi)</c:v>
                </c:pt>
              </c:strCache>
            </c:strRef>
          </c:cat>
          <c:val>
            <c:numRef>
              <c:f>'Fe-Mo'!$D$9:$D$10</c:f>
              <c:numCache>
                <c:formatCode>0.00</c:formatCode>
                <c:ptCount val="2"/>
                <c:pt idx="0">
                  <c:v>9.0920000000000005</c:v>
                </c:pt>
                <c:pt idx="1">
                  <c:v>16.2</c:v>
                </c:pt>
              </c:numCache>
            </c:numRef>
          </c:val>
        </c:ser>
        <c:dLbls>
          <c:showLegendKey val="0"/>
          <c:showVal val="0"/>
          <c:showCatName val="0"/>
          <c:showSerName val="0"/>
          <c:showPercent val="0"/>
          <c:showBubbleSize val="0"/>
        </c:dLbls>
        <c:gapWidth val="150"/>
        <c:overlap val="100"/>
        <c:axId val="654518048"/>
        <c:axId val="654518440"/>
      </c:barChart>
      <c:catAx>
        <c:axId val="654518048"/>
        <c:scaling>
          <c:orientation val="minMax"/>
        </c:scaling>
        <c:delete val="0"/>
        <c:axPos val="b"/>
        <c:title>
          <c:tx>
            <c:rich>
              <a:bodyPr/>
              <a:lstStyle/>
              <a:p>
                <a:pPr>
                  <a:defRPr lang="en-US"/>
                </a:pPr>
                <a:r>
                  <a:rPr lang="en-GB"/>
                  <a:t>Fe-Mo</a:t>
                </a:r>
                <a:r>
                  <a:rPr lang="en-GB" baseline="0"/>
                  <a:t> Data Source</a:t>
                </a:r>
                <a:endParaRPr lang="en-GB"/>
              </a:p>
            </c:rich>
          </c:tx>
          <c:overlay val="0"/>
        </c:title>
        <c:numFmt formatCode="General" sourceLinked="1"/>
        <c:majorTickMark val="out"/>
        <c:minorTickMark val="none"/>
        <c:tickLblPos val="nextTo"/>
        <c:txPr>
          <a:bodyPr/>
          <a:lstStyle/>
          <a:p>
            <a:pPr>
              <a:defRPr lang="en-US"/>
            </a:pPr>
            <a:endParaRPr lang="en-US"/>
          </a:p>
        </c:txPr>
        <c:crossAx val="654518440"/>
        <c:crosses val="autoZero"/>
        <c:auto val="1"/>
        <c:lblAlgn val="ctr"/>
        <c:lblOffset val="100"/>
        <c:noMultiLvlLbl val="0"/>
      </c:catAx>
      <c:valAx>
        <c:axId val="654518440"/>
        <c:scaling>
          <c:orientation val="minMax"/>
        </c:scaling>
        <c:delete val="0"/>
        <c:axPos val="l"/>
        <c:majorGridlines/>
        <c:title>
          <c:tx>
            <c:rich>
              <a:bodyPr/>
              <a:lstStyle/>
              <a:p>
                <a:pPr>
                  <a:defRPr lang="en-US"/>
                </a:pPr>
                <a:r>
                  <a:rPr lang="en-GB"/>
                  <a:t>CML2001 - Apr. 2013, Global Warming Potential (GWP 100 years) [kg CO2-</a:t>
                </a:r>
                <a:r>
                  <a:rPr lang="en-GB" sz="1000" b="1" i="0" u="none" strike="noStrike" kern="1200" baseline="0">
                    <a:solidFill>
                      <a:sysClr val="windowText" lastClr="000000"/>
                    </a:solidFill>
                    <a:latin typeface="+mn-lt"/>
                    <a:ea typeface="+mn-ea"/>
                    <a:cs typeface="+mn-cs"/>
                  </a:rPr>
                  <a:t>Equiv</a:t>
                </a:r>
                <a:r>
                  <a:rPr lang="en-GB"/>
                  <a:t>.]</a:t>
                </a:r>
              </a:p>
            </c:rich>
          </c:tx>
          <c:layout>
            <c:manualLayout>
              <c:xMode val="edge"/>
              <c:yMode val="edge"/>
              <c:x val="1.5933289138260243E-2"/>
              <c:y val="7.6453188078174292E-2"/>
            </c:manualLayout>
          </c:layout>
          <c:overlay val="0"/>
        </c:title>
        <c:numFmt formatCode="0.00" sourceLinked="1"/>
        <c:majorTickMark val="out"/>
        <c:minorTickMark val="none"/>
        <c:tickLblPos val="nextTo"/>
        <c:txPr>
          <a:bodyPr/>
          <a:lstStyle/>
          <a:p>
            <a:pPr>
              <a:defRPr lang="en-US"/>
            </a:pPr>
            <a:endParaRPr lang="en-US"/>
          </a:p>
        </c:txPr>
        <c:crossAx val="654518048"/>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51887024536396"/>
          <c:y val="9.3203865758080734E-2"/>
          <c:w val="0.81610709917630786"/>
          <c:h val="0.63660351620781153"/>
        </c:manualLayout>
      </c:layout>
      <c:barChart>
        <c:barDir val="col"/>
        <c:grouping val="stacked"/>
        <c:varyColors val="0"/>
        <c:ser>
          <c:idx val="0"/>
          <c:order val="0"/>
          <c:invertIfNegative val="0"/>
          <c:dPt>
            <c:idx val="0"/>
            <c:invertIfNegative val="0"/>
            <c:bubble3D val="0"/>
            <c:spPr>
              <a:solidFill>
                <a:srgbClr val="FFFF00"/>
              </a:solidFill>
            </c:spPr>
          </c:dPt>
          <c:dPt>
            <c:idx val="1"/>
            <c:invertIfNegative val="0"/>
            <c:bubble3D val="0"/>
            <c:spPr>
              <a:solidFill>
                <a:srgbClr val="FFFF00"/>
              </a:solidFill>
            </c:spPr>
          </c:dPt>
          <c:dPt>
            <c:idx val="2"/>
            <c:invertIfNegative val="0"/>
            <c:bubble3D val="0"/>
            <c:spPr>
              <a:solidFill>
                <a:schemeClr val="accent4">
                  <a:lumMod val="75000"/>
                </a:schemeClr>
              </a:solidFill>
            </c:spPr>
          </c:dPt>
          <c:dPt>
            <c:idx val="3"/>
            <c:invertIfNegative val="0"/>
            <c:bubble3D val="0"/>
            <c:spPr>
              <a:solidFill>
                <a:srgbClr val="00FF00"/>
              </a:solidFill>
            </c:spPr>
          </c:dPt>
          <c:dPt>
            <c:idx val="4"/>
            <c:invertIfNegative val="0"/>
            <c:bubble3D val="0"/>
            <c:spPr>
              <a:solidFill>
                <a:srgbClr val="0070C0"/>
              </a:solidFill>
            </c:spPr>
          </c:dPt>
          <c:dPt>
            <c:idx val="5"/>
            <c:invertIfNegative val="0"/>
            <c:bubble3D val="0"/>
            <c:spPr>
              <a:solidFill>
                <a:srgbClr val="7030A0"/>
              </a:solidFill>
            </c:spPr>
          </c:dPt>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'Fe-Ni'!$B$9:$B$14</c:f>
              <c:strCache>
                <c:ptCount val="6"/>
                <c:pt idx="0">
                  <c:v>Fe-Ni (30% Ni Haque) Tasmania Energy</c:v>
                </c:pt>
                <c:pt idx="1">
                  <c:v>Fe-Ni (30% Ni Haque) Australian Energy</c:v>
                </c:pt>
                <c:pt idx="2">
                  <c:v>Fe-Ni (30% Ni)(Haque) Version 2 </c:v>
                </c:pt>
                <c:pt idx="3">
                  <c:v>Global Fe-Ni Model</c:v>
                </c:pt>
                <c:pt idx="4">
                  <c:v>Fe-Ni (20 % Ni Eurometaux) </c:v>
                </c:pt>
                <c:pt idx="5">
                  <c:v>Gabi Fe-Ni (29 % Ni)</c:v>
                </c:pt>
              </c:strCache>
            </c:strRef>
          </c:cat>
          <c:val>
            <c:numRef>
              <c:f>'Fe-Ni'!$D$9:$D$14</c:f>
              <c:numCache>
                <c:formatCode>0.00</c:formatCode>
                <c:ptCount val="6"/>
                <c:pt idx="0">
                  <c:v>13.9</c:v>
                </c:pt>
                <c:pt idx="1">
                  <c:v>24.1</c:v>
                </c:pt>
                <c:pt idx="2">
                  <c:v>24.601744937028087</c:v>
                </c:pt>
                <c:pt idx="3">
                  <c:v>22.25</c:v>
                </c:pt>
                <c:pt idx="4">
                  <c:v>23.919999999999987</c:v>
                </c:pt>
                <c:pt idx="5">
                  <c:v>12.7</c:v>
                </c:pt>
              </c:numCache>
            </c:numRef>
          </c:val>
        </c:ser>
        <c:dLbls>
          <c:showLegendKey val="0"/>
          <c:showVal val="0"/>
          <c:showCatName val="0"/>
          <c:showSerName val="0"/>
          <c:showPercent val="0"/>
          <c:showBubbleSize val="0"/>
        </c:dLbls>
        <c:gapWidth val="150"/>
        <c:overlap val="100"/>
        <c:axId val="654519224"/>
        <c:axId val="654519616"/>
      </c:barChart>
      <c:catAx>
        <c:axId val="654519224"/>
        <c:scaling>
          <c:orientation val="minMax"/>
        </c:scaling>
        <c:delete val="0"/>
        <c:axPos val="b"/>
        <c:title>
          <c:tx>
            <c:rich>
              <a:bodyPr/>
              <a:lstStyle/>
              <a:p>
                <a:pPr>
                  <a:defRPr lang="en-US"/>
                </a:pPr>
                <a:r>
                  <a:rPr lang="en-GB"/>
                  <a:t>Fe-Ni</a:t>
                </a:r>
                <a:r>
                  <a:rPr lang="en-GB" baseline="0"/>
                  <a:t> Data Sources</a:t>
                </a:r>
                <a:endParaRPr lang="en-GB"/>
              </a:p>
            </c:rich>
          </c:tx>
          <c:overlay val="0"/>
        </c:title>
        <c:numFmt formatCode="General" sourceLinked="1"/>
        <c:majorTickMark val="out"/>
        <c:minorTickMark val="none"/>
        <c:tickLblPos val="nextTo"/>
        <c:txPr>
          <a:bodyPr/>
          <a:lstStyle/>
          <a:p>
            <a:pPr>
              <a:defRPr lang="en-US"/>
            </a:pPr>
            <a:endParaRPr lang="en-US"/>
          </a:p>
        </c:txPr>
        <c:crossAx val="654519616"/>
        <c:crosses val="autoZero"/>
        <c:auto val="1"/>
        <c:lblAlgn val="ctr"/>
        <c:lblOffset val="100"/>
        <c:noMultiLvlLbl val="0"/>
      </c:catAx>
      <c:valAx>
        <c:axId val="654519616"/>
        <c:scaling>
          <c:orientation val="minMax"/>
        </c:scaling>
        <c:delete val="0"/>
        <c:axPos val="l"/>
        <c:majorGridlines/>
        <c:title>
          <c:tx>
            <c:rich>
              <a:bodyPr/>
              <a:lstStyle/>
              <a:p>
                <a:pPr>
                  <a:defRPr lang="en-US"/>
                </a:pPr>
                <a:r>
                  <a:rPr lang="en-GB"/>
                  <a:t>CML2001 - Apr. 2013, Global Warming Potential (GWP 100 years) [kg CO2-</a:t>
                </a:r>
                <a:r>
                  <a:rPr lang="en-GB" sz="1000" b="1" i="0" u="none" strike="noStrike" kern="1200" baseline="0">
                    <a:solidFill>
                      <a:sysClr val="windowText" lastClr="000000"/>
                    </a:solidFill>
                    <a:latin typeface="+mn-lt"/>
                    <a:ea typeface="+mn-ea"/>
                    <a:cs typeface="+mn-cs"/>
                  </a:rPr>
                  <a:t>Equiv</a:t>
                </a:r>
                <a:r>
                  <a:rPr lang="en-GB"/>
                  <a:t>.]</a:t>
                </a:r>
              </a:p>
            </c:rich>
          </c:tx>
          <c:layout>
            <c:manualLayout>
              <c:xMode val="edge"/>
              <c:yMode val="edge"/>
              <c:x val="1.6494780607553723E-2"/>
              <c:y val="4.8097265104042983E-2"/>
            </c:manualLayout>
          </c:layout>
          <c:overlay val="0"/>
        </c:title>
        <c:numFmt formatCode="0.00" sourceLinked="1"/>
        <c:majorTickMark val="out"/>
        <c:minorTickMark val="none"/>
        <c:tickLblPos val="nextTo"/>
        <c:txPr>
          <a:bodyPr/>
          <a:lstStyle/>
          <a:p>
            <a:pPr>
              <a:defRPr lang="en-US"/>
            </a:pPr>
            <a:endParaRPr lang="en-US"/>
          </a:p>
        </c:txPr>
        <c:crossAx val="654519224"/>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v>GWP</c:v>
          </c:tx>
          <c:spPr>
            <a:solidFill>
              <a:schemeClr val="accent1"/>
            </a:solidFill>
            <a:ln>
              <a:noFill/>
            </a:ln>
            <a:effectLst/>
          </c:spPr>
          <c:invertIfNegative val="0"/>
          <c:dPt>
            <c:idx val="0"/>
            <c:invertIfNegative val="0"/>
            <c:bubble3D val="0"/>
            <c:spPr>
              <a:solidFill>
                <a:srgbClr val="C00000"/>
              </a:solidFill>
              <a:ln>
                <a:noFill/>
              </a:ln>
              <a:effectLst/>
            </c:spPr>
          </c:dPt>
          <c:dPt>
            <c:idx val="1"/>
            <c:invertIfNegative val="0"/>
            <c:bubble3D val="0"/>
            <c:spPr>
              <a:solidFill>
                <a:srgbClr val="FF0000"/>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lang="en-US"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'Fe-Nb'!$B$6:$B$8</c:f>
              <c:strCache>
                <c:ptCount val="3"/>
                <c:pt idx="0">
                  <c:v>Fe-Nb (Tudor)</c:v>
                </c:pt>
                <c:pt idx="1">
                  <c:v>Fe-Nb (Gasik)</c:v>
                </c:pt>
                <c:pt idx="2">
                  <c:v>Fe-Nb (Nuss)</c:v>
                </c:pt>
              </c:strCache>
            </c:strRef>
          </c:cat>
          <c:val>
            <c:numRef>
              <c:f>'Fe-Nb'!$D$6:$D$8</c:f>
              <c:numCache>
                <c:formatCode>0.00</c:formatCode>
                <c:ptCount val="3"/>
                <c:pt idx="0">
                  <c:v>20</c:v>
                </c:pt>
                <c:pt idx="1">
                  <c:v>4.3885433440399</c:v>
                </c:pt>
                <c:pt idx="2">
                  <c:v>4.8324453721617697</c:v>
                </c:pt>
              </c:numCache>
            </c:numRef>
          </c:val>
        </c:ser>
        <c:dLbls>
          <c:showLegendKey val="0"/>
          <c:showVal val="0"/>
          <c:showCatName val="0"/>
          <c:showSerName val="0"/>
          <c:showPercent val="0"/>
          <c:showBubbleSize val="0"/>
        </c:dLbls>
        <c:gapWidth val="150"/>
        <c:overlap val="100"/>
        <c:axId val="654520400"/>
        <c:axId val="654520792"/>
      </c:barChart>
      <c:catAx>
        <c:axId val="654520400"/>
        <c:scaling>
          <c:orientation val="minMax"/>
        </c:scaling>
        <c:delete val="0"/>
        <c:axPos val="b"/>
        <c:title>
          <c:tx>
            <c:rich>
              <a:bodyPr rot="0" spcFirstLastPara="1" vertOverflow="ellipsis" vert="horz" wrap="square" anchor="ctr" anchorCtr="1"/>
              <a:lstStyle/>
              <a:p>
                <a:pPr>
                  <a:defRPr lang="en-US" sz="1000" b="1" i="0" u="none" strike="noStrike" kern="1200" baseline="0">
                    <a:solidFill>
                      <a:schemeClr val="tx1"/>
                    </a:solidFill>
                    <a:latin typeface="+mn-lt"/>
                    <a:ea typeface="+mn-ea"/>
                    <a:cs typeface="+mn-cs"/>
                  </a:defRPr>
                </a:pPr>
                <a:r>
                  <a:rPr lang="en-GB"/>
                  <a:t>Fe-Nb</a:t>
                </a:r>
                <a:r>
                  <a:rPr lang="en-GB" baseline="0"/>
                  <a:t> Data Source</a:t>
                </a:r>
                <a:endParaRPr lang="en-GB"/>
              </a:p>
            </c:rich>
          </c:tx>
          <c:overlay val="0"/>
          <c:spPr>
            <a:noFill/>
            <a:ln>
              <a:noFill/>
            </a:ln>
            <a:effectLst/>
          </c:spPr>
        </c:title>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lang="en-US" sz="1000" b="0" i="0" u="none" strike="noStrike" kern="1200" baseline="0">
                <a:solidFill>
                  <a:schemeClr val="tx1"/>
                </a:solidFill>
                <a:latin typeface="+mn-lt"/>
                <a:ea typeface="+mn-ea"/>
                <a:cs typeface="+mn-cs"/>
              </a:defRPr>
            </a:pPr>
            <a:endParaRPr lang="en-US"/>
          </a:p>
        </c:txPr>
        <c:crossAx val="654520792"/>
        <c:crosses val="autoZero"/>
        <c:auto val="1"/>
        <c:lblAlgn val="ctr"/>
        <c:lblOffset val="100"/>
        <c:noMultiLvlLbl val="0"/>
      </c:catAx>
      <c:valAx>
        <c:axId val="654520792"/>
        <c:scaling>
          <c:orientation val="minMax"/>
        </c:scaling>
        <c:delete val="0"/>
        <c:axPos val="l"/>
        <c:majorGridlines>
          <c:spPr>
            <a:ln w="6350" cap="flat" cmpd="sng" algn="ctr">
              <a:solidFill>
                <a:schemeClr val="tx1">
                  <a:tint val="75000"/>
                </a:schemeClr>
              </a:solidFill>
              <a:prstDash val="solid"/>
              <a:round/>
            </a:ln>
            <a:effectLst/>
          </c:spPr>
        </c:majorGridlines>
        <c:title>
          <c:tx>
            <c:rich>
              <a:bodyPr rot="-5400000" spcFirstLastPara="1" vertOverflow="ellipsis" vert="horz" wrap="square" anchor="ctr" anchorCtr="1"/>
              <a:lstStyle/>
              <a:p>
                <a:pPr>
                  <a:defRPr lang="en-US" sz="1000" b="1" i="0" u="none" strike="noStrike" kern="1200" baseline="0">
                    <a:solidFill>
                      <a:schemeClr val="tx1"/>
                    </a:solidFill>
                    <a:latin typeface="+mn-lt"/>
                    <a:ea typeface="+mn-ea"/>
                    <a:cs typeface="+mn-cs"/>
                  </a:defRPr>
                </a:pPr>
                <a:r>
                  <a:rPr lang="en-GB"/>
                  <a:t>CML2001 - Apr. 2013, Global Warming Potential (GWP 100 years) [kg CO2-Equiv.]</a:t>
                </a:r>
              </a:p>
            </c:rich>
          </c:tx>
          <c:layout>
            <c:manualLayout>
              <c:xMode val="edge"/>
              <c:yMode val="edge"/>
              <c:x val="1.6494845360824743E-2"/>
              <c:y val="0.14863858198096591"/>
            </c:manualLayout>
          </c:layout>
          <c:overlay val="0"/>
          <c:spPr>
            <a:noFill/>
            <a:ln>
              <a:noFill/>
            </a:ln>
            <a:effectLst/>
          </c:spPr>
        </c:title>
        <c:numFmt formatCode="0.0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lang="en-US" sz="1000" b="0" i="0" u="none" strike="noStrike" kern="1200" baseline="0">
                <a:solidFill>
                  <a:schemeClr val="tx1"/>
                </a:solidFill>
                <a:latin typeface="+mn-lt"/>
                <a:ea typeface="+mn-ea"/>
                <a:cs typeface="+mn-cs"/>
              </a:defRPr>
            </a:pPr>
            <a:endParaRPr lang="en-US"/>
          </a:p>
        </c:txPr>
        <c:crossAx val="654520400"/>
        <c:crosses val="autoZero"/>
        <c:crossBetween val="between"/>
      </c:valAx>
      <c:spPr>
        <a:solidFill>
          <a:schemeClr val="bg1"/>
        </a:solidFill>
        <a:ln>
          <a:noFill/>
        </a:ln>
        <a:effectLst/>
      </c:spPr>
    </c:plotArea>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3695953489214"/>
          <c:y val="4.1243703852607783E-2"/>
          <c:w val="0.84933550146908265"/>
          <c:h val="0.7168567807351075"/>
        </c:manualLayout>
      </c:layout>
      <c:barChart>
        <c:barDir val="col"/>
        <c:grouping val="stacked"/>
        <c:varyColors val="0"/>
        <c:ser>
          <c:idx val="0"/>
          <c:order val="0"/>
          <c:tx>
            <c:v>GWP</c:v>
          </c:tx>
          <c:invertIfNegative val="0"/>
          <c:dPt>
            <c:idx val="0"/>
            <c:invertIfNegative val="0"/>
            <c:bubble3D val="0"/>
            <c:spPr>
              <a:solidFill>
                <a:srgbClr val="FFFF00"/>
              </a:solidFill>
            </c:spPr>
          </c:dPt>
          <c:dPt>
            <c:idx val="1"/>
            <c:invertIfNegative val="0"/>
            <c:bubble3D val="0"/>
            <c:spPr>
              <a:solidFill>
                <a:srgbClr val="FFFF00"/>
              </a:solidFill>
            </c:spPr>
          </c:dPt>
          <c:dPt>
            <c:idx val="2"/>
            <c:invertIfNegative val="0"/>
            <c:bubble3D val="0"/>
            <c:spPr>
              <a:solidFill>
                <a:schemeClr val="accent4">
                  <a:lumMod val="75000"/>
                </a:schemeClr>
              </a:solidFill>
            </c:spPr>
          </c:dPt>
          <c:dPt>
            <c:idx val="3"/>
            <c:invertIfNegative val="0"/>
            <c:bubble3D val="0"/>
            <c:spPr>
              <a:solidFill>
                <a:srgbClr val="00FF00"/>
              </a:solidFill>
            </c:spPr>
          </c:dPt>
          <c:dPt>
            <c:idx val="4"/>
            <c:invertIfNegative val="0"/>
            <c:bubble3D val="0"/>
            <c:spPr>
              <a:solidFill>
                <a:srgbClr val="0070C0"/>
              </a:solidFill>
            </c:spPr>
          </c:dPt>
          <c:dPt>
            <c:idx val="5"/>
            <c:invertIfNegative val="0"/>
            <c:bubble3D val="0"/>
            <c:spPr>
              <a:solidFill>
                <a:srgbClr val="FF0000"/>
              </a:solidFill>
            </c:spPr>
          </c:dPt>
          <c:dPt>
            <c:idx val="6"/>
            <c:invertIfNegative val="0"/>
            <c:bubble3D val="0"/>
            <c:spPr>
              <a:solidFill>
                <a:srgbClr val="7030A0"/>
              </a:solidFill>
            </c:spPr>
          </c:dPt>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'Fe-Si'!$D$9:$D$15</c:f>
              <c:strCache>
                <c:ptCount val="7"/>
                <c:pt idx="0">
                  <c:v>Fe-Si (75% Si Haque) Tasmania Energy</c:v>
                </c:pt>
                <c:pt idx="1">
                  <c:v>Fe-Si (75% Si Haque) Australian Energy</c:v>
                </c:pt>
                <c:pt idx="2">
                  <c:v>Fe-Si (75% Si Haque) Version 2</c:v>
                </c:pt>
                <c:pt idx="3">
                  <c:v>Global Fe-Si Model</c:v>
                </c:pt>
                <c:pt idx="4">
                  <c:v>Fe-Si (75% Si Eurometeaux) </c:v>
                </c:pt>
                <c:pt idx="5">
                  <c:v>FeSi75Al1 Gasik </c:v>
                </c:pt>
                <c:pt idx="6">
                  <c:v>Gabi Fe-Si (91% Si)</c:v>
                </c:pt>
              </c:strCache>
            </c:strRef>
          </c:cat>
          <c:val>
            <c:numRef>
              <c:f>'Fe-Si'!$F$9:$F$15</c:f>
              <c:numCache>
                <c:formatCode>0.00</c:formatCode>
                <c:ptCount val="7"/>
                <c:pt idx="0">
                  <c:v>3.44</c:v>
                </c:pt>
                <c:pt idx="1">
                  <c:v>12.1</c:v>
                </c:pt>
                <c:pt idx="2">
                  <c:v>12.43</c:v>
                </c:pt>
                <c:pt idx="3">
                  <c:v>11.5</c:v>
                </c:pt>
                <c:pt idx="4">
                  <c:v>14.188818767132931</c:v>
                </c:pt>
                <c:pt idx="5">
                  <c:v>12.5698913863543</c:v>
                </c:pt>
                <c:pt idx="6">
                  <c:v>12.1</c:v>
                </c:pt>
              </c:numCache>
            </c:numRef>
          </c:val>
        </c:ser>
        <c:dLbls>
          <c:showLegendKey val="0"/>
          <c:showVal val="0"/>
          <c:showCatName val="0"/>
          <c:showSerName val="0"/>
          <c:showPercent val="0"/>
          <c:showBubbleSize val="0"/>
        </c:dLbls>
        <c:gapWidth val="150"/>
        <c:overlap val="100"/>
        <c:axId val="654521576"/>
        <c:axId val="654521968"/>
      </c:barChart>
      <c:catAx>
        <c:axId val="654521576"/>
        <c:scaling>
          <c:orientation val="minMax"/>
        </c:scaling>
        <c:delete val="0"/>
        <c:axPos val="b"/>
        <c:title>
          <c:tx>
            <c:rich>
              <a:bodyPr/>
              <a:lstStyle/>
              <a:p>
                <a:pPr>
                  <a:defRPr lang="en-US"/>
                </a:pPr>
                <a:r>
                  <a:rPr lang="en-GB"/>
                  <a:t>Fe-Si</a:t>
                </a:r>
                <a:r>
                  <a:rPr lang="en-GB" baseline="0"/>
                  <a:t> Data Source</a:t>
                </a:r>
                <a:endParaRPr lang="en-GB"/>
              </a:p>
            </c:rich>
          </c:tx>
          <c:overlay val="0"/>
        </c:title>
        <c:numFmt formatCode="General" sourceLinked="1"/>
        <c:majorTickMark val="out"/>
        <c:minorTickMark val="none"/>
        <c:tickLblPos val="nextTo"/>
        <c:txPr>
          <a:bodyPr/>
          <a:lstStyle/>
          <a:p>
            <a:pPr>
              <a:defRPr lang="en-US"/>
            </a:pPr>
            <a:endParaRPr lang="en-US"/>
          </a:p>
        </c:txPr>
        <c:crossAx val="654521968"/>
        <c:crosses val="autoZero"/>
        <c:auto val="1"/>
        <c:lblAlgn val="ctr"/>
        <c:lblOffset val="100"/>
        <c:noMultiLvlLbl val="0"/>
      </c:catAx>
      <c:valAx>
        <c:axId val="654521968"/>
        <c:scaling>
          <c:orientation val="minMax"/>
        </c:scaling>
        <c:delete val="0"/>
        <c:axPos val="l"/>
        <c:majorGridlines/>
        <c:title>
          <c:tx>
            <c:rich>
              <a:bodyPr/>
              <a:lstStyle/>
              <a:p>
                <a:pPr>
                  <a:defRPr lang="en-US"/>
                </a:pPr>
                <a:r>
                  <a:rPr lang="en-GB"/>
                  <a:t>CML2001 - Apr. 2013, Global Warming Potential (GWP 100 years) [kg CO2-Equiv.]</a:t>
                </a:r>
              </a:p>
            </c:rich>
          </c:tx>
          <c:layout>
            <c:manualLayout>
              <c:xMode val="edge"/>
              <c:yMode val="edge"/>
              <c:x val="1.2510421952809244E-2"/>
              <c:y val="2.5939165579762859E-2"/>
            </c:manualLayout>
          </c:layout>
          <c:overlay val="0"/>
        </c:title>
        <c:numFmt formatCode="0.00" sourceLinked="1"/>
        <c:majorTickMark val="out"/>
        <c:minorTickMark val="none"/>
        <c:tickLblPos val="nextTo"/>
        <c:txPr>
          <a:bodyPr/>
          <a:lstStyle/>
          <a:p>
            <a:pPr>
              <a:defRPr lang="en-US"/>
            </a:pPr>
            <a:endParaRPr lang="en-US"/>
          </a:p>
        </c:txPr>
        <c:crossAx val="654521576"/>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v>GWP</c:v>
          </c:tx>
          <c:invertIfNegative val="0"/>
          <c:dPt>
            <c:idx val="0"/>
            <c:invertIfNegative val="0"/>
            <c:bubble3D val="0"/>
            <c:spPr>
              <a:solidFill>
                <a:srgbClr val="C00000"/>
              </a:solidFill>
            </c:spPr>
          </c:dPt>
          <c:dPt>
            <c:idx val="1"/>
            <c:invertIfNegative val="0"/>
            <c:bubble3D val="0"/>
            <c:spPr>
              <a:solidFill>
                <a:srgbClr val="FF0000"/>
              </a:solidFill>
            </c:spPr>
          </c:dPt>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'Fe-Ti'!$B$10:$B$11</c:f>
              <c:strCache>
                <c:ptCount val="2"/>
                <c:pt idx="0">
                  <c:v>Fe-Ti (Tudor)</c:v>
                </c:pt>
                <c:pt idx="1">
                  <c:v>Fe-Ti (Gasik)</c:v>
                </c:pt>
              </c:strCache>
            </c:strRef>
          </c:cat>
          <c:val>
            <c:numRef>
              <c:f>'Fe-Ti'!$D$10:$D$11</c:f>
              <c:numCache>
                <c:formatCode>0.00</c:formatCode>
                <c:ptCount val="2"/>
                <c:pt idx="0">
                  <c:v>14.017000000000001</c:v>
                </c:pt>
                <c:pt idx="1">
                  <c:v>4.2958518884771602</c:v>
                </c:pt>
              </c:numCache>
            </c:numRef>
          </c:val>
        </c:ser>
        <c:dLbls>
          <c:showLegendKey val="0"/>
          <c:showVal val="0"/>
          <c:showCatName val="0"/>
          <c:showSerName val="0"/>
          <c:showPercent val="0"/>
          <c:showBubbleSize val="0"/>
        </c:dLbls>
        <c:gapWidth val="150"/>
        <c:overlap val="100"/>
        <c:axId val="654522752"/>
        <c:axId val="654523144"/>
      </c:barChart>
      <c:catAx>
        <c:axId val="654522752"/>
        <c:scaling>
          <c:orientation val="minMax"/>
        </c:scaling>
        <c:delete val="0"/>
        <c:axPos val="b"/>
        <c:title>
          <c:tx>
            <c:rich>
              <a:bodyPr/>
              <a:lstStyle/>
              <a:p>
                <a:pPr>
                  <a:defRPr lang="en-US"/>
                </a:pPr>
                <a:r>
                  <a:rPr lang="en-GB"/>
                  <a:t>Fe-Ti</a:t>
                </a:r>
                <a:r>
                  <a:rPr lang="en-GB" baseline="0"/>
                  <a:t> Data Source</a:t>
                </a:r>
                <a:endParaRPr lang="en-GB"/>
              </a:p>
            </c:rich>
          </c:tx>
          <c:overlay val="0"/>
        </c:title>
        <c:numFmt formatCode="General" sourceLinked="1"/>
        <c:majorTickMark val="out"/>
        <c:minorTickMark val="none"/>
        <c:tickLblPos val="nextTo"/>
        <c:txPr>
          <a:bodyPr/>
          <a:lstStyle/>
          <a:p>
            <a:pPr>
              <a:defRPr lang="en-US"/>
            </a:pPr>
            <a:endParaRPr lang="en-US"/>
          </a:p>
        </c:txPr>
        <c:crossAx val="654523144"/>
        <c:crosses val="autoZero"/>
        <c:auto val="1"/>
        <c:lblAlgn val="ctr"/>
        <c:lblOffset val="100"/>
        <c:noMultiLvlLbl val="0"/>
      </c:catAx>
      <c:valAx>
        <c:axId val="654523144"/>
        <c:scaling>
          <c:orientation val="minMax"/>
        </c:scaling>
        <c:delete val="0"/>
        <c:axPos val="l"/>
        <c:majorGridlines/>
        <c:title>
          <c:tx>
            <c:rich>
              <a:bodyPr/>
              <a:lstStyle/>
              <a:p>
                <a:pPr>
                  <a:defRPr lang="en-US"/>
                </a:pPr>
                <a:r>
                  <a:rPr lang="en-GB"/>
                  <a:t>CML2001 - Apr. 2013, Global Warming Potential (GWP 100 years) [kg CO2-Equiv.]</a:t>
                </a:r>
              </a:p>
            </c:rich>
          </c:tx>
          <c:layout>
            <c:manualLayout>
              <c:xMode val="edge"/>
              <c:yMode val="edge"/>
              <c:x val="1.6494917599076498E-2"/>
              <c:y val="3.1489199196373892E-2"/>
            </c:manualLayout>
          </c:layout>
          <c:overlay val="0"/>
        </c:title>
        <c:numFmt formatCode="0.00" sourceLinked="1"/>
        <c:majorTickMark val="out"/>
        <c:minorTickMark val="none"/>
        <c:tickLblPos val="nextTo"/>
        <c:txPr>
          <a:bodyPr/>
          <a:lstStyle/>
          <a:p>
            <a:pPr>
              <a:defRPr lang="en-US"/>
            </a:pPr>
            <a:endParaRPr lang="en-US"/>
          </a:p>
        </c:txPr>
        <c:crossAx val="654522752"/>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v>GWP</c:v>
          </c:tx>
          <c:spPr>
            <a:solidFill>
              <a:srgbClr val="7030A0"/>
            </a:solidFill>
          </c:spPr>
          <c:invertIfNegative val="0"/>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'Fe-V'!$B$9</c:f>
              <c:strCache>
                <c:ptCount val="1"/>
                <c:pt idx="0">
                  <c:v>Fe-V (Gabi)</c:v>
                </c:pt>
              </c:strCache>
            </c:strRef>
          </c:cat>
          <c:val>
            <c:numRef>
              <c:f>'Fe-V'!$D$9</c:f>
              <c:numCache>
                <c:formatCode>0.00</c:formatCode>
                <c:ptCount val="1"/>
                <c:pt idx="0">
                  <c:v>84.1</c:v>
                </c:pt>
              </c:numCache>
            </c:numRef>
          </c:val>
        </c:ser>
        <c:dLbls>
          <c:showLegendKey val="0"/>
          <c:showVal val="0"/>
          <c:showCatName val="0"/>
          <c:showSerName val="0"/>
          <c:showPercent val="0"/>
          <c:showBubbleSize val="0"/>
        </c:dLbls>
        <c:gapWidth val="150"/>
        <c:overlap val="100"/>
        <c:axId val="654523928"/>
        <c:axId val="654524320"/>
      </c:barChart>
      <c:catAx>
        <c:axId val="654523928"/>
        <c:scaling>
          <c:orientation val="minMax"/>
        </c:scaling>
        <c:delete val="0"/>
        <c:axPos val="b"/>
        <c:title>
          <c:tx>
            <c:rich>
              <a:bodyPr/>
              <a:lstStyle/>
              <a:p>
                <a:pPr>
                  <a:defRPr lang="en-US"/>
                </a:pPr>
                <a:r>
                  <a:rPr lang="en-GB"/>
                  <a:t>Fe-V</a:t>
                </a:r>
                <a:r>
                  <a:rPr lang="en-GB" baseline="0"/>
                  <a:t> Data Source</a:t>
                </a:r>
                <a:endParaRPr lang="en-GB"/>
              </a:p>
            </c:rich>
          </c:tx>
          <c:overlay val="0"/>
        </c:title>
        <c:numFmt formatCode="General" sourceLinked="1"/>
        <c:majorTickMark val="out"/>
        <c:minorTickMark val="none"/>
        <c:tickLblPos val="nextTo"/>
        <c:txPr>
          <a:bodyPr/>
          <a:lstStyle/>
          <a:p>
            <a:pPr>
              <a:defRPr lang="en-US"/>
            </a:pPr>
            <a:endParaRPr lang="en-US"/>
          </a:p>
        </c:txPr>
        <c:crossAx val="654524320"/>
        <c:crosses val="autoZero"/>
        <c:auto val="1"/>
        <c:lblAlgn val="ctr"/>
        <c:lblOffset val="100"/>
        <c:noMultiLvlLbl val="0"/>
      </c:catAx>
      <c:valAx>
        <c:axId val="654524320"/>
        <c:scaling>
          <c:orientation val="minMax"/>
        </c:scaling>
        <c:delete val="0"/>
        <c:axPos val="l"/>
        <c:majorGridlines/>
        <c:title>
          <c:tx>
            <c:rich>
              <a:bodyPr/>
              <a:lstStyle/>
              <a:p>
                <a:pPr>
                  <a:defRPr lang="en-US"/>
                </a:pPr>
                <a:r>
                  <a:rPr lang="en-GB"/>
                  <a:t>CML2001 - Apr. 2013, Global Warming Potential (GWP 100 years) [kg CO2-Equiv.]</a:t>
                </a:r>
              </a:p>
            </c:rich>
          </c:tx>
          <c:layout>
            <c:manualLayout>
              <c:xMode val="edge"/>
              <c:yMode val="edge"/>
              <c:x val="2.4742268041237109E-2"/>
              <c:y val="0.12034503644604112"/>
            </c:manualLayout>
          </c:layout>
          <c:overlay val="0"/>
        </c:title>
        <c:numFmt formatCode="0.00" sourceLinked="1"/>
        <c:majorTickMark val="out"/>
        <c:minorTickMark val="none"/>
        <c:tickLblPos val="nextTo"/>
        <c:txPr>
          <a:bodyPr/>
          <a:lstStyle/>
          <a:p>
            <a:pPr>
              <a:defRPr lang="en-US"/>
            </a:pPr>
            <a:endParaRPr lang="en-US"/>
          </a:p>
        </c:txPr>
        <c:crossAx val="654523928"/>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v>GWP</c:v>
          </c:tx>
          <c:invertIfNegative val="0"/>
          <c:dPt>
            <c:idx val="0"/>
            <c:invertIfNegative val="0"/>
            <c:bubble3D val="0"/>
            <c:spPr>
              <a:solidFill>
                <a:srgbClr val="FFFF00"/>
              </a:solidFill>
            </c:spPr>
          </c:dPt>
          <c:dPt>
            <c:idx val="1"/>
            <c:invertIfNegative val="0"/>
            <c:bubble3D val="0"/>
            <c:spPr>
              <a:solidFill>
                <a:srgbClr val="FFFF00"/>
              </a:solidFill>
            </c:spPr>
          </c:dPt>
          <c:dPt>
            <c:idx val="2"/>
            <c:invertIfNegative val="0"/>
            <c:bubble3D val="0"/>
            <c:spPr>
              <a:solidFill>
                <a:schemeClr val="accent4">
                  <a:lumMod val="75000"/>
                </a:schemeClr>
              </a:solidFill>
            </c:spPr>
          </c:dPt>
          <c:dPt>
            <c:idx val="3"/>
            <c:invertIfNegative val="0"/>
            <c:bubble3D val="0"/>
            <c:spPr>
              <a:solidFill>
                <a:srgbClr val="C00000"/>
              </a:solidFill>
            </c:spPr>
          </c:dPt>
          <c:dPt>
            <c:idx val="4"/>
            <c:invertIfNegative val="0"/>
            <c:bubble3D val="0"/>
            <c:spPr>
              <a:solidFill>
                <a:srgbClr val="00FF00"/>
              </a:solidFill>
            </c:spPr>
          </c:dPt>
          <c:dPt>
            <c:idx val="5"/>
            <c:invertIfNegative val="0"/>
            <c:bubble3D val="0"/>
            <c:spPr>
              <a:solidFill>
                <a:srgbClr val="0070C0"/>
              </a:solidFill>
            </c:spPr>
          </c:dPt>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'Si-Mn'!$B$9:$B$14</c:f>
              <c:strCache>
                <c:ptCount val="6"/>
                <c:pt idx="0">
                  <c:v>Si-Mn (Haque) Tasmanian Energy</c:v>
                </c:pt>
                <c:pt idx="1">
                  <c:v>Si-Mn (Haque) Australian Energy</c:v>
                </c:pt>
                <c:pt idx="2">
                  <c:v>Si-Mn (Haque) Version 2</c:v>
                </c:pt>
                <c:pt idx="3">
                  <c:v>Si-Mn Tudor</c:v>
                </c:pt>
                <c:pt idx="4">
                  <c:v>Global Si-Mn Model</c:v>
                </c:pt>
                <c:pt idx="5">
                  <c:v>Si-Mn (Eurometaux)</c:v>
                </c:pt>
              </c:strCache>
            </c:strRef>
          </c:cat>
          <c:val>
            <c:numRef>
              <c:f>'Si-Mn'!$D$9:$D$14</c:f>
              <c:numCache>
                <c:formatCode>0.00</c:formatCode>
                <c:ptCount val="6"/>
                <c:pt idx="0">
                  <c:v>2.79</c:v>
                </c:pt>
                <c:pt idx="1">
                  <c:v>6.09</c:v>
                </c:pt>
                <c:pt idx="2">
                  <c:v>7.17</c:v>
                </c:pt>
                <c:pt idx="3">
                  <c:v>8.6590000000000007</c:v>
                </c:pt>
                <c:pt idx="4">
                  <c:v>7.1728266406072745</c:v>
                </c:pt>
                <c:pt idx="5">
                  <c:v>7.5344291426750694</c:v>
                </c:pt>
              </c:numCache>
            </c:numRef>
          </c:val>
        </c:ser>
        <c:dLbls>
          <c:showLegendKey val="0"/>
          <c:showVal val="0"/>
          <c:showCatName val="0"/>
          <c:showSerName val="0"/>
          <c:showPercent val="0"/>
          <c:showBubbleSize val="0"/>
        </c:dLbls>
        <c:gapWidth val="150"/>
        <c:overlap val="100"/>
        <c:axId val="654525104"/>
        <c:axId val="654525496"/>
      </c:barChart>
      <c:catAx>
        <c:axId val="654525104"/>
        <c:scaling>
          <c:orientation val="minMax"/>
        </c:scaling>
        <c:delete val="0"/>
        <c:axPos val="b"/>
        <c:title>
          <c:tx>
            <c:rich>
              <a:bodyPr/>
              <a:lstStyle/>
              <a:p>
                <a:pPr>
                  <a:defRPr lang="en-US"/>
                </a:pPr>
                <a:r>
                  <a:rPr lang="en-GB"/>
                  <a:t>Si</a:t>
                </a:r>
                <a:r>
                  <a:rPr lang="en-GB" baseline="0"/>
                  <a:t>-Mn Data Source</a:t>
                </a:r>
                <a:endParaRPr lang="en-GB"/>
              </a:p>
            </c:rich>
          </c:tx>
          <c:overlay val="0"/>
        </c:title>
        <c:numFmt formatCode="General" sourceLinked="1"/>
        <c:majorTickMark val="out"/>
        <c:minorTickMark val="none"/>
        <c:tickLblPos val="nextTo"/>
        <c:txPr>
          <a:bodyPr/>
          <a:lstStyle/>
          <a:p>
            <a:pPr>
              <a:defRPr lang="en-US"/>
            </a:pPr>
            <a:endParaRPr lang="en-US"/>
          </a:p>
        </c:txPr>
        <c:crossAx val="654525496"/>
        <c:crosses val="autoZero"/>
        <c:auto val="1"/>
        <c:lblAlgn val="ctr"/>
        <c:lblOffset val="100"/>
        <c:noMultiLvlLbl val="0"/>
      </c:catAx>
      <c:valAx>
        <c:axId val="654525496"/>
        <c:scaling>
          <c:orientation val="minMax"/>
        </c:scaling>
        <c:delete val="0"/>
        <c:axPos val="l"/>
        <c:majorGridlines/>
        <c:title>
          <c:tx>
            <c:rich>
              <a:bodyPr/>
              <a:lstStyle/>
              <a:p>
                <a:pPr>
                  <a:defRPr lang="en-US"/>
                </a:pPr>
                <a:r>
                  <a:rPr lang="en-GB"/>
                  <a:t>CML2001 - Apr. 2013, Global Warming Potential (GWP 100 years) [kg CO2-Equiv.]</a:t>
                </a:r>
              </a:p>
            </c:rich>
          </c:tx>
          <c:layout>
            <c:manualLayout>
              <c:xMode val="edge"/>
              <c:yMode val="edge"/>
              <c:x val="2.4742268041237109E-2"/>
              <c:y val="0.11129020637126306"/>
            </c:manualLayout>
          </c:layout>
          <c:overlay val="0"/>
        </c:title>
        <c:numFmt formatCode="0.00" sourceLinked="1"/>
        <c:majorTickMark val="out"/>
        <c:minorTickMark val="none"/>
        <c:tickLblPos val="nextTo"/>
        <c:txPr>
          <a:bodyPr/>
          <a:lstStyle/>
          <a:p>
            <a:pPr>
              <a:defRPr lang="en-US"/>
            </a:pPr>
            <a:endParaRPr lang="en-US"/>
          </a:p>
        </c:txPr>
        <c:crossAx val="654525104"/>
        <c:crosses val="autoZero"/>
        <c:crossBetween val="between"/>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338831134206491"/>
          <c:y val="4.5892382923202066E-2"/>
          <c:w val="0.78219909827782463"/>
          <c:h val="0.81334179937129969"/>
        </c:manualLayout>
      </c:layout>
      <c:barChart>
        <c:barDir val="col"/>
        <c:grouping val="clustered"/>
        <c:varyColors val="0"/>
        <c:ser>
          <c:idx val="0"/>
          <c:order val="0"/>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 Raz 2015 - Std Spec'!$M$7:$M$14</c:f>
              <c:strCache>
                <c:ptCount val="8"/>
                <c:pt idx="0">
                  <c:v>Boron</c:v>
                </c:pt>
                <c:pt idx="1">
                  <c:v>DP800</c:v>
                </c:pt>
                <c:pt idx="2">
                  <c:v>DP600</c:v>
                </c:pt>
                <c:pt idx="3">
                  <c:v>S450</c:v>
                </c:pt>
                <c:pt idx="4">
                  <c:v>S390</c:v>
                </c:pt>
                <c:pt idx="5">
                  <c:v>S355</c:v>
                </c:pt>
                <c:pt idx="6">
                  <c:v>XF400</c:v>
                </c:pt>
                <c:pt idx="7">
                  <c:v>IF</c:v>
                </c:pt>
              </c:strCache>
            </c:strRef>
          </c:cat>
          <c:val>
            <c:numRef>
              <c:f>' Raz 2015 - Std Spec'!$N$7:$N$14</c:f>
              <c:numCache>
                <c:formatCode>0.0000</c:formatCode>
                <c:ptCount val="8"/>
                <c:pt idx="0">
                  <c:v>9.3270181890339018E-2</c:v>
                </c:pt>
                <c:pt idx="1">
                  <c:v>0.25346412793887935</c:v>
                </c:pt>
                <c:pt idx="2">
                  <c:v>0.17671944272246656</c:v>
                </c:pt>
                <c:pt idx="3">
                  <c:v>7.1147696793456811E-2</c:v>
                </c:pt>
                <c:pt idx="4">
                  <c:v>5.1430604356787257E-2</c:v>
                </c:pt>
                <c:pt idx="5">
                  <c:v>8.0417535876818422E-2</c:v>
                </c:pt>
                <c:pt idx="6">
                  <c:v>4.7096009837824478E-2</c:v>
                </c:pt>
                <c:pt idx="7">
                  <c:v>1.5533482462913081E-2</c:v>
                </c:pt>
              </c:numCache>
            </c:numRef>
          </c:val>
        </c:ser>
        <c:dLbls>
          <c:showLegendKey val="0"/>
          <c:showVal val="0"/>
          <c:showCatName val="0"/>
          <c:showSerName val="0"/>
          <c:showPercent val="0"/>
          <c:showBubbleSize val="0"/>
        </c:dLbls>
        <c:gapWidth val="150"/>
        <c:axId val="654525888"/>
        <c:axId val="654526280"/>
      </c:barChart>
      <c:catAx>
        <c:axId val="654525888"/>
        <c:scaling>
          <c:orientation val="minMax"/>
        </c:scaling>
        <c:delete val="0"/>
        <c:axPos val="b"/>
        <c:title>
          <c:tx>
            <c:rich>
              <a:bodyPr/>
              <a:lstStyle/>
              <a:p>
                <a:pPr>
                  <a:defRPr lang="en-US" sz="1000" b="1" i="0" u="none" strike="noStrike" baseline="0">
                    <a:solidFill>
                      <a:srgbClr val="000000"/>
                    </a:solidFill>
                    <a:latin typeface="Calibri"/>
                    <a:ea typeface="Calibri"/>
                    <a:cs typeface="Calibri"/>
                  </a:defRPr>
                </a:pPr>
                <a:r>
                  <a:rPr lang="en-GB"/>
                  <a:t>Steel Grades</a:t>
                </a:r>
              </a:p>
            </c:rich>
          </c:tx>
          <c:overlay val="0"/>
        </c:title>
        <c:numFmt formatCode="General" sourceLinked="1"/>
        <c:majorTickMark val="out"/>
        <c:minorTickMark val="none"/>
        <c:tickLblPos val="nextTo"/>
        <c:txPr>
          <a:bodyPr rot="0" vert="horz"/>
          <a:lstStyle/>
          <a:p>
            <a:pPr>
              <a:defRPr lang="en-US" sz="1000" b="0" i="0" u="none" strike="noStrike" baseline="0">
                <a:solidFill>
                  <a:srgbClr val="000000"/>
                </a:solidFill>
                <a:latin typeface="Calibri"/>
                <a:ea typeface="Calibri"/>
                <a:cs typeface="Calibri"/>
              </a:defRPr>
            </a:pPr>
            <a:endParaRPr lang="en-US"/>
          </a:p>
        </c:txPr>
        <c:crossAx val="654526280"/>
        <c:crosses val="autoZero"/>
        <c:auto val="1"/>
        <c:lblAlgn val="ctr"/>
        <c:lblOffset val="100"/>
        <c:noMultiLvlLbl val="0"/>
      </c:catAx>
      <c:valAx>
        <c:axId val="654526280"/>
        <c:scaling>
          <c:orientation val="minMax"/>
        </c:scaling>
        <c:delete val="0"/>
        <c:axPos val="l"/>
        <c:majorGridlines/>
        <c:title>
          <c:tx>
            <c:rich>
              <a:bodyPr/>
              <a:lstStyle/>
              <a:p>
                <a:pPr>
                  <a:defRPr lang="en-US" sz="1100" b="0" i="0" u="none" strike="noStrike" baseline="0">
                    <a:solidFill>
                      <a:srgbClr val="000000"/>
                    </a:solidFill>
                    <a:latin typeface="Arial"/>
                    <a:ea typeface="Arial"/>
                    <a:cs typeface="Arial"/>
                  </a:defRPr>
                </a:pPr>
                <a:r>
                  <a:rPr lang="en-GB" sz="1000" b="1" i="0" u="none" strike="noStrike" baseline="0">
                    <a:solidFill>
                      <a:srgbClr val="000000"/>
                    </a:solidFill>
                    <a:latin typeface="Calibri"/>
                  </a:rPr>
                  <a:t>Additional CO</a:t>
                </a:r>
                <a:r>
                  <a:rPr lang="en-GB" sz="1000" b="1" i="0" u="none" strike="noStrike" baseline="-25000">
                    <a:solidFill>
                      <a:srgbClr val="000000"/>
                    </a:solidFill>
                    <a:latin typeface="Calibri"/>
                  </a:rPr>
                  <a:t>2</a:t>
                </a:r>
                <a:r>
                  <a:rPr lang="en-GB" sz="1000" b="1" i="0" u="none" strike="noStrike" baseline="0">
                    <a:solidFill>
                      <a:srgbClr val="000000"/>
                    </a:solidFill>
                    <a:latin typeface="Calibri"/>
                  </a:rPr>
                  <a:t> impact due to </a:t>
                </a:r>
              </a:p>
              <a:p>
                <a:pPr>
                  <a:defRPr lang="en-US" sz="1100" b="0" i="0" u="none" strike="noStrike" baseline="0">
                    <a:solidFill>
                      <a:srgbClr val="000000"/>
                    </a:solidFill>
                    <a:latin typeface="Arial"/>
                    <a:ea typeface="Arial"/>
                    <a:cs typeface="Arial"/>
                  </a:defRPr>
                </a:pPr>
                <a:r>
                  <a:rPr lang="en-GB" sz="1000" b="1" i="0" u="none" strike="noStrike" baseline="0">
                    <a:solidFill>
                      <a:srgbClr val="000000"/>
                    </a:solidFill>
                    <a:latin typeface="Calibri"/>
                  </a:rPr>
                  <a:t>Alloying Additions (kgCO</a:t>
                </a:r>
                <a:r>
                  <a:rPr lang="en-GB" sz="1000" b="1" i="0" u="none" strike="noStrike" baseline="-25000">
                    <a:solidFill>
                      <a:srgbClr val="000000"/>
                    </a:solidFill>
                    <a:latin typeface="Calibri"/>
                  </a:rPr>
                  <a:t>2</a:t>
                </a:r>
                <a:r>
                  <a:rPr lang="en-GB" sz="1000" b="1" i="0" u="none" strike="noStrike" baseline="0">
                    <a:solidFill>
                      <a:srgbClr val="000000"/>
                    </a:solidFill>
                    <a:latin typeface="Calibri"/>
                  </a:rPr>
                  <a:t>/kg)</a:t>
                </a:r>
              </a:p>
            </c:rich>
          </c:tx>
          <c:layout>
            <c:manualLayout>
              <c:xMode val="edge"/>
              <c:yMode val="edge"/>
              <c:x val="1.2182955231527206E-2"/>
              <c:y val="0.23979634124681795"/>
            </c:manualLayout>
          </c:layout>
          <c:overlay val="0"/>
        </c:title>
        <c:numFmt formatCode="0.0000" sourceLinked="1"/>
        <c:majorTickMark val="out"/>
        <c:minorTickMark val="none"/>
        <c:tickLblPos val="nextTo"/>
        <c:txPr>
          <a:bodyPr rot="0" vert="horz"/>
          <a:lstStyle/>
          <a:p>
            <a:pPr>
              <a:defRPr lang="en-US" sz="1000" b="0" i="0" u="none" strike="noStrike" baseline="0">
                <a:solidFill>
                  <a:srgbClr val="000000"/>
                </a:solidFill>
                <a:latin typeface="Calibri"/>
                <a:ea typeface="Calibri"/>
                <a:cs typeface="Calibri"/>
              </a:defRPr>
            </a:pPr>
            <a:endParaRPr lang="en-US"/>
          </a:p>
        </c:txPr>
        <c:crossAx val="654525888"/>
        <c:crosses val="autoZero"/>
        <c:crossBetween val="between"/>
      </c:valAx>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116339877926857"/>
          <c:y val="0.11981892480295557"/>
          <c:w val="0.7121952994010986"/>
          <c:h val="0.63312985334694183"/>
        </c:manualLayout>
      </c:layout>
      <c:barChart>
        <c:barDir val="col"/>
        <c:grouping val="clustered"/>
        <c:varyColors val="0"/>
        <c:ser>
          <c:idx val="0"/>
          <c:order val="0"/>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 Raz 2015 - Std Spec'!$W$7:$W$10</c:f>
              <c:strCache>
                <c:ptCount val="4"/>
                <c:pt idx="0">
                  <c:v>UHSS</c:v>
                </c:pt>
                <c:pt idx="1">
                  <c:v>AHSS</c:v>
                </c:pt>
                <c:pt idx="2">
                  <c:v>Conventional HSS</c:v>
                </c:pt>
                <c:pt idx="3">
                  <c:v>Mild Steel</c:v>
                </c:pt>
              </c:strCache>
            </c:strRef>
          </c:cat>
          <c:val>
            <c:numRef>
              <c:f>' Raz 2015 - Std Spec'!$X$7:$X$10</c:f>
              <c:numCache>
                <c:formatCode>0.0000</c:formatCode>
                <c:ptCount val="4"/>
                <c:pt idx="0">
                  <c:v>7.773669942742617E-2</c:v>
                </c:pt>
                <c:pt idx="1">
                  <c:v>0.23793064547596604</c:v>
                </c:pt>
                <c:pt idx="2">
                  <c:v>5.5614214330543879E-2</c:v>
                </c:pt>
                <c:pt idx="3" formatCode="0">
                  <c:v>0</c:v>
                </c:pt>
              </c:numCache>
            </c:numRef>
          </c:val>
        </c:ser>
        <c:dLbls>
          <c:showLegendKey val="0"/>
          <c:showVal val="0"/>
          <c:showCatName val="0"/>
          <c:showSerName val="0"/>
          <c:showPercent val="0"/>
          <c:showBubbleSize val="0"/>
        </c:dLbls>
        <c:gapWidth val="150"/>
        <c:axId val="654527064"/>
        <c:axId val="654527456"/>
      </c:barChart>
      <c:catAx>
        <c:axId val="654527064"/>
        <c:scaling>
          <c:orientation val="minMax"/>
        </c:scaling>
        <c:delete val="0"/>
        <c:axPos val="b"/>
        <c:title>
          <c:tx>
            <c:rich>
              <a:bodyPr/>
              <a:lstStyle/>
              <a:p>
                <a:pPr>
                  <a:defRPr lang="en-US" sz="1000" b="1" i="0" u="none" strike="noStrike" baseline="0">
                    <a:solidFill>
                      <a:srgbClr val="000000"/>
                    </a:solidFill>
                    <a:latin typeface="Calibri"/>
                    <a:ea typeface="Calibri"/>
                    <a:cs typeface="Calibri"/>
                  </a:defRPr>
                </a:pPr>
                <a:r>
                  <a:rPr lang="en-GB"/>
                  <a:t>Steel Categories</a:t>
                </a:r>
              </a:p>
            </c:rich>
          </c:tx>
          <c:overlay val="0"/>
        </c:title>
        <c:numFmt formatCode="General" sourceLinked="1"/>
        <c:majorTickMark val="out"/>
        <c:minorTickMark val="none"/>
        <c:tickLblPos val="nextTo"/>
        <c:txPr>
          <a:bodyPr rot="0" vert="horz"/>
          <a:lstStyle/>
          <a:p>
            <a:pPr>
              <a:defRPr lang="en-US" sz="1000" b="0" i="0" u="none" strike="noStrike" baseline="0">
                <a:solidFill>
                  <a:srgbClr val="000000"/>
                </a:solidFill>
                <a:latin typeface="Calibri"/>
                <a:ea typeface="Calibri"/>
                <a:cs typeface="Calibri"/>
              </a:defRPr>
            </a:pPr>
            <a:endParaRPr lang="en-US"/>
          </a:p>
        </c:txPr>
        <c:crossAx val="654527456"/>
        <c:crosses val="autoZero"/>
        <c:auto val="1"/>
        <c:lblAlgn val="ctr"/>
        <c:lblOffset val="100"/>
        <c:noMultiLvlLbl val="0"/>
      </c:catAx>
      <c:valAx>
        <c:axId val="654527456"/>
        <c:scaling>
          <c:orientation val="minMax"/>
        </c:scaling>
        <c:delete val="0"/>
        <c:axPos val="l"/>
        <c:majorGridlines/>
        <c:title>
          <c:tx>
            <c:rich>
              <a:bodyPr/>
              <a:lstStyle/>
              <a:p>
                <a:pPr>
                  <a:defRPr lang="en-US" sz="1100" b="0" i="0" u="none" strike="noStrike" baseline="0">
                    <a:solidFill>
                      <a:srgbClr val="000000"/>
                    </a:solidFill>
                    <a:latin typeface="Arial"/>
                    <a:ea typeface="Arial"/>
                    <a:cs typeface="Arial"/>
                  </a:defRPr>
                </a:pPr>
                <a:r>
                  <a:rPr lang="en-GB" sz="1000" b="1" i="0" u="none" strike="noStrike" baseline="0">
                    <a:solidFill>
                      <a:srgbClr val="000000"/>
                    </a:solidFill>
                    <a:latin typeface="Calibri"/>
                  </a:rPr>
                  <a:t>Additional CO</a:t>
                </a:r>
                <a:r>
                  <a:rPr lang="en-GB" sz="1000" b="1" i="0" u="none" strike="noStrike" baseline="-25000">
                    <a:solidFill>
                      <a:srgbClr val="000000"/>
                    </a:solidFill>
                    <a:latin typeface="Calibri"/>
                  </a:rPr>
                  <a:t>2</a:t>
                </a:r>
                <a:r>
                  <a:rPr lang="en-GB" sz="1000" b="1" i="0" u="none" strike="noStrike" baseline="0">
                    <a:solidFill>
                      <a:srgbClr val="000000"/>
                    </a:solidFill>
                    <a:latin typeface="Calibri"/>
                  </a:rPr>
                  <a:t> impact </a:t>
                </a:r>
              </a:p>
              <a:p>
                <a:pPr>
                  <a:defRPr lang="en-US" sz="1100" b="0" i="0" u="none" strike="noStrike" baseline="0">
                    <a:solidFill>
                      <a:srgbClr val="000000"/>
                    </a:solidFill>
                    <a:latin typeface="Arial"/>
                    <a:ea typeface="Arial"/>
                    <a:cs typeface="Arial"/>
                  </a:defRPr>
                </a:pPr>
                <a:r>
                  <a:rPr lang="en-GB" sz="1000" b="1" i="0" u="none" strike="noStrike" baseline="0">
                    <a:solidFill>
                      <a:srgbClr val="000000"/>
                    </a:solidFill>
                    <a:latin typeface="Calibri"/>
                  </a:rPr>
                  <a:t>over IF Steel Grade (CO</a:t>
                </a:r>
                <a:r>
                  <a:rPr lang="en-GB" sz="1000" b="1" i="0" u="none" strike="noStrike" baseline="-25000">
                    <a:solidFill>
                      <a:srgbClr val="000000"/>
                    </a:solidFill>
                    <a:latin typeface="Calibri"/>
                  </a:rPr>
                  <a:t>2</a:t>
                </a:r>
                <a:r>
                  <a:rPr lang="en-GB" sz="1000" b="1" i="0" u="none" strike="noStrike" baseline="0">
                    <a:solidFill>
                      <a:srgbClr val="000000"/>
                    </a:solidFill>
                    <a:latin typeface="Calibri"/>
                  </a:rPr>
                  <a:t>/kg)</a:t>
                </a:r>
              </a:p>
            </c:rich>
          </c:tx>
          <c:layout>
            <c:manualLayout>
              <c:xMode val="edge"/>
              <c:yMode val="edge"/>
              <c:x val="6.0271550474502297E-3"/>
              <c:y val="0.17686770178863176"/>
            </c:manualLayout>
          </c:layout>
          <c:overlay val="0"/>
        </c:title>
        <c:numFmt formatCode="0.0000" sourceLinked="1"/>
        <c:majorTickMark val="out"/>
        <c:minorTickMark val="none"/>
        <c:tickLblPos val="nextTo"/>
        <c:txPr>
          <a:bodyPr rot="0" vert="horz"/>
          <a:lstStyle/>
          <a:p>
            <a:pPr>
              <a:defRPr lang="en-US" sz="1000" b="0" i="0" u="none" strike="noStrike" baseline="0">
                <a:solidFill>
                  <a:srgbClr val="000000"/>
                </a:solidFill>
                <a:latin typeface="Calibri"/>
                <a:ea typeface="Calibri"/>
                <a:cs typeface="Calibri"/>
              </a:defRPr>
            </a:pPr>
            <a:endParaRPr lang="en-US"/>
          </a:p>
        </c:txPr>
        <c:crossAx val="654527064"/>
        <c:crosses val="autoZero"/>
        <c:crossBetween val="between"/>
      </c:valAx>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lang="en-US" sz="1400" b="0" i="0" u="none" strike="noStrike" kern="1200" spc="0" baseline="0">
                <a:solidFill>
                  <a:sysClr val="windowText" lastClr="000000">
                    <a:lumMod val="65000"/>
                    <a:lumOff val="35000"/>
                  </a:sysClr>
                </a:solidFill>
                <a:latin typeface="+mn-lt"/>
                <a:ea typeface="+mn-ea"/>
                <a:cs typeface="+mn-cs"/>
              </a:defRPr>
            </a:pPr>
            <a:r>
              <a:rPr lang="en-US" sz="1400" b="0" i="0" baseline="0">
                <a:effectLst/>
              </a:rPr>
              <a:t>A comparison of  average electricity processes for 5 different ferro-alloy in terms of GWP</a:t>
            </a:r>
            <a:endParaRPr lang="en-GB" sz="1400">
              <a:effectLst/>
            </a:endParaRPr>
          </a:p>
          <a:p>
            <a:pPr marL="0" marR="0" indent="0" algn="ctr" defTabSz="914400" rtl="0" eaLnBrk="1" fontAlgn="auto" latinLnBrk="0" hangingPunct="1">
              <a:lnSpc>
                <a:spcPct val="100000"/>
              </a:lnSpc>
              <a:spcBef>
                <a:spcPts val="0"/>
              </a:spcBef>
              <a:spcAft>
                <a:spcPts val="0"/>
              </a:spcAft>
              <a:buClrTx/>
              <a:buSzTx/>
              <a:buFontTx/>
              <a:buNone/>
              <a:tabLst/>
              <a:defRPr lang="en-US" sz="1400" b="0" i="0" u="none" strike="noStrike" kern="1200" spc="0" baseline="0">
                <a:solidFill>
                  <a:sysClr val="windowText" lastClr="000000">
                    <a:lumMod val="65000"/>
                    <a:lumOff val="35000"/>
                  </a:sysClr>
                </a:solidFill>
                <a:latin typeface="+mn-lt"/>
                <a:ea typeface="+mn-ea"/>
                <a:cs typeface="+mn-cs"/>
              </a:defRPr>
            </a:pPr>
            <a:endParaRPr lang="en-US" sz="1400"/>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976811793436967"/>
          <c:y val="0.27074501443723464"/>
          <c:w val="0.82669662736599303"/>
          <c:h val="0.46896727837971991"/>
        </c:manualLayout>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('9.CML2013 6 Impact Categories'!$G$3,'9.CML2013 6 Impact Categories'!$G$12,'9.CML2013 6 Impact Categories'!$G$21,'9.CML2013 6 Impact Categories'!$G$30,'9.CML2013 6 Impact Categories'!$G$39)</c:f>
              <c:strCache>
                <c:ptCount val="5"/>
                <c:pt idx="0">
                  <c:v>Fe-Cr</c:v>
                </c:pt>
                <c:pt idx="1">
                  <c:v>Fe-Mn</c:v>
                </c:pt>
                <c:pt idx="2">
                  <c:v>Fe-Ni</c:v>
                </c:pt>
                <c:pt idx="3">
                  <c:v>Fe-Si</c:v>
                </c:pt>
                <c:pt idx="4">
                  <c:v>Si-Mn</c:v>
                </c:pt>
              </c:strCache>
            </c:strRef>
          </c:cat>
          <c:val>
            <c:numRef>
              <c:f>('9.CML2013 6 Impact Categories'!$G$7,'9.CML2013 6 Impact Categories'!$G$16,'9.CML2013 6 Impact Categories'!$G$25,'9.CML2013 6 Impact Categories'!$G$34,'9.CML2013 6 Impact Categories'!$G$43)</c:f>
              <c:numCache>
                <c:formatCode>0.000</c:formatCode>
                <c:ptCount val="5"/>
                <c:pt idx="0">
                  <c:v>0.29331057359182555</c:v>
                </c:pt>
                <c:pt idx="1">
                  <c:v>0.23826011027434099</c:v>
                </c:pt>
                <c:pt idx="2">
                  <c:v>0.20928459454182624</c:v>
                </c:pt>
                <c:pt idx="3">
                  <c:v>0.24938289514775999</c:v>
                </c:pt>
                <c:pt idx="4">
                  <c:v>0.26275689194614527</c:v>
                </c:pt>
              </c:numCache>
            </c:numRef>
          </c:val>
        </c:ser>
        <c:dLbls>
          <c:showLegendKey val="0"/>
          <c:showVal val="0"/>
          <c:showCatName val="0"/>
          <c:showSerName val="0"/>
          <c:showPercent val="0"/>
          <c:showBubbleSize val="0"/>
        </c:dLbls>
        <c:gapWidth val="150"/>
        <c:shape val="box"/>
        <c:axId val="477302296"/>
        <c:axId val="477302688"/>
        <c:axId val="0"/>
      </c:bar3DChart>
      <c:catAx>
        <c:axId val="477302296"/>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GB"/>
                  <a:t>Average</a:t>
                </a:r>
                <a:r>
                  <a:rPr lang="en-GB" baseline="0"/>
                  <a:t> Electricity Process</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477302688"/>
        <c:crosses val="autoZero"/>
        <c:auto val="1"/>
        <c:lblAlgn val="ctr"/>
        <c:lblOffset val="100"/>
        <c:noMultiLvlLbl val="0"/>
      </c:catAx>
      <c:valAx>
        <c:axId val="477302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GB"/>
                  <a:t>GWP (kg CO2-Equiv)</a:t>
                </a:r>
              </a:p>
            </c:rich>
          </c:tx>
          <c:layout>
            <c:manualLayout>
              <c:xMode val="edge"/>
              <c:yMode val="edge"/>
              <c:x val="3.6594984450473107E-2"/>
              <c:y val="0.31949015007173254"/>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477302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Sheet1!$F$7</c:f>
              <c:strCache>
                <c:ptCount val="1"/>
                <c:pt idx="0">
                  <c:v>S450</c:v>
                </c:pt>
              </c:strCache>
            </c:strRef>
          </c:tx>
          <c:spPr>
            <a:ln w="25400" cap="rnd">
              <a:no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Sheet1!$G$7</c:f>
              <c:numCache>
                <c:formatCode>General</c:formatCode>
                <c:ptCount val="1"/>
                <c:pt idx="0">
                  <c:v>6.58</c:v>
                </c:pt>
              </c:numCache>
            </c:numRef>
          </c:xVal>
          <c:yVal>
            <c:numRef>
              <c:f>Sheet1!$K$7</c:f>
              <c:numCache>
                <c:formatCode>General</c:formatCode>
                <c:ptCount val="1"/>
                <c:pt idx="0">
                  <c:v>7.1099999999999997E-2</c:v>
                </c:pt>
              </c:numCache>
            </c:numRef>
          </c:yVal>
          <c:smooth val="0"/>
        </c:ser>
        <c:ser>
          <c:idx val="1"/>
          <c:order val="1"/>
          <c:tx>
            <c:strRef>
              <c:f>Sheet1!$F$8</c:f>
              <c:strCache>
                <c:ptCount val="1"/>
                <c:pt idx="0">
                  <c:v>S390</c:v>
                </c:pt>
              </c:strCache>
            </c:strRef>
          </c:tx>
          <c:spPr>
            <a:ln w="25400" cap="rnd">
              <a:no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Sheet1!$G$8</c:f>
              <c:numCache>
                <c:formatCode>General</c:formatCode>
                <c:ptCount val="1"/>
                <c:pt idx="0">
                  <c:v>3.38</c:v>
                </c:pt>
              </c:numCache>
            </c:numRef>
          </c:xVal>
          <c:yVal>
            <c:numRef>
              <c:f>Sheet1!$K$8</c:f>
              <c:numCache>
                <c:formatCode>General</c:formatCode>
                <c:ptCount val="1"/>
                <c:pt idx="0">
                  <c:v>5.1400000000000001E-2</c:v>
                </c:pt>
              </c:numCache>
            </c:numRef>
          </c:yVal>
          <c:smooth val="0"/>
        </c:ser>
        <c:ser>
          <c:idx val="2"/>
          <c:order val="2"/>
          <c:tx>
            <c:strRef>
              <c:f>Sheet1!$F$9</c:f>
              <c:strCache>
                <c:ptCount val="1"/>
                <c:pt idx="0">
                  <c:v>S355</c:v>
                </c:pt>
              </c:strCache>
            </c:strRef>
          </c:tx>
          <c:spPr>
            <a:ln w="25400" cap="rnd">
              <a:no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Sheet1!$G$9</c:f>
              <c:numCache>
                <c:formatCode>General</c:formatCode>
                <c:ptCount val="1"/>
                <c:pt idx="0">
                  <c:v>5.66</c:v>
                </c:pt>
              </c:numCache>
            </c:numRef>
          </c:xVal>
          <c:yVal>
            <c:numRef>
              <c:f>Sheet1!$K$9</c:f>
              <c:numCache>
                <c:formatCode>General</c:formatCode>
                <c:ptCount val="1"/>
                <c:pt idx="0">
                  <c:v>8.0399999999999999E-2</c:v>
                </c:pt>
              </c:numCache>
            </c:numRef>
          </c:yVal>
          <c:smooth val="0"/>
        </c:ser>
        <c:ser>
          <c:idx val="3"/>
          <c:order val="3"/>
          <c:tx>
            <c:strRef>
              <c:f>Sheet1!$F$10</c:f>
              <c:strCache>
                <c:ptCount val="1"/>
                <c:pt idx="0">
                  <c:v>XF400</c:v>
                </c:pt>
              </c:strCache>
            </c:strRef>
          </c:tx>
          <c:spPr>
            <a:ln w="25400" cap="rnd">
              <a:no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Sheet1!$G$10</c:f>
              <c:numCache>
                <c:formatCode>General</c:formatCode>
                <c:ptCount val="1"/>
                <c:pt idx="0">
                  <c:v>4.18</c:v>
                </c:pt>
              </c:numCache>
            </c:numRef>
          </c:xVal>
          <c:yVal>
            <c:numRef>
              <c:f>Sheet1!$K$10</c:f>
              <c:numCache>
                <c:formatCode>General</c:formatCode>
                <c:ptCount val="1"/>
                <c:pt idx="0">
                  <c:v>4.7100000000000003E-2</c:v>
                </c:pt>
              </c:numCache>
            </c:numRef>
          </c:yVal>
          <c:smooth val="0"/>
        </c:ser>
        <c:dLbls>
          <c:dLblPos val="t"/>
          <c:showLegendKey val="0"/>
          <c:showVal val="1"/>
          <c:showCatName val="0"/>
          <c:showSerName val="0"/>
          <c:showPercent val="0"/>
          <c:showBubbleSize val="0"/>
        </c:dLbls>
        <c:axId val="654528240"/>
        <c:axId val="654528632"/>
      </c:scatterChart>
      <c:valAx>
        <c:axId val="654528240"/>
        <c:scaling>
          <c:orientation val="minMax"/>
          <c:max val="7"/>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GB" b="1">
                    <a:solidFill>
                      <a:sysClr val="windowText" lastClr="000000"/>
                    </a:solidFill>
                  </a:rPr>
                  <a:t>Alloying Additions added per cast (t)</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4528632"/>
        <c:crosses val="autoZero"/>
        <c:crossBetween val="midCat"/>
      </c:valAx>
      <c:valAx>
        <c:axId val="654528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GB" b="1">
                    <a:solidFill>
                      <a:sysClr val="windowText" lastClr="000000"/>
                    </a:solidFill>
                  </a:rPr>
                  <a:t>Additional CO</a:t>
                </a:r>
                <a:r>
                  <a:rPr lang="en-GB" b="1" baseline="-25000">
                    <a:solidFill>
                      <a:sysClr val="windowText" lastClr="000000"/>
                    </a:solidFill>
                  </a:rPr>
                  <a:t>2 </a:t>
                </a:r>
                <a:r>
                  <a:rPr lang="en-GB" b="1">
                    <a:solidFill>
                      <a:sysClr val="windowText" lastClr="000000"/>
                    </a:solidFill>
                  </a:rPr>
                  <a:t>per kg due to </a:t>
                </a:r>
              </a:p>
              <a:p>
                <a:pPr>
                  <a:defRPr b="1"/>
                </a:pPr>
                <a:r>
                  <a:rPr lang="en-GB" b="1">
                    <a:solidFill>
                      <a:sysClr val="windowText" lastClr="000000"/>
                    </a:solidFill>
                  </a:rPr>
                  <a:t>Alloying Additions</a:t>
                </a:r>
              </a:p>
            </c:rich>
          </c:tx>
          <c:layout>
            <c:manualLayout>
              <c:xMode val="edge"/>
              <c:yMode val="edge"/>
              <c:x val="2.2222222222222223E-2"/>
              <c:y val="0.17103382910469528"/>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4528240"/>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'Raz 2015 (Ind Breakdown)'!$H$9</c:f>
              <c:strCache>
                <c:ptCount val="1"/>
                <c:pt idx="0">
                  <c:v>Carbon</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Boron Steel Grade</c:v>
              </c:pt>
            </c:strLit>
          </c:cat>
          <c:val>
            <c:numRef>
              <c:f>'Raz 2015 (Ind Breakdown)'!$M$9</c:f>
              <c:numCache>
                <c:formatCode>0.00</c:formatCode>
                <c:ptCount val="1"/>
                <c:pt idx="0">
                  <c:v>0</c:v>
                </c:pt>
              </c:numCache>
            </c:numRef>
          </c:val>
        </c:ser>
        <c:ser>
          <c:idx val="1"/>
          <c:order val="1"/>
          <c:tx>
            <c:strRef>
              <c:f>'Raz 2015 (Ind Breakdown)'!$H$10</c:f>
              <c:strCache>
                <c:ptCount val="1"/>
                <c:pt idx="0">
                  <c:v>High Carbon Ferro Manganese</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Boron Steel Grade</c:v>
              </c:pt>
            </c:strLit>
          </c:cat>
          <c:val>
            <c:numRef>
              <c:f>'Raz 2015 (Ind Breakdown)'!$M$10</c:f>
              <c:numCache>
                <c:formatCode>0.00</c:formatCode>
                <c:ptCount val="1"/>
                <c:pt idx="0">
                  <c:v>12.140005944588278</c:v>
                </c:pt>
              </c:numCache>
            </c:numRef>
          </c:val>
        </c:ser>
        <c:ser>
          <c:idx val="2"/>
          <c:order val="2"/>
          <c:tx>
            <c:strRef>
              <c:f>'Raz 2015 (Ind Breakdown)'!$H$11</c:f>
              <c:strCache>
                <c:ptCount val="1"/>
                <c:pt idx="0">
                  <c:v>Ferro Silicon</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Boron Steel Grade</c:v>
              </c:pt>
            </c:strLit>
          </c:cat>
          <c:val>
            <c:numRef>
              <c:f>'Raz 2015 (Ind Breakdown)'!$M$11</c:f>
              <c:numCache>
                <c:formatCode>0.00</c:formatCode>
                <c:ptCount val="1"/>
                <c:pt idx="0">
                  <c:v>2.3550956201546023</c:v>
                </c:pt>
              </c:numCache>
            </c:numRef>
          </c:val>
        </c:ser>
        <c:ser>
          <c:idx val="3"/>
          <c:order val="3"/>
          <c:tx>
            <c:strRef>
              <c:f>'Raz 2015 (Ind Breakdown)'!$H$12</c:f>
              <c:strCache>
                <c:ptCount val="1"/>
                <c:pt idx="0">
                  <c:v>High Carbon Ferro Chrome</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Boron Steel Grade</c:v>
              </c:pt>
            </c:strLit>
          </c:cat>
          <c:val>
            <c:numRef>
              <c:f>'Raz 2015 (Ind Breakdown)'!$M$12</c:f>
              <c:numCache>
                <c:formatCode>0.00</c:formatCode>
                <c:ptCount val="1"/>
                <c:pt idx="0">
                  <c:v>17.976547264101818</c:v>
                </c:pt>
              </c:numCache>
            </c:numRef>
          </c:val>
        </c:ser>
        <c:ser>
          <c:idx val="4"/>
          <c:order val="4"/>
          <c:tx>
            <c:strRef>
              <c:f>'Raz 2015 (Ind Breakdown)'!$H$13</c:f>
              <c:strCache>
                <c:ptCount val="1"/>
                <c:pt idx="0">
                  <c:v>Ferro Titanium</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Boron Steel Grade</c:v>
              </c:pt>
            </c:strLit>
          </c:cat>
          <c:val>
            <c:numRef>
              <c:f>'Raz 2015 (Ind Breakdown)'!$M$13</c:f>
              <c:numCache>
                <c:formatCode>0.00</c:formatCode>
                <c:ptCount val="1"/>
                <c:pt idx="0">
                  <c:v>1.0996893442810287</c:v>
                </c:pt>
              </c:numCache>
            </c:numRef>
          </c:val>
        </c:ser>
        <c:ser>
          <c:idx val="5"/>
          <c:order val="5"/>
          <c:tx>
            <c:strRef>
              <c:f>'Raz 2015 (Ind Breakdown)'!$H$14</c:f>
              <c:strCache>
                <c:ptCount val="1"/>
                <c:pt idx="0">
                  <c:v>Ferro Boron</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Boron Steel Grade</c:v>
              </c:pt>
            </c:strLit>
          </c:cat>
          <c:val>
            <c:numRef>
              <c:f>'Raz 2015 (Ind Breakdown)'!$M$14</c:f>
              <c:numCache>
                <c:formatCode>0.00</c:formatCode>
                <c:ptCount val="1"/>
                <c:pt idx="0">
                  <c:v>2.2380392100760091</c:v>
                </c:pt>
              </c:numCache>
            </c:numRef>
          </c:val>
        </c:ser>
        <c:ser>
          <c:idx val="6"/>
          <c:order val="6"/>
          <c:tx>
            <c:strRef>
              <c:f>'Raz 2015 (Ind Breakdown)'!$H$15</c:f>
              <c:strCache>
                <c:ptCount val="1"/>
                <c:pt idx="0">
                  <c:v>Calcium-Silicate</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Boron Steel Grade</c:v>
              </c:pt>
            </c:strLit>
          </c:cat>
          <c:val>
            <c:numRef>
              <c:f>'Raz 2015 (Ind Breakdown)'!$M$15</c:f>
              <c:numCache>
                <c:formatCode>0.00</c:formatCode>
                <c:ptCount val="1"/>
                <c:pt idx="0">
                  <c:v>0.4718382877248895</c:v>
                </c:pt>
              </c:numCache>
            </c:numRef>
          </c:val>
        </c:ser>
        <c:ser>
          <c:idx val="7"/>
          <c:order val="7"/>
          <c:tx>
            <c:strRef>
              <c:f>'Raz 2015 (Ind Breakdown)'!$H$16</c:f>
              <c:strCache>
                <c:ptCount val="1"/>
                <c:pt idx="0">
                  <c:v>Aluminium </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Boron Steel Grade</c:v>
              </c:pt>
            </c:strLit>
          </c:cat>
          <c:val>
            <c:numRef>
              <c:f>'Raz 2015 (Ind Breakdown)'!$M$16</c:f>
              <c:numCache>
                <c:formatCode>0.00</c:formatCode>
                <c:ptCount val="1"/>
                <c:pt idx="0">
                  <c:v>12.987840367843953</c:v>
                </c:pt>
              </c:numCache>
            </c:numRef>
          </c:val>
        </c:ser>
        <c:ser>
          <c:idx val="8"/>
          <c:order val="8"/>
          <c:tx>
            <c:strRef>
              <c:f>'Raz 2015 (Ind Breakdown)'!$H$17</c:f>
              <c:strCache>
                <c:ptCount val="1"/>
                <c:pt idx="0">
                  <c:v>High Carbon Ferro Manganese Large</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Boron Steel Grade</c:v>
              </c:pt>
            </c:strLit>
          </c:cat>
          <c:val>
            <c:numRef>
              <c:f>'Raz 2015 (Ind Breakdown)'!$M$17</c:f>
              <c:numCache>
                <c:formatCode>0.00</c:formatCode>
                <c:ptCount val="1"/>
                <c:pt idx="0">
                  <c:v>14.00769916683263</c:v>
                </c:pt>
              </c:numCache>
            </c:numRef>
          </c:val>
        </c:ser>
        <c:ser>
          <c:idx val="9"/>
          <c:order val="9"/>
          <c:tx>
            <c:strRef>
              <c:f>'Raz 2015 (Ind Breakdown)'!$H$18</c:f>
              <c:strCache>
                <c:ptCount val="1"/>
                <c:pt idx="0">
                  <c:v>Silica-Manganese Large</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Boron Steel Grade</c:v>
              </c:pt>
            </c:strLit>
          </c:cat>
          <c:val>
            <c:numRef>
              <c:f>'Raz 2015 (Ind Breakdown)'!$M$18</c:f>
              <c:numCache>
                <c:formatCode>0.00</c:formatCode>
                <c:ptCount val="1"/>
                <c:pt idx="0">
                  <c:v>36.723244794396741</c:v>
                </c:pt>
              </c:numCache>
            </c:numRef>
          </c:val>
        </c:ser>
        <c:dLbls>
          <c:showLegendKey val="0"/>
          <c:showVal val="0"/>
          <c:showCatName val="0"/>
          <c:showSerName val="0"/>
          <c:showPercent val="0"/>
          <c:showBubbleSize val="0"/>
        </c:dLbls>
        <c:gapWidth val="150"/>
        <c:axId val="654529416"/>
        <c:axId val="654529808"/>
      </c:barChart>
      <c:catAx>
        <c:axId val="654529416"/>
        <c:scaling>
          <c:orientation val="minMax"/>
        </c:scaling>
        <c:delete val="0"/>
        <c:axPos val="b"/>
        <c:numFmt formatCode="General" sourceLinked="1"/>
        <c:majorTickMark val="out"/>
        <c:minorTickMark val="none"/>
        <c:tickLblPos val="nextTo"/>
        <c:txPr>
          <a:bodyPr rot="0" vert="horz"/>
          <a:lstStyle/>
          <a:p>
            <a:pPr>
              <a:defRPr lang="en-US" sz="1000" b="1" i="0" u="none" strike="noStrike" baseline="0">
                <a:solidFill>
                  <a:srgbClr val="000000"/>
                </a:solidFill>
                <a:latin typeface="Calibri"/>
                <a:ea typeface="Calibri"/>
                <a:cs typeface="Calibri"/>
              </a:defRPr>
            </a:pPr>
            <a:endParaRPr lang="en-US"/>
          </a:p>
        </c:txPr>
        <c:crossAx val="654529808"/>
        <c:crosses val="autoZero"/>
        <c:auto val="1"/>
        <c:lblAlgn val="ctr"/>
        <c:lblOffset val="100"/>
        <c:noMultiLvlLbl val="0"/>
      </c:catAx>
      <c:valAx>
        <c:axId val="654529808"/>
        <c:scaling>
          <c:orientation val="minMax"/>
        </c:scaling>
        <c:delete val="0"/>
        <c:axPos val="l"/>
        <c:majorGridlines/>
        <c:title>
          <c:tx>
            <c:rich>
              <a:bodyPr/>
              <a:lstStyle/>
              <a:p>
                <a:pPr>
                  <a:defRPr lang="en-US" sz="1100" b="0" i="0" u="none" strike="noStrike" baseline="0">
                    <a:solidFill>
                      <a:srgbClr val="000000"/>
                    </a:solidFill>
                    <a:latin typeface="Arial"/>
                    <a:ea typeface="Arial"/>
                    <a:cs typeface="Arial"/>
                  </a:defRPr>
                </a:pPr>
                <a:r>
                  <a:rPr lang="en-GB" sz="1000" b="1" i="0" u="none" strike="noStrike" baseline="0">
                    <a:solidFill>
                      <a:srgbClr val="000000"/>
                    </a:solidFill>
                    <a:latin typeface="Calibri"/>
                  </a:rPr>
                  <a:t>Breakdown of individual contribution </a:t>
                </a:r>
              </a:p>
              <a:p>
                <a:pPr>
                  <a:defRPr lang="en-US" sz="1100" b="0" i="0" u="none" strike="noStrike" baseline="0">
                    <a:solidFill>
                      <a:srgbClr val="000000"/>
                    </a:solidFill>
                    <a:latin typeface="Arial"/>
                    <a:ea typeface="Arial"/>
                    <a:cs typeface="Arial"/>
                  </a:defRPr>
                </a:pPr>
                <a:r>
                  <a:rPr lang="en-GB" sz="1000" b="1" i="0" u="none" strike="noStrike" baseline="0">
                    <a:solidFill>
                      <a:srgbClr val="000000"/>
                    </a:solidFill>
                    <a:latin typeface="Calibri"/>
                  </a:rPr>
                  <a:t>of alloying additions  (%)</a:t>
                </a:r>
              </a:p>
            </c:rich>
          </c:tx>
          <c:layout>
            <c:manualLayout>
              <c:xMode val="edge"/>
              <c:yMode val="edge"/>
              <c:x val="1.9428837770824495E-2"/>
              <c:y val="0.16205151880444912"/>
            </c:manualLayout>
          </c:layout>
          <c:overlay val="0"/>
        </c:title>
        <c:numFmt formatCode="0.00" sourceLinked="1"/>
        <c:majorTickMark val="out"/>
        <c:minorTickMark val="none"/>
        <c:tickLblPos val="nextTo"/>
        <c:txPr>
          <a:bodyPr rot="0" vert="horz"/>
          <a:lstStyle/>
          <a:p>
            <a:pPr>
              <a:defRPr lang="en-US" sz="1000" b="0" i="0" u="none" strike="noStrike" baseline="0">
                <a:solidFill>
                  <a:srgbClr val="000000"/>
                </a:solidFill>
                <a:latin typeface="Calibri"/>
                <a:ea typeface="Calibri"/>
                <a:cs typeface="Calibri"/>
              </a:defRPr>
            </a:pPr>
            <a:endParaRPr lang="en-US"/>
          </a:p>
        </c:txPr>
        <c:crossAx val="654529416"/>
        <c:crosses val="autoZero"/>
        <c:crossBetween val="between"/>
        <c:majorUnit val="10"/>
      </c:valAx>
    </c:plotArea>
    <c:legend>
      <c:legendPos val="r"/>
      <c:layout>
        <c:manualLayout>
          <c:xMode val="edge"/>
          <c:yMode val="edge"/>
          <c:x val="0.66602176911292199"/>
          <c:y val="5.7691143655902895E-2"/>
          <c:w val="0.32004934127306778"/>
          <c:h val="0.87398953343806363"/>
        </c:manualLayout>
      </c:layout>
      <c:overlay val="0"/>
      <c:txPr>
        <a:bodyPr/>
        <a:lstStyle/>
        <a:p>
          <a:pPr>
            <a:defRPr lang="en-US" sz="92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'Raz 2015 (Ind Breakdown)'!$H$26</c:f>
              <c:strCache>
                <c:ptCount val="1"/>
                <c:pt idx="0">
                  <c:v>Carbon</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DP800 Steel Grade</c:v>
              </c:pt>
            </c:strLit>
          </c:cat>
          <c:val>
            <c:numRef>
              <c:f>'Raz 2015 (Ind Breakdown)'!$M$26</c:f>
              <c:numCache>
                <c:formatCode>0.00</c:formatCode>
                <c:ptCount val="1"/>
                <c:pt idx="0">
                  <c:v>0</c:v>
                </c:pt>
              </c:numCache>
            </c:numRef>
          </c:val>
        </c:ser>
        <c:ser>
          <c:idx val="1"/>
          <c:order val="1"/>
          <c:tx>
            <c:strRef>
              <c:f>'Raz 2015 (Ind Breakdown)'!$H$27</c:f>
              <c:strCache>
                <c:ptCount val="1"/>
                <c:pt idx="0">
                  <c:v>High Carbon Ferro Manganese</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DP800 Steel Grade</c:v>
              </c:pt>
            </c:strLit>
          </c:cat>
          <c:val>
            <c:numRef>
              <c:f>'Raz 2015 (Ind Breakdown)'!$M$27</c:f>
              <c:numCache>
                <c:formatCode>0.00</c:formatCode>
                <c:ptCount val="1"/>
                <c:pt idx="0">
                  <c:v>2.6557837016206145</c:v>
                </c:pt>
              </c:numCache>
            </c:numRef>
          </c:val>
        </c:ser>
        <c:ser>
          <c:idx val="2"/>
          <c:order val="2"/>
          <c:tx>
            <c:strRef>
              <c:f>'Raz 2015 (Ind Breakdown)'!$H$28</c:f>
              <c:strCache>
                <c:ptCount val="1"/>
                <c:pt idx="0">
                  <c:v>Ferro Silicon</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DP800 Steel Grade</c:v>
              </c:pt>
            </c:strLit>
          </c:cat>
          <c:val>
            <c:numRef>
              <c:f>'Raz 2015 (Ind Breakdown)'!$M$28</c:f>
              <c:numCache>
                <c:formatCode>0.00</c:formatCode>
                <c:ptCount val="1"/>
                <c:pt idx="0">
                  <c:v>7.7693321446532853</c:v>
                </c:pt>
              </c:numCache>
            </c:numRef>
          </c:val>
        </c:ser>
        <c:ser>
          <c:idx val="3"/>
          <c:order val="3"/>
          <c:tx>
            <c:strRef>
              <c:f>'Raz 2015 (Ind Breakdown)'!$H$29</c:f>
              <c:strCache>
                <c:ptCount val="1"/>
                <c:pt idx="0">
                  <c:v>High Carbon Ferro Chrome</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DP800 Steel Grade</c:v>
              </c:pt>
            </c:strLit>
          </c:cat>
          <c:val>
            <c:numRef>
              <c:f>'Raz 2015 (Ind Breakdown)'!$M$29</c:f>
              <c:numCache>
                <c:formatCode>0.00</c:formatCode>
                <c:ptCount val="1"/>
                <c:pt idx="0">
                  <c:v>18.555075461989333</c:v>
                </c:pt>
              </c:numCache>
            </c:numRef>
          </c:val>
        </c:ser>
        <c:ser>
          <c:idx val="4"/>
          <c:order val="4"/>
          <c:tx>
            <c:strRef>
              <c:f>'Raz 2015 (Ind Breakdown)'!$H$30</c:f>
              <c:strCache>
                <c:ptCount val="1"/>
                <c:pt idx="0">
                  <c:v>Ferro Niobium</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DP800 Steel Grade</c:v>
              </c:pt>
            </c:strLit>
          </c:cat>
          <c:val>
            <c:numRef>
              <c:f>'Raz 2015 (Ind Breakdown)'!$M$30</c:f>
              <c:numCache>
                <c:formatCode>0.00</c:formatCode>
                <c:ptCount val="1"/>
                <c:pt idx="0">
                  <c:v>0.56290937935349961</c:v>
                </c:pt>
              </c:numCache>
            </c:numRef>
          </c:val>
        </c:ser>
        <c:ser>
          <c:idx val="5"/>
          <c:order val="5"/>
          <c:tx>
            <c:strRef>
              <c:f>'Raz 2015 (Ind Breakdown)'!$H$31</c:f>
              <c:strCache>
                <c:ptCount val="1"/>
                <c:pt idx="0">
                  <c:v>Ferro Titanium</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DP800 Steel Grade</c:v>
              </c:pt>
            </c:strLit>
          </c:cat>
          <c:val>
            <c:numRef>
              <c:f>'Raz 2015 (Ind Breakdown)'!$M$31</c:f>
              <c:numCache>
                <c:formatCode>0.00</c:formatCode>
                <c:ptCount val="1"/>
                <c:pt idx="0">
                  <c:v>0.50038830833305958</c:v>
                </c:pt>
              </c:numCache>
            </c:numRef>
          </c:val>
        </c:ser>
        <c:ser>
          <c:idx val="6"/>
          <c:order val="6"/>
          <c:tx>
            <c:strRef>
              <c:f>'Raz 2015 (Ind Breakdown)'!$H$32</c:f>
              <c:strCache>
                <c:ptCount val="1"/>
                <c:pt idx="0">
                  <c:v>Electrolytic-Manganese</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DP800 Steel Grade</c:v>
              </c:pt>
            </c:strLit>
          </c:cat>
          <c:val>
            <c:numRef>
              <c:f>'Raz 2015 (Ind Breakdown)'!$M$32</c:f>
              <c:numCache>
                <c:formatCode>0.00</c:formatCode>
                <c:ptCount val="1"/>
                <c:pt idx="0">
                  <c:v>63.831994231933976</c:v>
                </c:pt>
              </c:numCache>
            </c:numRef>
          </c:val>
        </c:ser>
        <c:ser>
          <c:idx val="7"/>
          <c:order val="7"/>
          <c:tx>
            <c:strRef>
              <c:f>'Raz 2015 (Ind Breakdown)'!$H$33</c:f>
              <c:strCache>
                <c:ptCount val="1"/>
                <c:pt idx="0">
                  <c:v>Calcium-Silicate</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DP800 Steel Grade</c:v>
              </c:pt>
            </c:strLit>
          </c:cat>
          <c:val>
            <c:numRef>
              <c:f>'Raz 2015 (Ind Breakdown)'!$M$33</c:f>
              <c:numCache>
                <c:formatCode>0.00</c:formatCode>
                <c:ptCount val="1"/>
                <c:pt idx="0">
                  <c:v>0.21469914556259301</c:v>
                </c:pt>
              </c:numCache>
            </c:numRef>
          </c:val>
        </c:ser>
        <c:ser>
          <c:idx val="8"/>
          <c:order val="8"/>
          <c:tx>
            <c:strRef>
              <c:f>'Raz 2015 (Ind Breakdown)'!$H$34</c:f>
              <c:strCache>
                <c:ptCount val="1"/>
                <c:pt idx="0">
                  <c:v>Aluminium </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DP800 Steel Grade</c:v>
              </c:pt>
            </c:strLit>
          </c:cat>
          <c:val>
            <c:numRef>
              <c:f>'Raz 2015 (Ind Breakdown)'!$M$34</c:f>
              <c:numCache>
                <c:formatCode>0.00</c:formatCode>
                <c:ptCount val="1"/>
                <c:pt idx="0">
                  <c:v>5.9098176265536528</c:v>
                </c:pt>
              </c:numCache>
            </c:numRef>
          </c:val>
        </c:ser>
        <c:dLbls>
          <c:showLegendKey val="0"/>
          <c:showVal val="0"/>
          <c:showCatName val="0"/>
          <c:showSerName val="0"/>
          <c:showPercent val="0"/>
          <c:showBubbleSize val="0"/>
        </c:dLbls>
        <c:gapWidth val="150"/>
        <c:axId val="654530592"/>
        <c:axId val="654530984"/>
      </c:barChart>
      <c:catAx>
        <c:axId val="654530592"/>
        <c:scaling>
          <c:orientation val="minMax"/>
        </c:scaling>
        <c:delete val="0"/>
        <c:axPos val="b"/>
        <c:numFmt formatCode="General" sourceLinked="1"/>
        <c:majorTickMark val="out"/>
        <c:minorTickMark val="none"/>
        <c:tickLblPos val="nextTo"/>
        <c:txPr>
          <a:bodyPr rot="0" vert="horz"/>
          <a:lstStyle/>
          <a:p>
            <a:pPr>
              <a:defRPr lang="en-US" sz="1000" b="1" i="0" u="none" strike="noStrike" baseline="0">
                <a:solidFill>
                  <a:srgbClr val="000000"/>
                </a:solidFill>
                <a:latin typeface="Calibri"/>
                <a:ea typeface="Calibri"/>
                <a:cs typeface="Calibri"/>
              </a:defRPr>
            </a:pPr>
            <a:endParaRPr lang="en-US"/>
          </a:p>
        </c:txPr>
        <c:crossAx val="654530984"/>
        <c:crosses val="autoZero"/>
        <c:auto val="1"/>
        <c:lblAlgn val="ctr"/>
        <c:lblOffset val="100"/>
        <c:noMultiLvlLbl val="0"/>
      </c:catAx>
      <c:valAx>
        <c:axId val="654530984"/>
        <c:scaling>
          <c:orientation val="minMax"/>
        </c:scaling>
        <c:delete val="0"/>
        <c:axPos val="l"/>
        <c:majorGridlines/>
        <c:title>
          <c:tx>
            <c:rich>
              <a:bodyPr/>
              <a:lstStyle/>
              <a:p>
                <a:pPr>
                  <a:defRPr lang="en-US" sz="1100" b="0" i="0" u="none" strike="noStrike" baseline="0">
                    <a:solidFill>
                      <a:srgbClr val="000000"/>
                    </a:solidFill>
                    <a:latin typeface="Arial"/>
                    <a:ea typeface="Arial"/>
                    <a:cs typeface="Arial"/>
                  </a:defRPr>
                </a:pPr>
                <a:r>
                  <a:rPr lang="en-GB" sz="1000" b="1" i="0" u="none" strike="noStrike" baseline="0">
                    <a:solidFill>
                      <a:srgbClr val="000000"/>
                    </a:solidFill>
                    <a:latin typeface="Calibri"/>
                  </a:rPr>
                  <a:t>Breakdown of individual contribution </a:t>
                </a:r>
              </a:p>
              <a:p>
                <a:pPr>
                  <a:defRPr lang="en-US" sz="1100" b="0" i="0" u="none" strike="noStrike" baseline="0">
                    <a:solidFill>
                      <a:srgbClr val="000000"/>
                    </a:solidFill>
                    <a:latin typeface="Arial"/>
                    <a:ea typeface="Arial"/>
                    <a:cs typeface="Arial"/>
                  </a:defRPr>
                </a:pPr>
                <a:r>
                  <a:rPr lang="en-GB" sz="1000" b="1" i="0" u="none" strike="noStrike" baseline="0">
                    <a:solidFill>
                      <a:srgbClr val="000000"/>
                    </a:solidFill>
                    <a:latin typeface="Calibri"/>
                  </a:rPr>
                  <a:t>of alloying additions  (%)</a:t>
                </a:r>
              </a:p>
            </c:rich>
          </c:tx>
          <c:layout>
            <c:manualLayout>
              <c:xMode val="edge"/>
              <c:yMode val="edge"/>
              <c:x val="1.9428837770824495E-2"/>
              <c:y val="0.16205136122690542"/>
            </c:manualLayout>
          </c:layout>
          <c:overlay val="0"/>
        </c:title>
        <c:numFmt formatCode="0.00" sourceLinked="1"/>
        <c:majorTickMark val="out"/>
        <c:minorTickMark val="none"/>
        <c:tickLblPos val="nextTo"/>
        <c:txPr>
          <a:bodyPr rot="0" vert="horz"/>
          <a:lstStyle/>
          <a:p>
            <a:pPr>
              <a:defRPr lang="en-US" sz="1000" b="0" i="0" u="none" strike="noStrike" baseline="0">
                <a:solidFill>
                  <a:srgbClr val="000000"/>
                </a:solidFill>
                <a:latin typeface="Calibri"/>
                <a:ea typeface="Calibri"/>
                <a:cs typeface="Calibri"/>
              </a:defRPr>
            </a:pPr>
            <a:endParaRPr lang="en-US"/>
          </a:p>
        </c:txPr>
        <c:crossAx val="654530592"/>
        <c:crosses val="autoZero"/>
        <c:crossBetween val="between"/>
      </c:valAx>
    </c:plotArea>
    <c:legend>
      <c:legendPos val="r"/>
      <c:layout>
        <c:manualLayout>
          <c:xMode val="edge"/>
          <c:yMode val="edge"/>
          <c:x val="0.66602176911292199"/>
          <c:y val="5.7690974902647123E-2"/>
          <c:w val="0.32226508804303389"/>
          <c:h val="0.78096615374058631"/>
        </c:manualLayout>
      </c:layout>
      <c:overlay val="0"/>
      <c:txPr>
        <a:bodyPr/>
        <a:lstStyle/>
        <a:p>
          <a:pPr>
            <a:defRPr lang="en-US" sz="92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'Raz 2015 (Ind Breakdown)'!$H$44</c:f>
              <c:strCache>
                <c:ptCount val="1"/>
                <c:pt idx="0">
                  <c:v>High Carbon Ferro Manganese</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DP600 Steel Grade</c:v>
              </c:pt>
            </c:strLit>
          </c:cat>
          <c:val>
            <c:numRef>
              <c:f>'Raz 2015 (Ind Breakdown)'!$M$44</c:f>
              <c:numCache>
                <c:formatCode>0.00</c:formatCode>
                <c:ptCount val="1"/>
                <c:pt idx="0">
                  <c:v>2.2700566429785152</c:v>
                </c:pt>
              </c:numCache>
            </c:numRef>
          </c:val>
        </c:ser>
        <c:ser>
          <c:idx val="1"/>
          <c:order val="1"/>
          <c:tx>
            <c:strRef>
              <c:f>'Raz 2015 (Ind Breakdown)'!$H$45</c:f>
              <c:strCache>
                <c:ptCount val="1"/>
                <c:pt idx="0">
                  <c:v>Medium Carbon Ferro Manganese</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DP600 Steel Grade</c:v>
              </c:pt>
            </c:strLit>
          </c:cat>
          <c:val>
            <c:numRef>
              <c:f>'Raz 2015 (Ind Breakdown)'!$M$45</c:f>
              <c:numCache>
                <c:formatCode>0.00</c:formatCode>
                <c:ptCount val="1"/>
                <c:pt idx="0">
                  <c:v>7.292690236188724</c:v>
                </c:pt>
              </c:numCache>
            </c:numRef>
          </c:val>
        </c:ser>
        <c:ser>
          <c:idx val="2"/>
          <c:order val="2"/>
          <c:tx>
            <c:strRef>
              <c:f>'Raz 2015 (Ind Breakdown)'!$H$46</c:f>
              <c:strCache>
                <c:ptCount val="1"/>
                <c:pt idx="0">
                  <c:v>Ferro Silicon</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DP600 Steel Grade</c:v>
              </c:pt>
            </c:strLit>
          </c:cat>
          <c:val>
            <c:numRef>
              <c:f>'Raz 2015 (Ind Breakdown)'!$M$46</c:f>
              <c:numCache>
                <c:formatCode>0.00</c:formatCode>
                <c:ptCount val="1"/>
                <c:pt idx="0">
                  <c:v>4.7946234742734317</c:v>
                </c:pt>
              </c:numCache>
            </c:numRef>
          </c:val>
        </c:ser>
        <c:ser>
          <c:idx val="3"/>
          <c:order val="3"/>
          <c:tx>
            <c:strRef>
              <c:f>'Raz 2015 (Ind Breakdown)'!$H$47</c:f>
              <c:strCache>
                <c:ptCount val="1"/>
                <c:pt idx="0">
                  <c:v>High Carbon Ferro Chrome</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DP600 Steel Grade</c:v>
              </c:pt>
            </c:strLit>
          </c:cat>
          <c:val>
            <c:numRef>
              <c:f>'Raz 2015 (Ind Breakdown)'!$M$47</c:f>
              <c:numCache>
                <c:formatCode>0.00</c:formatCode>
                <c:ptCount val="1"/>
                <c:pt idx="0">
                  <c:v>6.3845343083770585</c:v>
                </c:pt>
              </c:numCache>
            </c:numRef>
          </c:val>
        </c:ser>
        <c:ser>
          <c:idx val="4"/>
          <c:order val="4"/>
          <c:tx>
            <c:strRef>
              <c:f>'Raz 2015 (Ind Breakdown)'!$H$48</c:f>
              <c:strCache>
                <c:ptCount val="1"/>
                <c:pt idx="0">
                  <c:v>Aluminium </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DP600 Steel Grade</c:v>
              </c:pt>
            </c:strLit>
          </c:cat>
          <c:val>
            <c:numRef>
              <c:f>'Raz 2015 (Ind Breakdown)'!$M$48</c:f>
              <c:numCache>
                <c:formatCode>0.00</c:formatCode>
                <c:ptCount val="1"/>
                <c:pt idx="0">
                  <c:v>7.8929272093035765</c:v>
                </c:pt>
              </c:numCache>
            </c:numRef>
          </c:val>
        </c:ser>
        <c:ser>
          <c:idx val="5"/>
          <c:order val="5"/>
          <c:tx>
            <c:strRef>
              <c:f>'Raz 2015 (Ind Breakdown)'!$H$49</c:f>
              <c:strCache>
                <c:ptCount val="1"/>
                <c:pt idx="0">
                  <c:v>Medium Carbon Ferro Manganese Large</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DP600 Steel Grade</c:v>
              </c:pt>
            </c:strLit>
          </c:cat>
          <c:val>
            <c:numRef>
              <c:f>'Raz 2015 (Ind Breakdown)'!$M$49</c:f>
              <c:numCache>
                <c:formatCode>0.00</c:formatCode>
                <c:ptCount val="1"/>
                <c:pt idx="0">
                  <c:v>15.767978889056693</c:v>
                </c:pt>
              </c:numCache>
            </c:numRef>
          </c:val>
        </c:ser>
        <c:ser>
          <c:idx val="6"/>
          <c:order val="6"/>
          <c:tx>
            <c:strRef>
              <c:f>'Raz 2015 (Ind Breakdown)'!$H$50</c:f>
              <c:strCache>
                <c:ptCount val="1"/>
                <c:pt idx="0">
                  <c:v>Silica-Manganese Large</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DP600 Steel Grade</c:v>
              </c:pt>
            </c:strLit>
          </c:cat>
          <c:val>
            <c:numRef>
              <c:f>'Raz 2015 (Ind Breakdown)'!$M$50</c:f>
              <c:numCache>
                <c:formatCode>0.00</c:formatCode>
                <c:ptCount val="1"/>
                <c:pt idx="0">
                  <c:v>35.707725360622398</c:v>
                </c:pt>
              </c:numCache>
            </c:numRef>
          </c:val>
        </c:ser>
        <c:ser>
          <c:idx val="7"/>
          <c:order val="7"/>
          <c:tx>
            <c:strRef>
              <c:f>'Raz 2015 (Ind Breakdown)'!$H$51</c:f>
              <c:strCache>
                <c:ptCount val="1"/>
                <c:pt idx="0">
                  <c:v>Low Carbon Ferro Chrome</c:v>
                </c:pt>
              </c:strCache>
            </c:strRef>
          </c:tx>
          <c:invertIfNegative val="0"/>
          <c:dLbls>
            <c:spPr>
              <a:noFill/>
              <a:ln w="25400">
                <a:noFill/>
              </a:ln>
            </c:spPr>
            <c:txPr>
              <a:bodyPr wrap="square" lIns="38100" tIns="19050" rIns="38100" bIns="19050" anchor="ctr">
                <a:spAutoFit/>
              </a:bodyPr>
              <a:lstStyle/>
              <a:p>
                <a:pPr>
                  <a:defRPr lang="en-US" sz="1000" b="0" i="0" u="none" strike="noStrike" baseline="0">
                    <a:solidFill>
                      <a:srgbClr val="000000"/>
                    </a:solidFill>
                    <a:latin typeface="Calibri"/>
                    <a:ea typeface="Calibri"/>
                    <a:cs typeface="Calibri"/>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DP600 Steel Grade</c:v>
              </c:pt>
            </c:strLit>
          </c:cat>
          <c:val>
            <c:numRef>
              <c:f>'Raz 2015 (Ind Breakdown)'!$M$51</c:f>
              <c:numCache>
                <c:formatCode>0.00</c:formatCode>
                <c:ptCount val="1"/>
                <c:pt idx="0">
                  <c:v>19.889463879199589</c:v>
                </c:pt>
              </c:numCache>
            </c:numRef>
          </c:val>
        </c:ser>
        <c:dLbls>
          <c:showLegendKey val="0"/>
          <c:showVal val="0"/>
          <c:showCatName val="0"/>
          <c:showSerName val="0"/>
          <c:showPercent val="0"/>
          <c:showBubbleSize val="0"/>
        </c:dLbls>
        <c:gapWidth val="150"/>
        <c:axId val="654531768"/>
        <c:axId val="659734560"/>
      </c:barChart>
      <c:catAx>
        <c:axId val="654531768"/>
        <c:scaling>
          <c:orientation val="minMax"/>
        </c:scaling>
        <c:delete val="0"/>
        <c:axPos val="b"/>
        <c:numFmt formatCode="General" sourceLinked="1"/>
        <c:majorTickMark val="out"/>
        <c:minorTickMark val="none"/>
        <c:tickLblPos val="nextTo"/>
        <c:txPr>
          <a:bodyPr rot="0" vert="horz"/>
          <a:lstStyle/>
          <a:p>
            <a:pPr>
              <a:defRPr lang="en-US" sz="1000" b="1" i="0" u="none" strike="noStrike" baseline="0">
                <a:solidFill>
                  <a:srgbClr val="000000"/>
                </a:solidFill>
                <a:latin typeface="Calibri"/>
                <a:ea typeface="Calibri"/>
                <a:cs typeface="Calibri"/>
              </a:defRPr>
            </a:pPr>
            <a:endParaRPr lang="en-US"/>
          </a:p>
        </c:txPr>
        <c:crossAx val="659734560"/>
        <c:crosses val="autoZero"/>
        <c:auto val="1"/>
        <c:lblAlgn val="ctr"/>
        <c:lblOffset val="100"/>
        <c:noMultiLvlLbl val="0"/>
      </c:catAx>
      <c:valAx>
        <c:axId val="659734560"/>
        <c:scaling>
          <c:orientation val="minMax"/>
        </c:scaling>
        <c:delete val="0"/>
        <c:axPos val="l"/>
        <c:majorGridlines/>
        <c:title>
          <c:tx>
            <c:rich>
              <a:bodyPr/>
              <a:lstStyle/>
              <a:p>
                <a:pPr>
                  <a:defRPr lang="en-US" sz="1100" b="0" i="0" u="none" strike="noStrike" baseline="0">
                    <a:solidFill>
                      <a:srgbClr val="000000"/>
                    </a:solidFill>
                    <a:latin typeface="Arial"/>
                    <a:ea typeface="Arial"/>
                    <a:cs typeface="Arial"/>
                  </a:defRPr>
                </a:pPr>
                <a:r>
                  <a:rPr lang="en-GB" sz="1000" b="1" i="0" u="none" strike="noStrike" baseline="0">
                    <a:solidFill>
                      <a:srgbClr val="000000"/>
                    </a:solidFill>
                    <a:latin typeface="Calibri"/>
                  </a:rPr>
                  <a:t>Breakdown of individual contribution </a:t>
                </a:r>
              </a:p>
              <a:p>
                <a:pPr>
                  <a:defRPr lang="en-US" sz="1100" b="0" i="0" u="none" strike="noStrike" baseline="0">
                    <a:solidFill>
                      <a:srgbClr val="000000"/>
                    </a:solidFill>
                    <a:latin typeface="Arial"/>
                    <a:ea typeface="Arial"/>
                    <a:cs typeface="Arial"/>
                  </a:defRPr>
                </a:pPr>
                <a:r>
                  <a:rPr lang="en-GB" sz="1000" b="1" i="0" u="none" strike="noStrike" baseline="0">
                    <a:solidFill>
                      <a:srgbClr val="000000"/>
                    </a:solidFill>
                    <a:latin typeface="Calibri"/>
                  </a:rPr>
                  <a:t>of alloying additions  (%)</a:t>
                </a:r>
              </a:p>
            </c:rich>
          </c:tx>
          <c:layout>
            <c:manualLayout>
              <c:xMode val="edge"/>
              <c:yMode val="edge"/>
              <c:x val="1.9428911403801093E-2"/>
              <c:y val="6.4204046412006735E-2"/>
            </c:manualLayout>
          </c:layout>
          <c:overlay val="0"/>
        </c:title>
        <c:numFmt formatCode="0.00" sourceLinked="1"/>
        <c:majorTickMark val="out"/>
        <c:minorTickMark val="none"/>
        <c:tickLblPos val="nextTo"/>
        <c:txPr>
          <a:bodyPr rot="0" vert="horz"/>
          <a:lstStyle/>
          <a:p>
            <a:pPr>
              <a:defRPr lang="en-US" sz="1000" b="0" i="0" u="none" strike="noStrike" baseline="0">
                <a:solidFill>
                  <a:srgbClr val="000000"/>
                </a:solidFill>
                <a:latin typeface="Calibri"/>
                <a:ea typeface="Calibri"/>
                <a:cs typeface="Calibri"/>
              </a:defRPr>
            </a:pPr>
            <a:endParaRPr lang="en-US"/>
          </a:p>
        </c:txPr>
        <c:crossAx val="654531768"/>
        <c:crosses val="autoZero"/>
        <c:crossBetween val="between"/>
        <c:majorUnit val="10"/>
      </c:valAx>
    </c:plotArea>
    <c:legend>
      <c:legendPos val="r"/>
      <c:layout>
        <c:manualLayout>
          <c:xMode val="edge"/>
          <c:yMode val="edge"/>
          <c:x val="0.66602176911292199"/>
          <c:y val="0.11797677251127953"/>
          <c:w val="0.32226508804303389"/>
          <c:h val="0.78096615374058631"/>
        </c:manualLayout>
      </c:layout>
      <c:overlay val="0"/>
      <c:txPr>
        <a:bodyPr/>
        <a:lstStyle/>
        <a:p>
          <a:pPr>
            <a:defRPr lang="en-US" sz="92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r>
              <a:rPr lang="en-GB" baseline="0"/>
              <a:t>Breakdown of global ferro-alloy production </a:t>
            </a:r>
          </a:p>
          <a:p>
            <a:pPr>
              <a:defRPr lang="en-US" sz="1400" b="0" i="0" u="none" strike="noStrike" kern="1200" spc="0" baseline="0">
                <a:solidFill>
                  <a:schemeClr val="tx1">
                    <a:lumMod val="65000"/>
                    <a:lumOff val="35000"/>
                  </a:schemeClr>
                </a:solidFill>
                <a:latin typeface="+mn-lt"/>
                <a:ea typeface="+mn-ea"/>
                <a:cs typeface="+mn-cs"/>
              </a:defRPr>
            </a:pPr>
            <a:r>
              <a:rPr lang="en-GB" baseline="0"/>
              <a:t>by individual country </a:t>
            </a:r>
          </a:p>
          <a:p>
            <a:pPr>
              <a:defRPr lang="en-US" sz="1400" b="0" i="0" u="none" strike="noStrike" kern="1200" spc="0" baseline="0">
                <a:solidFill>
                  <a:schemeClr val="tx1">
                    <a:lumMod val="65000"/>
                    <a:lumOff val="35000"/>
                  </a:schemeClr>
                </a:solidFill>
                <a:latin typeface="+mn-lt"/>
                <a:ea typeface="+mn-ea"/>
                <a:cs typeface="+mn-cs"/>
              </a:defRPr>
            </a:pPr>
            <a:r>
              <a:rPr lang="en-GB" baseline="0"/>
              <a:t>for 5 different ferro-alloys</a:t>
            </a:r>
            <a:endParaRPr lang="en-GB"/>
          </a:p>
        </c:rich>
      </c:tx>
      <c:overlay val="0"/>
      <c:spPr>
        <a:noFill/>
        <a:ln>
          <a:noFill/>
        </a:ln>
        <a:effectLst/>
      </c:spPr>
    </c:title>
    <c:autoTitleDeleted val="0"/>
    <c:plotArea>
      <c:layout/>
      <c:barChart>
        <c:barDir val="col"/>
        <c:grouping val="stacked"/>
        <c:varyColors val="0"/>
        <c:ser>
          <c:idx val="0"/>
          <c:order val="0"/>
          <c:tx>
            <c:strRef>
              <c:f>'7.Ferro-alloy Country Split'!$E$14</c:f>
              <c:strCache>
                <c:ptCount val="1"/>
                <c:pt idx="0">
                  <c:v>China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'7.Ferro-alloy Country Split'!$D$15:$D$19</c:f>
              <c:strCache>
                <c:ptCount val="5"/>
                <c:pt idx="0">
                  <c:v>Fe-Cr</c:v>
                </c:pt>
                <c:pt idx="1">
                  <c:v>Fe-Mn</c:v>
                </c:pt>
                <c:pt idx="2">
                  <c:v>Fe-Ni</c:v>
                </c:pt>
                <c:pt idx="3">
                  <c:v>Fe-Si</c:v>
                </c:pt>
                <c:pt idx="4">
                  <c:v>Si-Mn</c:v>
                </c:pt>
              </c:strCache>
            </c:strRef>
          </c:cat>
          <c:val>
            <c:numRef>
              <c:f>'7.Ferro-alloy Country Split'!$E$15:$E$19</c:f>
              <c:numCache>
                <c:formatCode>0.00</c:formatCode>
                <c:ptCount val="5"/>
                <c:pt idx="0">
                  <c:v>35.744680851063784</c:v>
                </c:pt>
                <c:pt idx="1">
                  <c:v>49.404015056461731</c:v>
                </c:pt>
                <c:pt idx="2">
                  <c:v>51.282051282051313</c:v>
                </c:pt>
                <c:pt idx="3">
                  <c:v>69.356872635561018</c:v>
                </c:pt>
                <c:pt idx="4">
                  <c:v>63.516535848222262</c:v>
                </c:pt>
              </c:numCache>
            </c:numRef>
          </c:val>
        </c:ser>
        <c:ser>
          <c:idx val="1"/>
          <c:order val="1"/>
          <c:tx>
            <c:strRef>
              <c:f>'7.Ferro-alloy Country Split'!$F$14</c:f>
              <c:strCache>
                <c:ptCount val="1"/>
                <c:pt idx="0">
                  <c:v>South Africa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'7.Ferro-alloy Country Split'!$D$15:$D$19</c:f>
              <c:strCache>
                <c:ptCount val="5"/>
                <c:pt idx="0">
                  <c:v>Fe-Cr</c:v>
                </c:pt>
                <c:pt idx="1">
                  <c:v>Fe-Mn</c:v>
                </c:pt>
                <c:pt idx="2">
                  <c:v>Fe-Ni</c:v>
                </c:pt>
                <c:pt idx="3">
                  <c:v>Fe-Si</c:v>
                </c:pt>
                <c:pt idx="4">
                  <c:v>Si-Mn</c:v>
                </c:pt>
              </c:strCache>
            </c:strRef>
          </c:cat>
          <c:val>
            <c:numRef>
              <c:f>'7.Ferro-alloy Country Split'!$F$15:$F$19</c:f>
              <c:numCache>
                <c:formatCode>0.00</c:formatCode>
                <c:ptCount val="5"/>
                <c:pt idx="0">
                  <c:v>34.042553191489368</c:v>
                </c:pt>
                <c:pt idx="1">
                  <c:v>11.449184441656209</c:v>
                </c:pt>
              </c:numCache>
            </c:numRef>
          </c:val>
        </c:ser>
        <c:ser>
          <c:idx val="2"/>
          <c:order val="2"/>
          <c:tx>
            <c:strRef>
              <c:f>'7.Ferro-alloy Country Split'!$G$14</c:f>
              <c:strCache>
                <c:ptCount val="1"/>
                <c:pt idx="0">
                  <c:v>Kazakhstan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'7.Ferro-alloy Country Split'!$D$15:$D$19</c:f>
              <c:strCache>
                <c:ptCount val="5"/>
                <c:pt idx="0">
                  <c:v>Fe-Cr</c:v>
                </c:pt>
                <c:pt idx="1">
                  <c:v>Fe-Mn</c:v>
                </c:pt>
                <c:pt idx="2">
                  <c:v>Fe-Ni</c:v>
                </c:pt>
                <c:pt idx="3">
                  <c:v>Fe-Si</c:v>
                </c:pt>
                <c:pt idx="4">
                  <c:v>Si-Mn</c:v>
                </c:pt>
              </c:strCache>
            </c:strRef>
          </c:cat>
          <c:val>
            <c:numRef>
              <c:f>'7.Ferro-alloy Country Split'!$G$15:$G$19</c:f>
              <c:numCache>
                <c:formatCode>General</c:formatCode>
                <c:ptCount val="5"/>
                <c:pt idx="0" formatCode="0.00">
                  <c:v>10.212765957446809</c:v>
                </c:pt>
              </c:numCache>
            </c:numRef>
          </c:val>
        </c:ser>
        <c:ser>
          <c:idx val="3"/>
          <c:order val="3"/>
          <c:tx>
            <c:strRef>
              <c:f>'7.Ferro-alloy Country Split'!$H$14</c:f>
              <c:strCache>
                <c:ptCount val="1"/>
                <c:pt idx="0">
                  <c:v>Japan</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'7.Ferro-alloy Country Split'!$D$15:$D$19</c:f>
              <c:strCache>
                <c:ptCount val="5"/>
                <c:pt idx="0">
                  <c:v>Fe-Cr</c:v>
                </c:pt>
                <c:pt idx="1">
                  <c:v>Fe-Mn</c:v>
                </c:pt>
                <c:pt idx="2">
                  <c:v>Fe-Ni</c:v>
                </c:pt>
                <c:pt idx="3">
                  <c:v>Fe-Si</c:v>
                </c:pt>
                <c:pt idx="4">
                  <c:v>Si-Mn</c:v>
                </c:pt>
              </c:strCache>
            </c:strRef>
          </c:cat>
          <c:val>
            <c:numRef>
              <c:f>'7.Ferro-alloy Country Split'!$H$15:$H$19</c:f>
              <c:numCache>
                <c:formatCode>General</c:formatCode>
                <c:ptCount val="5"/>
                <c:pt idx="2" formatCode="0.00">
                  <c:v>13.623186813186825</c:v>
                </c:pt>
              </c:numCache>
            </c:numRef>
          </c:val>
        </c:ser>
        <c:ser>
          <c:idx val="4"/>
          <c:order val="4"/>
          <c:tx>
            <c:strRef>
              <c:f>'7.Ferro-alloy Country Split'!$I$14</c:f>
              <c:strCache>
                <c:ptCount val="1"/>
                <c:pt idx="0">
                  <c:v>New Caledonia</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'7.Ferro-alloy Country Split'!$D$15:$D$19</c:f>
              <c:strCache>
                <c:ptCount val="5"/>
                <c:pt idx="0">
                  <c:v>Fe-Cr</c:v>
                </c:pt>
                <c:pt idx="1">
                  <c:v>Fe-Mn</c:v>
                </c:pt>
                <c:pt idx="2">
                  <c:v>Fe-Ni</c:v>
                </c:pt>
                <c:pt idx="3">
                  <c:v>Fe-Si</c:v>
                </c:pt>
                <c:pt idx="4">
                  <c:v>Si-Mn</c:v>
                </c:pt>
              </c:strCache>
            </c:strRef>
          </c:cat>
          <c:val>
            <c:numRef>
              <c:f>'7.Ferro-alloy Country Split'!$I$15:$I$19</c:f>
              <c:numCache>
                <c:formatCode>General</c:formatCode>
                <c:ptCount val="5"/>
                <c:pt idx="2" formatCode="0.00">
                  <c:v>5.2014652014652007</c:v>
                </c:pt>
              </c:numCache>
            </c:numRef>
          </c:val>
        </c:ser>
        <c:ser>
          <c:idx val="5"/>
          <c:order val="5"/>
          <c:tx>
            <c:strRef>
              <c:f>'7.Ferro-alloy Country Split'!$J$14</c:f>
              <c:strCache>
                <c:ptCount val="1"/>
                <c:pt idx="0">
                  <c:v>Russia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'7.Ferro-alloy Country Split'!$D$15:$D$19</c:f>
              <c:strCache>
                <c:ptCount val="5"/>
                <c:pt idx="0">
                  <c:v>Fe-Cr</c:v>
                </c:pt>
                <c:pt idx="1">
                  <c:v>Fe-Mn</c:v>
                </c:pt>
                <c:pt idx="2">
                  <c:v>Fe-Ni</c:v>
                </c:pt>
                <c:pt idx="3">
                  <c:v>Fe-Si</c:v>
                </c:pt>
                <c:pt idx="4">
                  <c:v>Si-Mn</c:v>
                </c:pt>
              </c:strCache>
            </c:strRef>
          </c:cat>
          <c:val>
            <c:numRef>
              <c:f>'7.Ferro-alloy Country Split'!$J$15:$J$19</c:f>
              <c:numCache>
                <c:formatCode>General</c:formatCode>
                <c:ptCount val="5"/>
                <c:pt idx="3" formatCode="0.00">
                  <c:v>13.240857503152572</c:v>
                </c:pt>
              </c:numCache>
            </c:numRef>
          </c:val>
        </c:ser>
        <c:ser>
          <c:idx val="6"/>
          <c:order val="6"/>
          <c:tx>
            <c:strRef>
              <c:f>'7.Ferro-alloy Country Split'!$K$14</c:f>
              <c:strCache>
                <c:ptCount val="1"/>
                <c:pt idx="0">
                  <c:v>Norway</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'7.Ferro-alloy Country Split'!$D$15:$D$19</c:f>
              <c:strCache>
                <c:ptCount val="5"/>
                <c:pt idx="0">
                  <c:v>Fe-Cr</c:v>
                </c:pt>
                <c:pt idx="1">
                  <c:v>Fe-Mn</c:v>
                </c:pt>
                <c:pt idx="2">
                  <c:v>Fe-Ni</c:v>
                </c:pt>
                <c:pt idx="3">
                  <c:v>Fe-Si</c:v>
                </c:pt>
                <c:pt idx="4">
                  <c:v>Si-Mn</c:v>
                </c:pt>
              </c:strCache>
            </c:strRef>
          </c:cat>
          <c:val>
            <c:numRef>
              <c:f>'7.Ferro-alloy Country Split'!$K$15:$K$19</c:f>
              <c:numCache>
                <c:formatCode>General</c:formatCode>
                <c:ptCount val="5"/>
                <c:pt idx="3" formatCode="0.00">
                  <c:v>2.7742749054224487</c:v>
                </c:pt>
              </c:numCache>
            </c:numRef>
          </c:val>
        </c:ser>
        <c:ser>
          <c:idx val="7"/>
          <c:order val="7"/>
          <c:tx>
            <c:strRef>
              <c:f>'7.Ferro-alloy Country Split'!$L$14</c:f>
              <c:strCache>
                <c:ptCount val="1"/>
                <c:pt idx="0">
                  <c:v>India</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'7.Ferro-alloy Country Split'!$D$15:$D$19</c:f>
              <c:strCache>
                <c:ptCount val="5"/>
                <c:pt idx="0">
                  <c:v>Fe-Cr</c:v>
                </c:pt>
                <c:pt idx="1">
                  <c:v>Fe-Mn</c:v>
                </c:pt>
                <c:pt idx="2">
                  <c:v>Fe-Ni</c:v>
                </c:pt>
                <c:pt idx="3">
                  <c:v>Fe-Si</c:v>
                </c:pt>
                <c:pt idx="4">
                  <c:v>Si-Mn</c:v>
                </c:pt>
              </c:strCache>
            </c:strRef>
          </c:cat>
          <c:val>
            <c:numRef>
              <c:f>'7.Ferro-alloy Country Split'!$L$15:$L$19</c:f>
              <c:numCache>
                <c:formatCode>0.00</c:formatCode>
                <c:ptCount val="5"/>
                <c:pt idx="1">
                  <c:v>7.2757214554579708</c:v>
                </c:pt>
                <c:pt idx="4">
                  <c:v>11.021064178990246</c:v>
                </c:pt>
              </c:numCache>
            </c:numRef>
          </c:val>
        </c:ser>
        <c:ser>
          <c:idx val="8"/>
          <c:order val="8"/>
          <c:tx>
            <c:strRef>
              <c:f>'7.Ferro-alloy Country Split'!$M$14</c:f>
              <c:strCache>
                <c:ptCount val="1"/>
                <c:pt idx="0">
                  <c:v>Ukraine</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'7.Ferro-alloy Country Split'!$D$15:$D$19</c:f>
              <c:strCache>
                <c:ptCount val="5"/>
                <c:pt idx="0">
                  <c:v>Fe-Cr</c:v>
                </c:pt>
                <c:pt idx="1">
                  <c:v>Fe-Mn</c:v>
                </c:pt>
                <c:pt idx="2">
                  <c:v>Fe-Ni</c:v>
                </c:pt>
                <c:pt idx="3">
                  <c:v>Fe-Si</c:v>
                </c:pt>
                <c:pt idx="4">
                  <c:v>Si-Mn</c:v>
                </c:pt>
              </c:strCache>
            </c:strRef>
          </c:cat>
          <c:val>
            <c:numRef>
              <c:f>'7.Ferro-alloy Country Split'!$M$15:$M$19</c:f>
              <c:numCache>
                <c:formatCode>General</c:formatCode>
                <c:ptCount val="5"/>
                <c:pt idx="4" formatCode="0.00">
                  <c:v>5.7741532234061559</c:v>
                </c:pt>
              </c:numCache>
            </c:numRef>
          </c:val>
        </c:ser>
        <c:ser>
          <c:idx val="9"/>
          <c:order val="9"/>
          <c:tx>
            <c:strRef>
              <c:f>'7.Ferro-alloy Country Split'!$N$14</c:f>
              <c:strCache>
                <c:ptCount val="1"/>
                <c:pt idx="0">
                  <c:v>Other</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'7.Ferro-alloy Country Split'!$N$15:$N$19</c:f>
              <c:numCache>
                <c:formatCode>0.00</c:formatCode>
                <c:ptCount val="5"/>
                <c:pt idx="0">
                  <c:v>20.000000000000004</c:v>
                </c:pt>
                <c:pt idx="1">
                  <c:v>31.8710790464241</c:v>
                </c:pt>
                <c:pt idx="2">
                  <c:v>29.89329670329673</c:v>
                </c:pt>
                <c:pt idx="3">
                  <c:v>14.62799495586381</c:v>
                </c:pt>
                <c:pt idx="4">
                  <c:v>19.688246749381296</c:v>
                </c:pt>
              </c:numCache>
            </c:numRef>
          </c:val>
        </c:ser>
        <c:dLbls>
          <c:showLegendKey val="0"/>
          <c:showVal val="0"/>
          <c:showCatName val="0"/>
          <c:showSerName val="0"/>
          <c:showPercent val="0"/>
          <c:showBubbleSize val="0"/>
        </c:dLbls>
        <c:gapWidth val="150"/>
        <c:overlap val="100"/>
        <c:axId val="477301512"/>
        <c:axId val="477303080"/>
      </c:barChart>
      <c:catAx>
        <c:axId val="477301512"/>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GB"/>
                  <a:t>Ferro-alloys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477303080"/>
        <c:crosses val="autoZero"/>
        <c:auto val="1"/>
        <c:lblAlgn val="ctr"/>
        <c:lblOffset val="100"/>
        <c:noMultiLvlLbl val="0"/>
      </c:catAx>
      <c:valAx>
        <c:axId val="477303080"/>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GB"/>
                  <a:t>Global</a:t>
                </a:r>
                <a:r>
                  <a:rPr lang="en-GB" baseline="0"/>
                  <a:t> Production (%)</a:t>
                </a:r>
                <a:endParaRPr lang="en-GB"/>
              </a:p>
            </c:rich>
          </c:tx>
          <c:layout>
            <c:manualLayout>
              <c:xMode val="edge"/>
              <c:yMode val="edge"/>
              <c:x val="1.7021276595744678E-2"/>
              <c:y val="0.35759650336595011"/>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4773015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Country specific GWP from GaBi based on the functional unit (1MJ)</a:t>
            </a:r>
            <a:endParaRPr lang="en-US" sz="1050"/>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GWP</c:v>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'8.Average vs Country Specific '!$K$8:$K$15</c:f>
              <c:strCache>
                <c:ptCount val="8"/>
                <c:pt idx="0">
                  <c:v>USA</c:v>
                </c:pt>
                <c:pt idx="1">
                  <c:v>Japan </c:v>
                </c:pt>
                <c:pt idx="2">
                  <c:v>India</c:v>
                </c:pt>
                <c:pt idx="3">
                  <c:v>Germany</c:v>
                </c:pt>
                <c:pt idx="4">
                  <c:v>Brazil</c:v>
                </c:pt>
                <c:pt idx="5">
                  <c:v>France </c:v>
                </c:pt>
                <c:pt idx="6">
                  <c:v>UK</c:v>
                </c:pt>
                <c:pt idx="7">
                  <c:v>Australia</c:v>
                </c:pt>
              </c:strCache>
            </c:strRef>
          </c:cat>
          <c:val>
            <c:numRef>
              <c:f>'8.Average vs Country Specific '!$L$8:$L$15</c:f>
              <c:numCache>
                <c:formatCode>0.000</c:formatCode>
                <c:ptCount val="8"/>
                <c:pt idx="0">
                  <c:v>0.17725021808519797</c:v>
                </c:pt>
                <c:pt idx="1">
                  <c:v>0.16560078743618861</c:v>
                </c:pt>
                <c:pt idx="2">
                  <c:v>0.37204988644569181</c:v>
                </c:pt>
                <c:pt idx="3">
                  <c:v>0.16932118439478527</c:v>
                </c:pt>
                <c:pt idx="4">
                  <c:v>7.0610593642687222E-2</c:v>
                </c:pt>
                <c:pt idx="5">
                  <c:v>2.6268640316227672E-2</c:v>
                </c:pt>
                <c:pt idx="6">
                  <c:v>0.15226023088515156</c:v>
                </c:pt>
                <c:pt idx="7">
                  <c:v>0.2789391754082361</c:v>
                </c:pt>
              </c:numCache>
            </c:numRef>
          </c:val>
        </c:ser>
        <c:dLbls>
          <c:showLegendKey val="0"/>
          <c:showVal val="1"/>
          <c:showCatName val="0"/>
          <c:showSerName val="0"/>
          <c:showPercent val="0"/>
          <c:showBubbleSize val="0"/>
        </c:dLbls>
        <c:gapWidth val="150"/>
        <c:shape val="box"/>
        <c:axId val="477303864"/>
        <c:axId val="477304256"/>
        <c:axId val="0"/>
      </c:bar3DChart>
      <c:catAx>
        <c:axId val="477303864"/>
        <c:scaling>
          <c:orientation val="minMax"/>
        </c:scaling>
        <c:delete val="0"/>
        <c:axPos val="b"/>
        <c:title>
          <c:tx>
            <c:rich>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GB"/>
                  <a:t>Country</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477304256"/>
        <c:crosses val="autoZero"/>
        <c:auto val="1"/>
        <c:lblAlgn val="ctr"/>
        <c:lblOffset val="100"/>
        <c:noMultiLvlLbl val="0"/>
      </c:catAx>
      <c:valAx>
        <c:axId val="477304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GB"/>
                  <a:t>Global</a:t>
                </a:r>
                <a:r>
                  <a:rPr lang="en-GB" baseline="0"/>
                  <a:t> Warming Potential (kg/CO</a:t>
                </a:r>
                <a:r>
                  <a:rPr lang="en-GB" sz="800" baseline="0"/>
                  <a:t>2</a:t>
                </a:r>
                <a:r>
                  <a:rPr lang="en-GB" baseline="0"/>
                  <a:t>)</a:t>
                </a:r>
                <a:endParaRPr lang="en-GB"/>
              </a:p>
            </c:rich>
          </c:tx>
          <c:layout>
            <c:manualLayout>
              <c:xMode val="edge"/>
              <c:yMode val="edge"/>
              <c:x val="2.53375425906785E-2"/>
              <c:y val="0.16270336397321136"/>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4773038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v>GWP</c:v>
          </c:tx>
          <c:invertIfNegative val="0"/>
          <c:dPt>
            <c:idx val="0"/>
            <c:invertIfNegative val="0"/>
            <c:bubble3D val="0"/>
            <c:spPr>
              <a:solidFill>
                <a:srgbClr val="C00000"/>
              </a:solidFill>
            </c:spPr>
          </c:dPt>
          <c:dPt>
            <c:idx val="1"/>
            <c:invertIfNegative val="0"/>
            <c:bubble3D val="0"/>
            <c:spPr>
              <a:solidFill>
                <a:srgbClr val="E749A3"/>
              </a:solidFill>
            </c:spPr>
          </c:dPt>
          <c:dPt>
            <c:idx val="2"/>
            <c:invertIfNegative val="0"/>
            <c:bubble3D val="0"/>
            <c:spPr>
              <a:solidFill>
                <a:srgbClr val="E749A3"/>
              </a:solidFill>
            </c:spPr>
          </c:dPt>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'Fe-B Analysis'!$B$15:$B$17</c:f>
              <c:strCache>
                <c:ptCount val="3"/>
                <c:pt idx="0">
                  <c:v>Fe-B (Tudor)</c:v>
                </c:pt>
                <c:pt idx="1">
                  <c:v>Fe-B (Boric Oxide)</c:v>
                </c:pt>
                <c:pt idx="2">
                  <c:v>Fe-B (Borates)</c:v>
                </c:pt>
              </c:strCache>
            </c:strRef>
          </c:cat>
          <c:val>
            <c:numRef>
              <c:f>'Fe-B Analysis'!$F$15:$F$17</c:f>
              <c:numCache>
                <c:formatCode>0.00</c:formatCode>
                <c:ptCount val="3"/>
                <c:pt idx="0">
                  <c:v>15</c:v>
                </c:pt>
                <c:pt idx="1">
                  <c:v>20.118760049109497</c:v>
                </c:pt>
                <c:pt idx="2">
                  <c:v>19.869836664431126</c:v>
                </c:pt>
              </c:numCache>
            </c:numRef>
          </c:val>
        </c:ser>
        <c:dLbls>
          <c:showLegendKey val="0"/>
          <c:showVal val="0"/>
          <c:showCatName val="0"/>
          <c:showSerName val="0"/>
          <c:showPercent val="0"/>
          <c:showBubbleSize val="0"/>
        </c:dLbls>
        <c:gapWidth val="150"/>
        <c:overlap val="100"/>
        <c:axId val="477305040"/>
        <c:axId val="477305432"/>
      </c:barChart>
      <c:catAx>
        <c:axId val="477305040"/>
        <c:scaling>
          <c:orientation val="minMax"/>
        </c:scaling>
        <c:delete val="0"/>
        <c:axPos val="b"/>
        <c:title>
          <c:tx>
            <c:rich>
              <a:bodyPr/>
              <a:lstStyle/>
              <a:p>
                <a:pPr>
                  <a:defRPr lang="en-US"/>
                </a:pPr>
                <a:r>
                  <a:rPr lang="en-GB"/>
                  <a:t>Ferro-Boron</a:t>
                </a:r>
                <a:r>
                  <a:rPr lang="en-GB" baseline="0"/>
                  <a:t> Data Sources</a:t>
                </a:r>
                <a:endParaRPr lang="en-GB"/>
              </a:p>
            </c:rich>
          </c:tx>
          <c:overlay val="0"/>
        </c:title>
        <c:numFmt formatCode="General" sourceLinked="1"/>
        <c:majorTickMark val="out"/>
        <c:minorTickMark val="none"/>
        <c:tickLblPos val="nextTo"/>
        <c:txPr>
          <a:bodyPr/>
          <a:lstStyle/>
          <a:p>
            <a:pPr>
              <a:defRPr lang="en-US"/>
            </a:pPr>
            <a:endParaRPr lang="en-US"/>
          </a:p>
        </c:txPr>
        <c:crossAx val="477305432"/>
        <c:crosses val="autoZero"/>
        <c:auto val="1"/>
        <c:lblAlgn val="ctr"/>
        <c:lblOffset val="100"/>
        <c:noMultiLvlLbl val="0"/>
      </c:catAx>
      <c:valAx>
        <c:axId val="477305432"/>
        <c:scaling>
          <c:orientation val="minMax"/>
        </c:scaling>
        <c:delete val="0"/>
        <c:axPos val="l"/>
        <c:majorGridlines/>
        <c:title>
          <c:tx>
            <c:rich>
              <a:bodyPr/>
              <a:lstStyle/>
              <a:p>
                <a:pPr>
                  <a:defRPr lang="en-US"/>
                </a:pPr>
                <a:r>
                  <a:rPr lang="en-GB"/>
                  <a:t>CML2001 - Apr. 2013, Global Warming Potential (GWP 100 years) [kg CO2-Equiv.]</a:t>
                </a:r>
              </a:p>
            </c:rich>
          </c:tx>
          <c:layout>
            <c:manualLayout>
              <c:xMode val="edge"/>
              <c:yMode val="edge"/>
              <c:x val="1.1638504177721946E-2"/>
              <c:y val="5.7748051338134813E-2"/>
            </c:manualLayout>
          </c:layout>
          <c:overlay val="0"/>
        </c:title>
        <c:numFmt formatCode="0.00" sourceLinked="1"/>
        <c:majorTickMark val="out"/>
        <c:minorTickMark val="none"/>
        <c:tickLblPos val="nextTo"/>
        <c:txPr>
          <a:bodyPr/>
          <a:lstStyle/>
          <a:p>
            <a:pPr>
              <a:defRPr lang="en-US"/>
            </a:pPr>
            <a:endParaRPr lang="en-US"/>
          </a:p>
        </c:txPr>
        <c:crossAx val="477305040"/>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732826302183691"/>
          <c:y val="7.9008039393590412E-2"/>
          <c:w val="0.52313187468761901"/>
          <c:h val="0.69206587415062482"/>
        </c:manualLayout>
      </c:layout>
      <c:barChart>
        <c:barDir val="col"/>
        <c:grouping val="stacked"/>
        <c:varyColors val="0"/>
        <c:ser>
          <c:idx val="1"/>
          <c:order val="0"/>
          <c:tx>
            <c:v>Energy</c:v>
          </c:tx>
          <c:invertIfNegative val="0"/>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'Fe-B Analysis'!$J$7:$K$7</c:f>
              <c:strCache>
                <c:ptCount val="2"/>
                <c:pt idx="0">
                  <c:v>Fe-B (Boric Oxide)</c:v>
                </c:pt>
                <c:pt idx="1">
                  <c:v>Fe-B (Borates)</c:v>
                </c:pt>
              </c:strCache>
            </c:strRef>
          </c:cat>
          <c:val>
            <c:numRef>
              <c:f>'Fe-B Analysis'!$J$13:$K$13</c:f>
              <c:numCache>
                <c:formatCode>0.00</c:formatCode>
                <c:ptCount val="2"/>
                <c:pt idx="0">
                  <c:v>430.68183259768125</c:v>
                </c:pt>
                <c:pt idx="1">
                  <c:v>384.52720319332263</c:v>
                </c:pt>
              </c:numCache>
            </c:numRef>
          </c:val>
        </c:ser>
        <c:dLbls>
          <c:showLegendKey val="0"/>
          <c:showVal val="0"/>
          <c:showCatName val="0"/>
          <c:showSerName val="0"/>
          <c:showPercent val="0"/>
          <c:showBubbleSize val="0"/>
        </c:dLbls>
        <c:gapWidth val="150"/>
        <c:overlap val="100"/>
        <c:axId val="477306216"/>
        <c:axId val="477306608"/>
      </c:barChart>
      <c:catAx>
        <c:axId val="477306216"/>
        <c:scaling>
          <c:orientation val="minMax"/>
        </c:scaling>
        <c:delete val="0"/>
        <c:axPos val="b"/>
        <c:title>
          <c:tx>
            <c:rich>
              <a:bodyPr/>
              <a:lstStyle/>
              <a:p>
                <a:pPr>
                  <a:defRPr lang="en-US"/>
                </a:pPr>
                <a:r>
                  <a:rPr lang="en-GB" sz="1000" b="1" i="0" u="none" strike="noStrike" baseline="0">
                    <a:effectLst/>
                  </a:rPr>
                  <a:t>Fe-B Data Sources</a:t>
                </a:r>
                <a:endParaRPr lang="en-GB"/>
              </a:p>
            </c:rich>
          </c:tx>
          <c:overlay val="0"/>
        </c:title>
        <c:numFmt formatCode="General" sourceLinked="0"/>
        <c:majorTickMark val="out"/>
        <c:minorTickMark val="none"/>
        <c:tickLblPos val="nextTo"/>
        <c:txPr>
          <a:bodyPr/>
          <a:lstStyle/>
          <a:p>
            <a:pPr>
              <a:defRPr lang="en-US"/>
            </a:pPr>
            <a:endParaRPr lang="en-US"/>
          </a:p>
        </c:txPr>
        <c:crossAx val="477306608"/>
        <c:crosses val="autoZero"/>
        <c:auto val="1"/>
        <c:lblAlgn val="ctr"/>
        <c:lblOffset val="100"/>
        <c:noMultiLvlLbl val="0"/>
      </c:catAx>
      <c:valAx>
        <c:axId val="477306608"/>
        <c:scaling>
          <c:orientation val="minMax"/>
        </c:scaling>
        <c:delete val="0"/>
        <c:axPos val="l"/>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en-US" sz="1000" b="1" i="0" u="none" strike="noStrike" kern="1200" baseline="0">
                    <a:solidFill>
                      <a:sysClr val="windowText" lastClr="000000"/>
                    </a:solidFill>
                    <a:latin typeface="+mn-lt"/>
                    <a:ea typeface="+mn-ea"/>
                    <a:cs typeface="+mn-cs"/>
                  </a:defRPr>
                </a:pPr>
                <a:r>
                  <a:rPr lang="en-GB" sz="1000" b="1" i="0" baseline="0">
                    <a:effectLst/>
                  </a:rPr>
                  <a:t>Energy (net calorific value) [MJ]</a:t>
                </a:r>
                <a:endParaRPr lang="en-GB" sz="1000">
                  <a:effectLst/>
                </a:endParaRPr>
              </a:p>
              <a:p>
                <a:pPr marL="0" marR="0" indent="0" algn="ctr" defTabSz="914400" rtl="0" eaLnBrk="1" fontAlgn="auto" latinLnBrk="0" hangingPunct="1">
                  <a:lnSpc>
                    <a:spcPct val="100000"/>
                  </a:lnSpc>
                  <a:spcBef>
                    <a:spcPts val="0"/>
                  </a:spcBef>
                  <a:spcAft>
                    <a:spcPts val="0"/>
                  </a:spcAft>
                  <a:buClrTx/>
                  <a:buSzTx/>
                  <a:buFontTx/>
                  <a:buNone/>
                  <a:tabLst/>
                  <a:defRPr lang="en-US" sz="1000" b="1" i="0" u="none" strike="noStrike" kern="1200" baseline="0">
                    <a:solidFill>
                      <a:sysClr val="windowText" lastClr="000000"/>
                    </a:solidFill>
                    <a:latin typeface="+mn-lt"/>
                    <a:ea typeface="+mn-ea"/>
                    <a:cs typeface="+mn-cs"/>
                  </a:defRPr>
                </a:pPr>
                <a:endParaRPr lang="en-GB" sz="1000"/>
              </a:p>
            </c:rich>
          </c:tx>
          <c:overlay val="0"/>
        </c:title>
        <c:numFmt formatCode="0.00" sourceLinked="1"/>
        <c:majorTickMark val="out"/>
        <c:minorTickMark val="none"/>
        <c:tickLblPos val="nextTo"/>
        <c:txPr>
          <a:bodyPr/>
          <a:lstStyle/>
          <a:p>
            <a:pPr>
              <a:defRPr lang="en-US"/>
            </a:pPr>
            <a:endParaRPr lang="en-US"/>
          </a:p>
        </c:txPr>
        <c:crossAx val="477306216"/>
        <c:crosses val="autoZero"/>
        <c:crossBetween val="between"/>
        <c:majorUnit val="20"/>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invertIfNegative val="0"/>
          <c:dPt>
            <c:idx val="0"/>
            <c:invertIfNegative val="0"/>
            <c:bubble3D val="0"/>
            <c:spPr>
              <a:solidFill>
                <a:srgbClr val="FFFF00"/>
              </a:solidFill>
            </c:spPr>
          </c:dPt>
          <c:dPt>
            <c:idx val="1"/>
            <c:invertIfNegative val="0"/>
            <c:bubble3D val="0"/>
            <c:spPr>
              <a:solidFill>
                <a:srgbClr val="FFFF00"/>
              </a:solidFill>
            </c:spPr>
          </c:dPt>
          <c:dPt>
            <c:idx val="2"/>
            <c:invertIfNegative val="0"/>
            <c:bubble3D val="0"/>
            <c:spPr>
              <a:solidFill>
                <a:schemeClr val="accent4">
                  <a:lumMod val="75000"/>
                </a:schemeClr>
              </a:solidFill>
            </c:spPr>
          </c:dPt>
          <c:dPt>
            <c:idx val="3"/>
            <c:invertIfNegative val="0"/>
            <c:bubble3D val="0"/>
            <c:spPr>
              <a:solidFill>
                <a:srgbClr val="00FF00"/>
              </a:solidFill>
            </c:spPr>
          </c:dPt>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'Fe-Cr'!$D$9:$D$12</c:f>
              <c:strCache>
                <c:ptCount val="4"/>
                <c:pt idx="0">
                  <c:v>Fe-Cr (53% Cr) Haque, Tasmanian Energy</c:v>
                </c:pt>
                <c:pt idx="1">
                  <c:v>Fe-Cr (53% Cr) Haque, Australian Energy</c:v>
                </c:pt>
                <c:pt idx="2">
                  <c:v>Fe-Cr (53% Cr) Haque, Version 2</c:v>
                </c:pt>
                <c:pt idx="3">
                  <c:v>Global Fe-Cr Model</c:v>
                </c:pt>
              </c:strCache>
            </c:strRef>
          </c:cat>
          <c:val>
            <c:numRef>
              <c:f>'Fe-Cr'!$F$9:$F$12</c:f>
              <c:numCache>
                <c:formatCode>0.00</c:formatCode>
                <c:ptCount val="4"/>
                <c:pt idx="0">
                  <c:v>3.04</c:v>
                </c:pt>
                <c:pt idx="1">
                  <c:v>7.22</c:v>
                </c:pt>
                <c:pt idx="2">
                  <c:v>7.26</c:v>
                </c:pt>
                <c:pt idx="3">
                  <c:v>7.6</c:v>
                </c:pt>
              </c:numCache>
            </c:numRef>
          </c:val>
        </c:ser>
        <c:dLbls>
          <c:showLegendKey val="0"/>
          <c:showVal val="0"/>
          <c:showCatName val="0"/>
          <c:showSerName val="0"/>
          <c:showPercent val="0"/>
          <c:showBubbleSize val="0"/>
        </c:dLbls>
        <c:gapWidth val="150"/>
        <c:overlap val="100"/>
        <c:axId val="477307392"/>
        <c:axId val="477307784"/>
      </c:barChart>
      <c:catAx>
        <c:axId val="477307392"/>
        <c:scaling>
          <c:orientation val="minMax"/>
        </c:scaling>
        <c:delete val="0"/>
        <c:axPos val="b"/>
        <c:title>
          <c:tx>
            <c:rich>
              <a:bodyPr/>
              <a:lstStyle/>
              <a:p>
                <a:pPr>
                  <a:defRPr lang="en-US"/>
                </a:pPr>
                <a:r>
                  <a:rPr lang="en-GB"/>
                  <a:t>Fe-Cr</a:t>
                </a:r>
                <a:r>
                  <a:rPr lang="en-GB" baseline="0"/>
                  <a:t> Data Sources</a:t>
                </a:r>
                <a:endParaRPr lang="en-GB"/>
              </a:p>
            </c:rich>
          </c:tx>
          <c:overlay val="0"/>
        </c:title>
        <c:numFmt formatCode="General" sourceLinked="1"/>
        <c:majorTickMark val="out"/>
        <c:minorTickMark val="none"/>
        <c:tickLblPos val="nextTo"/>
        <c:txPr>
          <a:bodyPr/>
          <a:lstStyle/>
          <a:p>
            <a:pPr>
              <a:defRPr lang="en-US"/>
            </a:pPr>
            <a:endParaRPr lang="en-US"/>
          </a:p>
        </c:txPr>
        <c:crossAx val="477307784"/>
        <c:crosses val="autoZero"/>
        <c:auto val="1"/>
        <c:lblAlgn val="ctr"/>
        <c:lblOffset val="100"/>
        <c:noMultiLvlLbl val="0"/>
      </c:catAx>
      <c:valAx>
        <c:axId val="477307784"/>
        <c:scaling>
          <c:orientation val="minMax"/>
        </c:scaling>
        <c:delete val="0"/>
        <c:axPos val="l"/>
        <c:majorGridlines/>
        <c:title>
          <c:tx>
            <c:rich>
              <a:bodyPr/>
              <a:lstStyle/>
              <a:p>
                <a:pPr>
                  <a:defRPr lang="en-US"/>
                </a:pPr>
                <a:r>
                  <a:rPr lang="en-GB"/>
                  <a:t>CML2001 - Apr. 2013, Global Warming Potential (GWP 100 years) [kg CO2-Equiv.]</a:t>
                </a:r>
              </a:p>
            </c:rich>
          </c:tx>
          <c:layout>
            <c:manualLayout>
              <c:xMode val="edge"/>
              <c:yMode val="edge"/>
              <c:x val="1.6494845360824743E-2"/>
              <c:y val="0.14863858198096591"/>
            </c:manualLayout>
          </c:layout>
          <c:overlay val="0"/>
        </c:title>
        <c:numFmt formatCode="0.00" sourceLinked="1"/>
        <c:majorTickMark val="out"/>
        <c:minorTickMark val="none"/>
        <c:tickLblPos val="nextTo"/>
        <c:txPr>
          <a:bodyPr/>
          <a:lstStyle/>
          <a:p>
            <a:pPr>
              <a:defRPr lang="en-US"/>
            </a:pPr>
            <a:endParaRPr lang="en-US"/>
          </a:p>
        </c:txPr>
        <c:crossAx val="477307392"/>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invertIfNegative val="0"/>
          <c:dPt>
            <c:idx val="0"/>
            <c:invertIfNegative val="0"/>
            <c:bubble3D val="0"/>
            <c:spPr>
              <a:solidFill>
                <a:srgbClr val="0070C0"/>
              </a:solidFill>
            </c:spPr>
          </c:dPt>
          <c:dPt>
            <c:idx val="1"/>
            <c:invertIfNegative val="0"/>
            <c:bubble3D val="0"/>
            <c:spPr>
              <a:solidFill>
                <a:srgbClr val="0070C0"/>
              </a:solidFill>
            </c:spPr>
          </c:dPt>
          <c:dPt>
            <c:idx val="2"/>
            <c:invertIfNegative val="0"/>
            <c:bubble3D val="0"/>
            <c:spPr>
              <a:solidFill>
                <a:srgbClr val="0070C0"/>
              </a:solidFill>
            </c:spPr>
          </c:dPt>
          <c:dPt>
            <c:idx val="3"/>
            <c:invertIfNegative val="0"/>
            <c:bubble3D val="0"/>
            <c:spPr>
              <a:solidFill>
                <a:srgbClr val="7030A0"/>
              </a:solidFill>
            </c:spPr>
          </c:dPt>
          <c:dPt>
            <c:idx val="4"/>
            <c:invertIfNegative val="0"/>
            <c:bubble3D val="0"/>
            <c:spPr>
              <a:solidFill>
                <a:srgbClr val="7030A0"/>
              </a:solidFill>
            </c:spPr>
          </c:dPt>
          <c:dLbls>
            <c:dLbl>
              <c:idx val="0"/>
              <c:dLblPos val="ctr"/>
              <c:showLegendKey val="0"/>
              <c:showVal val="1"/>
              <c:showCatName val="0"/>
              <c:showSerName val="0"/>
              <c:showPercent val="0"/>
              <c:showBubbleSize val="0"/>
              <c:extLst>
                <c:ext xmlns:c15="http://schemas.microsoft.com/office/drawing/2012/chart" uri="{CE6537A1-D6FC-4f65-9D91-7224C49458BB}"/>
              </c:extLst>
            </c:dLbl>
            <c:dLbl>
              <c:idx val="1"/>
              <c:dLblPos val="ctr"/>
              <c:showLegendKey val="0"/>
              <c:showVal val="1"/>
              <c:showCatName val="0"/>
              <c:showSerName val="0"/>
              <c:showPercent val="0"/>
              <c:showBubbleSize val="0"/>
              <c:extLst>
                <c:ext xmlns:c15="http://schemas.microsoft.com/office/drawing/2012/chart" uri="{CE6537A1-D6FC-4f65-9D91-7224C49458BB}"/>
              </c:extLst>
            </c:dLbl>
            <c:dLbl>
              <c:idx val="2"/>
              <c:dLblPos val="ctr"/>
              <c:showLegendKey val="0"/>
              <c:showVal val="1"/>
              <c:showCatName val="0"/>
              <c:showSerName val="0"/>
              <c:showPercent val="0"/>
              <c:showBubbleSize val="0"/>
              <c:extLst>
                <c:ext xmlns:c15="http://schemas.microsoft.com/office/drawing/2012/chart" uri="{CE6537A1-D6FC-4f65-9D91-7224C49458BB}"/>
              </c:extLst>
            </c:dLbl>
            <c:dLbl>
              <c:idx val="3"/>
              <c:dLblPos val="ctr"/>
              <c:showLegendKey val="0"/>
              <c:showVal val="1"/>
              <c:showCatName val="0"/>
              <c:showSerName val="0"/>
              <c:showPercent val="0"/>
              <c:showBubbleSize val="0"/>
              <c:extLst>
                <c:ext xmlns:c15="http://schemas.microsoft.com/office/drawing/2012/chart" uri="{CE6537A1-D6FC-4f65-9D91-7224C49458BB}"/>
              </c:extLst>
            </c:dLbl>
            <c:dLbl>
              <c:idx val="4"/>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strRef>
              <c:f>'Fe-Cr'!$D$13:$D$17</c:f>
              <c:strCache>
                <c:ptCount val="5"/>
                <c:pt idx="0">
                  <c:v>HC Fe-Cr (Eurometeaux) </c:v>
                </c:pt>
                <c:pt idx="1">
                  <c:v>LC Fe-Cr (13% Si Eurometeaux) </c:v>
                </c:pt>
                <c:pt idx="2">
                  <c:v>LC Fe-Cr (53% Si Eurometeaux)</c:v>
                </c:pt>
                <c:pt idx="3">
                  <c:v>Gabi HC Fe-Cr (60% Cr, 6% C)</c:v>
                </c:pt>
                <c:pt idx="4">
                  <c:v>Gabi LC Fe-Cr (60% Cr, 1% C)</c:v>
                </c:pt>
              </c:strCache>
            </c:strRef>
          </c:cat>
          <c:val>
            <c:numRef>
              <c:f>'Fe-Cr'!$F$13:$F$17</c:f>
              <c:numCache>
                <c:formatCode>0.00</c:formatCode>
                <c:ptCount val="5"/>
                <c:pt idx="0">
                  <c:v>5.1516956293170395</c:v>
                </c:pt>
                <c:pt idx="1">
                  <c:v>5.1717584761842099</c:v>
                </c:pt>
                <c:pt idx="2">
                  <c:v>5.83153267540483</c:v>
                </c:pt>
                <c:pt idx="3">
                  <c:v>7.4208826606667104</c:v>
                </c:pt>
                <c:pt idx="4">
                  <c:v>7.9906336760081098</c:v>
                </c:pt>
              </c:numCache>
            </c:numRef>
          </c:val>
        </c:ser>
        <c:dLbls>
          <c:showLegendKey val="0"/>
          <c:showVal val="0"/>
          <c:showCatName val="0"/>
          <c:showSerName val="0"/>
          <c:showPercent val="0"/>
          <c:showBubbleSize val="0"/>
        </c:dLbls>
        <c:gapWidth val="150"/>
        <c:overlap val="100"/>
        <c:axId val="477308568"/>
        <c:axId val="477308960"/>
      </c:barChart>
      <c:catAx>
        <c:axId val="477308568"/>
        <c:scaling>
          <c:orientation val="minMax"/>
        </c:scaling>
        <c:delete val="0"/>
        <c:axPos val="b"/>
        <c:title>
          <c:tx>
            <c:rich>
              <a:bodyPr/>
              <a:lstStyle/>
              <a:p>
                <a:pPr>
                  <a:defRPr/>
                </a:pPr>
                <a:r>
                  <a:rPr lang="en-GB"/>
                  <a:t>Fe-Cr</a:t>
                </a:r>
                <a:r>
                  <a:rPr lang="en-GB" baseline="0"/>
                  <a:t> Data Source</a:t>
                </a:r>
                <a:endParaRPr lang="en-GB"/>
              </a:p>
            </c:rich>
          </c:tx>
          <c:overlay val="0"/>
        </c:title>
        <c:numFmt formatCode="General" sourceLinked="1"/>
        <c:majorTickMark val="out"/>
        <c:minorTickMark val="none"/>
        <c:tickLblPos val="nextTo"/>
        <c:crossAx val="477308960"/>
        <c:crosses val="autoZero"/>
        <c:auto val="1"/>
        <c:lblAlgn val="ctr"/>
        <c:lblOffset val="100"/>
        <c:noMultiLvlLbl val="0"/>
      </c:catAx>
      <c:valAx>
        <c:axId val="477308960"/>
        <c:scaling>
          <c:orientation val="minMax"/>
        </c:scaling>
        <c:delete val="0"/>
        <c:axPos val="l"/>
        <c:majorGridlines/>
        <c:title>
          <c:tx>
            <c:rich>
              <a:bodyPr/>
              <a:lstStyle/>
              <a:p>
                <a:pPr>
                  <a:defRPr/>
                </a:pPr>
                <a:r>
                  <a:rPr lang="en-GB"/>
                  <a:t>CML2001 - Apr. 2013, Global Warming Potential (GWP 100 years) [kg CO2-Equiv.]</a:t>
                </a:r>
              </a:p>
            </c:rich>
          </c:tx>
          <c:layout>
            <c:manualLayout>
              <c:xMode val="edge"/>
              <c:yMode val="edge"/>
              <c:x val="1.6494845360824743E-2"/>
              <c:y val="0.14863858198096591"/>
            </c:manualLayout>
          </c:layout>
          <c:overlay val="0"/>
        </c:title>
        <c:numFmt formatCode="0.00" sourceLinked="1"/>
        <c:majorTickMark val="out"/>
        <c:minorTickMark val="none"/>
        <c:tickLblPos val="nextTo"/>
        <c:crossAx val="477308568"/>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96602291542748"/>
          <c:y val="9.1343568087508611E-2"/>
          <c:w val="0.69177354658720003"/>
          <c:h val="0.6454654760333749"/>
        </c:manualLayout>
      </c:layout>
      <c:barChart>
        <c:barDir val="col"/>
        <c:grouping val="stacked"/>
        <c:varyColors val="0"/>
        <c:ser>
          <c:idx val="0"/>
          <c:order val="0"/>
          <c:invertIfNegative val="0"/>
          <c:dPt>
            <c:idx val="0"/>
            <c:invertIfNegative val="0"/>
            <c:bubble3D val="0"/>
            <c:spPr>
              <a:solidFill>
                <a:srgbClr val="FFFF00"/>
              </a:solidFill>
            </c:spPr>
          </c:dPt>
          <c:dPt>
            <c:idx val="1"/>
            <c:invertIfNegative val="0"/>
            <c:bubble3D val="0"/>
            <c:spPr>
              <a:solidFill>
                <a:srgbClr val="FFFF00"/>
              </a:solidFill>
            </c:spPr>
          </c:dPt>
          <c:dPt>
            <c:idx val="2"/>
            <c:invertIfNegative val="0"/>
            <c:bubble3D val="0"/>
            <c:spPr>
              <a:solidFill>
                <a:schemeClr val="accent4">
                  <a:lumMod val="75000"/>
                </a:schemeClr>
              </a:solidFill>
            </c:spPr>
          </c:dPt>
          <c:dPt>
            <c:idx val="3"/>
            <c:invertIfNegative val="0"/>
            <c:bubble3D val="0"/>
            <c:spPr>
              <a:solidFill>
                <a:srgbClr val="00FF00"/>
              </a:solidFill>
            </c:spPr>
          </c:dPt>
          <c:dLbls>
            <c:spPr>
              <a:noFill/>
              <a:ln>
                <a:noFill/>
              </a:ln>
              <a:effectLst/>
            </c:spPr>
            <c:txPr>
              <a:bodyPr/>
              <a:lstStyle/>
              <a:p>
                <a:pPr>
                  <a:defRPr lang="en-US"/>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'Fe-Mn'!$C$9:$C$12</c:f>
              <c:strCache>
                <c:ptCount val="4"/>
                <c:pt idx="0">
                  <c:v>Fe-Mn (74-82% Mn) Haque, Tasmanian Energy</c:v>
                </c:pt>
                <c:pt idx="1">
                  <c:v>Fe-Mn (74-82% Mn) Haque, Australian Energy</c:v>
                </c:pt>
                <c:pt idx="2">
                  <c:v>Fe-Mn (74-82% Mn) Haque, Australian Energy, Version 2</c:v>
                </c:pt>
                <c:pt idx="3">
                  <c:v>Global Fe-Mn Model</c:v>
                </c:pt>
              </c:strCache>
            </c:strRef>
          </c:cat>
          <c:val>
            <c:numRef>
              <c:f>'Fe-Mn'!$E$9:$E$12</c:f>
              <c:numCache>
                <c:formatCode>0.00</c:formatCode>
                <c:ptCount val="4"/>
                <c:pt idx="0">
                  <c:v>1.77</c:v>
                </c:pt>
                <c:pt idx="1">
                  <c:v>3.59</c:v>
                </c:pt>
                <c:pt idx="2">
                  <c:v>5.59</c:v>
                </c:pt>
                <c:pt idx="3">
                  <c:v>4.5599999999999996</c:v>
                </c:pt>
              </c:numCache>
            </c:numRef>
          </c:val>
          <c:extLst>
            <c:ext xmlns:c15="http://schemas.microsoft.com/office/drawing/2012/chart" uri="{02D57815-91ED-43cb-92C2-25804820EDAC}">
              <c15:filteredSeriesTitle>
                <c15:tx>
                  <c:v>GWP</c:v>
                </c15:tx>
              </c15:filteredSeriesTitle>
            </c:ext>
          </c:extLst>
        </c:ser>
        <c:dLbls>
          <c:showLegendKey val="0"/>
          <c:showVal val="0"/>
          <c:showCatName val="0"/>
          <c:showSerName val="0"/>
          <c:showPercent val="0"/>
          <c:showBubbleSize val="0"/>
        </c:dLbls>
        <c:gapWidth val="150"/>
        <c:overlap val="100"/>
        <c:axId val="477309744"/>
        <c:axId val="477310136"/>
      </c:barChart>
      <c:catAx>
        <c:axId val="477309744"/>
        <c:scaling>
          <c:orientation val="minMax"/>
        </c:scaling>
        <c:delete val="0"/>
        <c:axPos val="b"/>
        <c:title>
          <c:tx>
            <c:rich>
              <a:bodyPr/>
              <a:lstStyle/>
              <a:p>
                <a:pPr>
                  <a:defRPr lang="en-US"/>
                </a:pPr>
                <a:r>
                  <a:rPr lang="en-GB"/>
                  <a:t>Fe-Mn</a:t>
                </a:r>
                <a:r>
                  <a:rPr lang="en-GB" baseline="0"/>
                  <a:t> Data Source</a:t>
                </a:r>
                <a:endParaRPr lang="en-GB"/>
              </a:p>
            </c:rich>
          </c:tx>
          <c:layout>
            <c:manualLayout>
              <c:xMode val="edge"/>
              <c:yMode val="edge"/>
              <c:x val="0.38070630601708838"/>
              <c:y val="0.94328509215677758"/>
            </c:manualLayout>
          </c:layout>
          <c:overlay val="0"/>
        </c:title>
        <c:numFmt formatCode="General" sourceLinked="1"/>
        <c:majorTickMark val="out"/>
        <c:minorTickMark val="none"/>
        <c:tickLblPos val="nextTo"/>
        <c:txPr>
          <a:bodyPr/>
          <a:lstStyle/>
          <a:p>
            <a:pPr>
              <a:defRPr lang="en-US"/>
            </a:pPr>
            <a:endParaRPr lang="en-US"/>
          </a:p>
        </c:txPr>
        <c:crossAx val="477310136"/>
        <c:crosses val="autoZero"/>
        <c:auto val="1"/>
        <c:lblAlgn val="ctr"/>
        <c:lblOffset val="100"/>
        <c:noMultiLvlLbl val="0"/>
      </c:catAx>
      <c:valAx>
        <c:axId val="477310136"/>
        <c:scaling>
          <c:orientation val="minMax"/>
        </c:scaling>
        <c:delete val="0"/>
        <c:axPos val="l"/>
        <c:majorGridlines/>
        <c:title>
          <c:tx>
            <c:rich>
              <a:bodyPr/>
              <a:lstStyle/>
              <a:p>
                <a:pPr>
                  <a:defRPr lang="en-US"/>
                </a:pPr>
                <a:r>
                  <a:rPr lang="en-GB"/>
                  <a:t>CML2001 - Apr. 2013, Global Warming Potential (GWP 100 years) [kg CO2-Equiv.]</a:t>
                </a:r>
              </a:p>
            </c:rich>
          </c:tx>
          <c:layout>
            <c:manualLayout>
              <c:xMode val="edge"/>
              <c:yMode val="edge"/>
              <c:x val="2.4742287584515757E-2"/>
              <c:y val="0.12602986433103675"/>
            </c:manualLayout>
          </c:layout>
          <c:overlay val="0"/>
        </c:title>
        <c:numFmt formatCode="0.00" sourceLinked="1"/>
        <c:majorTickMark val="out"/>
        <c:minorTickMark val="none"/>
        <c:tickLblPos val="nextTo"/>
        <c:txPr>
          <a:bodyPr/>
          <a:lstStyle/>
          <a:p>
            <a:pPr>
              <a:defRPr lang="en-US"/>
            </a:pPr>
            <a:endParaRPr lang="en-US"/>
          </a:p>
        </c:txPr>
        <c:crossAx val="477309744"/>
        <c:crosses val="autoZero"/>
        <c:crossBetween val="between"/>
      </c:valAx>
    </c:plotArea>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4E4FE1E-E5B7-43ED-8222-ED16427CF20E}" type="doc">
      <dgm:prSet loTypeId="urn:microsoft.com/office/officeart/2009/3/layout/HorizontalOrganizationChart" loCatId="hierarchy" qsTypeId="urn:microsoft.com/office/officeart/2005/8/quickstyle/3d3" qsCatId="3D" csTypeId="urn:microsoft.com/office/officeart/2005/8/colors/accent2_2" csCatId="accent2" phldr="1"/>
      <dgm:spPr/>
      <dgm:t>
        <a:bodyPr/>
        <a:lstStyle/>
        <a:p>
          <a:endParaRPr lang="en-GB"/>
        </a:p>
      </dgm:t>
    </dgm:pt>
    <dgm:pt modelId="{C861A3B4-669B-45A5-AC35-D89466755A42}">
      <dgm:prSet phldrT="[Text]"/>
      <dgm:spPr/>
      <dgm:t>
        <a:bodyPr/>
        <a:lstStyle/>
        <a:p>
          <a:r>
            <a:rPr lang="en-GB"/>
            <a:t>Type I</a:t>
          </a:r>
        </a:p>
      </dgm:t>
    </dgm:pt>
    <dgm:pt modelId="{1F7F9942-C43A-4B8A-A268-EB850B766896}" type="parTrans" cxnId="{6D180447-5099-47C4-B646-974A942A0238}">
      <dgm:prSet/>
      <dgm:spPr/>
      <dgm:t>
        <a:bodyPr/>
        <a:lstStyle/>
        <a:p>
          <a:endParaRPr lang="en-GB"/>
        </a:p>
      </dgm:t>
    </dgm:pt>
    <dgm:pt modelId="{E2F7A694-195C-4E00-8B74-A9B13EFC15EE}" type="sibTrans" cxnId="{6D180447-5099-47C4-B646-974A942A0238}">
      <dgm:prSet/>
      <dgm:spPr/>
      <dgm:t>
        <a:bodyPr/>
        <a:lstStyle/>
        <a:p>
          <a:endParaRPr lang="en-GB"/>
        </a:p>
      </dgm:t>
    </dgm:pt>
    <dgm:pt modelId="{843DBF40-7C4F-4E84-8702-9AEFB131B378}">
      <dgm:prSet phldrT="[Text]"/>
      <dgm:spPr/>
      <dgm:t>
        <a:bodyPr/>
        <a:lstStyle/>
        <a:p>
          <a:r>
            <a:rPr lang="en-GB"/>
            <a:t>a</a:t>
          </a:r>
        </a:p>
      </dgm:t>
    </dgm:pt>
    <dgm:pt modelId="{772B6EA5-46DF-42DC-9F0F-C4FD501F503B}" type="parTrans" cxnId="{BF0F5447-22CE-4355-90AC-3B3D4868B52E}">
      <dgm:prSet/>
      <dgm:spPr/>
      <dgm:t>
        <a:bodyPr/>
        <a:lstStyle/>
        <a:p>
          <a:endParaRPr lang="en-GB"/>
        </a:p>
      </dgm:t>
    </dgm:pt>
    <dgm:pt modelId="{3CF335E2-B3F9-441C-8A67-283CD1919BCE}" type="sibTrans" cxnId="{BF0F5447-22CE-4355-90AC-3B3D4868B52E}">
      <dgm:prSet/>
      <dgm:spPr/>
      <dgm:t>
        <a:bodyPr/>
        <a:lstStyle/>
        <a:p>
          <a:endParaRPr lang="en-GB"/>
        </a:p>
      </dgm:t>
    </dgm:pt>
    <dgm:pt modelId="{1ADEB7F5-2725-43A4-A0BF-FE844CF6FD7B}">
      <dgm:prSet phldrT="[Text]"/>
      <dgm:spPr/>
      <dgm:t>
        <a:bodyPr/>
        <a:lstStyle/>
        <a:p>
          <a:r>
            <a:rPr lang="en-GB"/>
            <a:t>b</a:t>
          </a:r>
        </a:p>
      </dgm:t>
    </dgm:pt>
    <dgm:pt modelId="{C14CA1F7-0C86-4105-9252-EE5481DF42C9}" type="parTrans" cxnId="{8444FF27-79C5-4D2E-BE94-B539CFB5CDA6}">
      <dgm:prSet/>
      <dgm:spPr/>
      <dgm:t>
        <a:bodyPr/>
        <a:lstStyle/>
        <a:p>
          <a:endParaRPr lang="en-GB"/>
        </a:p>
      </dgm:t>
    </dgm:pt>
    <dgm:pt modelId="{4B50FCD4-A0A3-42DD-AFFD-113E408F13C7}" type="sibTrans" cxnId="{8444FF27-79C5-4D2E-BE94-B539CFB5CDA6}">
      <dgm:prSet/>
      <dgm:spPr/>
      <dgm:t>
        <a:bodyPr/>
        <a:lstStyle/>
        <a:p>
          <a:endParaRPr lang="en-GB"/>
        </a:p>
      </dgm:t>
    </dgm:pt>
    <dgm:pt modelId="{595E8889-A692-4624-97D8-FF15DD1FBA31}">
      <dgm:prSet phldrT="[Text]"/>
      <dgm:spPr/>
      <dgm:t>
        <a:bodyPr/>
        <a:lstStyle/>
        <a:p>
          <a:r>
            <a:rPr lang="en-GB"/>
            <a:t>c</a:t>
          </a:r>
        </a:p>
      </dgm:t>
    </dgm:pt>
    <dgm:pt modelId="{5C0CCD16-E8EB-4C59-8304-52553D51CE14}" type="parTrans" cxnId="{85F32406-01B0-4821-9DE1-42E01A112ECE}">
      <dgm:prSet/>
      <dgm:spPr/>
      <dgm:t>
        <a:bodyPr/>
        <a:lstStyle/>
        <a:p>
          <a:endParaRPr lang="en-GB"/>
        </a:p>
      </dgm:t>
    </dgm:pt>
    <dgm:pt modelId="{E46DC960-6BAE-4A49-9B72-EAF66B99CA3A}" type="sibTrans" cxnId="{85F32406-01B0-4821-9DE1-42E01A112ECE}">
      <dgm:prSet/>
      <dgm:spPr/>
      <dgm:t>
        <a:bodyPr/>
        <a:lstStyle/>
        <a:p>
          <a:endParaRPr lang="en-GB"/>
        </a:p>
      </dgm:t>
    </dgm:pt>
    <dgm:pt modelId="{E2BDBA60-D641-404E-9CF3-0615E6ED1894}">
      <dgm:prSet/>
      <dgm:spPr/>
      <dgm:t>
        <a:bodyPr/>
        <a:lstStyle/>
        <a:p>
          <a:r>
            <a:rPr lang="en-GB"/>
            <a:t>Substances </a:t>
          </a:r>
        </a:p>
        <a:p>
          <a:r>
            <a:rPr lang="en-GB"/>
            <a:t>e.g. Cd, Cl, CFC</a:t>
          </a:r>
        </a:p>
      </dgm:t>
    </dgm:pt>
    <dgm:pt modelId="{08C8CE43-900B-4C44-9C49-36C5DAD6D1FD}" type="parTrans" cxnId="{1C6EC1C0-8C9B-490C-AEAE-E4F0A505A07D}">
      <dgm:prSet/>
      <dgm:spPr/>
      <dgm:t>
        <a:bodyPr/>
        <a:lstStyle/>
        <a:p>
          <a:endParaRPr lang="en-GB"/>
        </a:p>
      </dgm:t>
    </dgm:pt>
    <dgm:pt modelId="{E8106784-FF9E-4ADC-ABF7-C673CA65E230}" type="sibTrans" cxnId="{1C6EC1C0-8C9B-490C-AEAE-E4F0A505A07D}">
      <dgm:prSet/>
      <dgm:spPr/>
      <dgm:t>
        <a:bodyPr/>
        <a:lstStyle/>
        <a:p>
          <a:endParaRPr lang="en-GB"/>
        </a:p>
      </dgm:t>
    </dgm:pt>
    <dgm:pt modelId="{B858D68F-69A1-40EC-92B8-A51F6CCE01B2}">
      <dgm:prSet/>
      <dgm:spPr/>
      <dgm:t>
        <a:bodyPr/>
        <a:lstStyle/>
        <a:p>
          <a:r>
            <a:rPr lang="en-GB"/>
            <a:t>Materials </a:t>
          </a:r>
        </a:p>
        <a:p>
          <a:r>
            <a:rPr lang="en-GB"/>
            <a:t>e.g.biomass, energy carriers, plastics</a:t>
          </a:r>
        </a:p>
      </dgm:t>
    </dgm:pt>
    <dgm:pt modelId="{843AED15-F71B-4552-B89F-5A1D921B26D1}" type="parTrans" cxnId="{BA28D65B-983A-466D-A8CE-4B5D3436E9C4}">
      <dgm:prSet/>
      <dgm:spPr/>
      <dgm:t>
        <a:bodyPr/>
        <a:lstStyle/>
        <a:p>
          <a:endParaRPr lang="en-GB"/>
        </a:p>
      </dgm:t>
    </dgm:pt>
    <dgm:pt modelId="{725CDCC0-92BA-48EA-9947-7D500E7BEB1D}" type="sibTrans" cxnId="{BA28D65B-983A-466D-A8CE-4B5D3436E9C4}">
      <dgm:prSet/>
      <dgm:spPr/>
      <dgm:t>
        <a:bodyPr/>
        <a:lstStyle/>
        <a:p>
          <a:endParaRPr lang="en-GB"/>
        </a:p>
      </dgm:t>
    </dgm:pt>
    <dgm:pt modelId="{DDC6FAC5-7B8A-4C55-B67C-9F4172DC2C71}">
      <dgm:prSet/>
      <dgm:spPr/>
      <dgm:t>
        <a:bodyPr/>
        <a:lstStyle/>
        <a:p>
          <a:r>
            <a:rPr lang="en-GB"/>
            <a:t>Products </a:t>
          </a:r>
        </a:p>
        <a:p>
          <a:r>
            <a:rPr lang="en-GB"/>
            <a:t>e.g. batteries, cars, diapers</a:t>
          </a:r>
        </a:p>
      </dgm:t>
    </dgm:pt>
    <dgm:pt modelId="{9AA5F6E7-DB5C-48BD-9A5A-E4AA6293BAA2}" type="parTrans" cxnId="{FF726626-BC42-47E9-AB9E-6023159650F4}">
      <dgm:prSet/>
      <dgm:spPr/>
      <dgm:t>
        <a:bodyPr/>
        <a:lstStyle/>
        <a:p>
          <a:endParaRPr lang="en-GB"/>
        </a:p>
      </dgm:t>
    </dgm:pt>
    <dgm:pt modelId="{C28DD51B-5167-4C09-A164-C7A5972B0A11}" type="sibTrans" cxnId="{FF726626-BC42-47E9-AB9E-6023159650F4}">
      <dgm:prSet/>
      <dgm:spPr/>
      <dgm:t>
        <a:bodyPr/>
        <a:lstStyle/>
        <a:p>
          <a:endParaRPr lang="en-GB"/>
        </a:p>
      </dgm:t>
    </dgm:pt>
    <dgm:pt modelId="{CE34D9C8-B48C-49BD-9D13-E530D597843F}" type="pres">
      <dgm:prSet presAssocID="{F4E4FE1E-E5B7-43ED-8222-ED16427CF20E}" presName="hierChild1" presStyleCnt="0">
        <dgm:presLayoutVars>
          <dgm:orgChart val="1"/>
          <dgm:chPref val="1"/>
          <dgm:dir/>
          <dgm:animOne val="branch"/>
          <dgm:animLvl val="lvl"/>
          <dgm:resizeHandles/>
        </dgm:presLayoutVars>
      </dgm:prSet>
      <dgm:spPr/>
      <dgm:t>
        <a:bodyPr/>
        <a:lstStyle/>
        <a:p>
          <a:endParaRPr lang="en-GB"/>
        </a:p>
      </dgm:t>
    </dgm:pt>
    <dgm:pt modelId="{309F9368-3162-48BF-ADDF-5F7241BEEBF4}" type="pres">
      <dgm:prSet presAssocID="{C861A3B4-669B-45A5-AC35-D89466755A42}" presName="hierRoot1" presStyleCnt="0">
        <dgm:presLayoutVars>
          <dgm:hierBranch val="init"/>
        </dgm:presLayoutVars>
      </dgm:prSet>
      <dgm:spPr/>
    </dgm:pt>
    <dgm:pt modelId="{458F05C4-16C0-406D-B9EC-992DE1F9DDDC}" type="pres">
      <dgm:prSet presAssocID="{C861A3B4-669B-45A5-AC35-D89466755A42}" presName="rootComposite1" presStyleCnt="0"/>
      <dgm:spPr/>
    </dgm:pt>
    <dgm:pt modelId="{B8398C44-C422-4026-A93E-D244AF6C16A5}" type="pres">
      <dgm:prSet presAssocID="{C861A3B4-669B-45A5-AC35-D89466755A42}" presName="rootText1" presStyleLbl="node0" presStyleIdx="0" presStyleCnt="1">
        <dgm:presLayoutVars>
          <dgm:chPref val="3"/>
        </dgm:presLayoutVars>
      </dgm:prSet>
      <dgm:spPr/>
      <dgm:t>
        <a:bodyPr/>
        <a:lstStyle/>
        <a:p>
          <a:endParaRPr lang="en-GB"/>
        </a:p>
      </dgm:t>
    </dgm:pt>
    <dgm:pt modelId="{30266751-83F1-449C-8282-6A3725962BA1}" type="pres">
      <dgm:prSet presAssocID="{C861A3B4-669B-45A5-AC35-D89466755A42}" presName="rootConnector1" presStyleLbl="node1" presStyleIdx="0" presStyleCnt="0"/>
      <dgm:spPr/>
      <dgm:t>
        <a:bodyPr/>
        <a:lstStyle/>
        <a:p>
          <a:endParaRPr lang="en-GB"/>
        </a:p>
      </dgm:t>
    </dgm:pt>
    <dgm:pt modelId="{AF6DBE47-C765-44E2-A856-4D381E985E88}" type="pres">
      <dgm:prSet presAssocID="{C861A3B4-669B-45A5-AC35-D89466755A42}" presName="hierChild2" presStyleCnt="0"/>
      <dgm:spPr/>
    </dgm:pt>
    <dgm:pt modelId="{98227C20-7986-474E-B38C-9D97E7007B2B}" type="pres">
      <dgm:prSet presAssocID="{772B6EA5-46DF-42DC-9F0F-C4FD501F503B}" presName="Name64" presStyleLbl="parChTrans1D2" presStyleIdx="0" presStyleCnt="3"/>
      <dgm:spPr/>
      <dgm:t>
        <a:bodyPr/>
        <a:lstStyle/>
        <a:p>
          <a:endParaRPr lang="en-GB"/>
        </a:p>
      </dgm:t>
    </dgm:pt>
    <dgm:pt modelId="{4199E55E-3B4A-493C-9261-99FF3F76F070}" type="pres">
      <dgm:prSet presAssocID="{843DBF40-7C4F-4E84-8702-9AEFB131B378}" presName="hierRoot2" presStyleCnt="0">
        <dgm:presLayoutVars>
          <dgm:hierBranch val="init"/>
        </dgm:presLayoutVars>
      </dgm:prSet>
      <dgm:spPr/>
    </dgm:pt>
    <dgm:pt modelId="{2452EE76-78EE-449B-BC96-AEC6B57EA99A}" type="pres">
      <dgm:prSet presAssocID="{843DBF40-7C4F-4E84-8702-9AEFB131B378}" presName="rootComposite" presStyleCnt="0"/>
      <dgm:spPr/>
    </dgm:pt>
    <dgm:pt modelId="{C3D0677E-0E71-4928-98BC-294FB708069A}" type="pres">
      <dgm:prSet presAssocID="{843DBF40-7C4F-4E84-8702-9AEFB131B378}" presName="rootText" presStyleLbl="node2" presStyleIdx="0" presStyleCnt="3">
        <dgm:presLayoutVars>
          <dgm:chPref val="3"/>
        </dgm:presLayoutVars>
      </dgm:prSet>
      <dgm:spPr/>
      <dgm:t>
        <a:bodyPr/>
        <a:lstStyle/>
        <a:p>
          <a:endParaRPr lang="en-GB"/>
        </a:p>
      </dgm:t>
    </dgm:pt>
    <dgm:pt modelId="{446D85C7-E90A-41B8-ADB3-18789E7EE714}" type="pres">
      <dgm:prSet presAssocID="{843DBF40-7C4F-4E84-8702-9AEFB131B378}" presName="rootConnector" presStyleLbl="node2" presStyleIdx="0" presStyleCnt="3"/>
      <dgm:spPr/>
      <dgm:t>
        <a:bodyPr/>
        <a:lstStyle/>
        <a:p>
          <a:endParaRPr lang="en-GB"/>
        </a:p>
      </dgm:t>
    </dgm:pt>
    <dgm:pt modelId="{405EBC71-3B26-40DC-A9A0-60302DA10D05}" type="pres">
      <dgm:prSet presAssocID="{843DBF40-7C4F-4E84-8702-9AEFB131B378}" presName="hierChild4" presStyleCnt="0"/>
      <dgm:spPr/>
    </dgm:pt>
    <dgm:pt modelId="{61AB31B1-6BE1-4CB8-A8A6-842531A621DD}" type="pres">
      <dgm:prSet presAssocID="{08C8CE43-900B-4C44-9C49-36C5DAD6D1FD}" presName="Name64" presStyleLbl="parChTrans1D3" presStyleIdx="0" presStyleCnt="3"/>
      <dgm:spPr/>
      <dgm:t>
        <a:bodyPr/>
        <a:lstStyle/>
        <a:p>
          <a:endParaRPr lang="en-GB"/>
        </a:p>
      </dgm:t>
    </dgm:pt>
    <dgm:pt modelId="{0B837D68-4C77-49B4-93E5-6B1350C2430B}" type="pres">
      <dgm:prSet presAssocID="{E2BDBA60-D641-404E-9CF3-0615E6ED1894}" presName="hierRoot2" presStyleCnt="0">
        <dgm:presLayoutVars>
          <dgm:hierBranch val="init"/>
        </dgm:presLayoutVars>
      </dgm:prSet>
      <dgm:spPr/>
    </dgm:pt>
    <dgm:pt modelId="{FE987780-D5F4-48DF-B9A6-83C067092136}" type="pres">
      <dgm:prSet presAssocID="{E2BDBA60-D641-404E-9CF3-0615E6ED1894}" presName="rootComposite" presStyleCnt="0"/>
      <dgm:spPr/>
    </dgm:pt>
    <dgm:pt modelId="{C1B4D526-CFA1-4909-9660-2DE3A8A690D4}" type="pres">
      <dgm:prSet presAssocID="{E2BDBA60-D641-404E-9CF3-0615E6ED1894}" presName="rootText" presStyleLbl="node3" presStyleIdx="0" presStyleCnt="3">
        <dgm:presLayoutVars>
          <dgm:chPref val="3"/>
        </dgm:presLayoutVars>
      </dgm:prSet>
      <dgm:spPr/>
      <dgm:t>
        <a:bodyPr/>
        <a:lstStyle/>
        <a:p>
          <a:endParaRPr lang="en-GB"/>
        </a:p>
      </dgm:t>
    </dgm:pt>
    <dgm:pt modelId="{3ECA9EA7-A5A5-47B3-9224-65A0883C866A}" type="pres">
      <dgm:prSet presAssocID="{E2BDBA60-D641-404E-9CF3-0615E6ED1894}" presName="rootConnector" presStyleLbl="node3" presStyleIdx="0" presStyleCnt="3"/>
      <dgm:spPr/>
      <dgm:t>
        <a:bodyPr/>
        <a:lstStyle/>
        <a:p>
          <a:endParaRPr lang="en-GB"/>
        </a:p>
      </dgm:t>
    </dgm:pt>
    <dgm:pt modelId="{AD949745-521E-4236-99D1-0370D4278AF8}" type="pres">
      <dgm:prSet presAssocID="{E2BDBA60-D641-404E-9CF3-0615E6ED1894}" presName="hierChild4" presStyleCnt="0"/>
      <dgm:spPr/>
    </dgm:pt>
    <dgm:pt modelId="{E3C1CC48-C5AC-4448-813F-008E9FD74C4F}" type="pres">
      <dgm:prSet presAssocID="{E2BDBA60-D641-404E-9CF3-0615E6ED1894}" presName="hierChild5" presStyleCnt="0"/>
      <dgm:spPr/>
    </dgm:pt>
    <dgm:pt modelId="{06E7C423-508B-40E9-8467-E429F52324B5}" type="pres">
      <dgm:prSet presAssocID="{843DBF40-7C4F-4E84-8702-9AEFB131B378}" presName="hierChild5" presStyleCnt="0"/>
      <dgm:spPr/>
    </dgm:pt>
    <dgm:pt modelId="{04D9C5F1-A910-4404-9F1E-5498E49FAA6A}" type="pres">
      <dgm:prSet presAssocID="{C14CA1F7-0C86-4105-9252-EE5481DF42C9}" presName="Name64" presStyleLbl="parChTrans1D2" presStyleIdx="1" presStyleCnt="3"/>
      <dgm:spPr/>
      <dgm:t>
        <a:bodyPr/>
        <a:lstStyle/>
        <a:p>
          <a:endParaRPr lang="en-GB"/>
        </a:p>
      </dgm:t>
    </dgm:pt>
    <dgm:pt modelId="{960AB6D1-AC18-4703-84A3-58C80E5A7B01}" type="pres">
      <dgm:prSet presAssocID="{1ADEB7F5-2725-43A4-A0BF-FE844CF6FD7B}" presName="hierRoot2" presStyleCnt="0">
        <dgm:presLayoutVars>
          <dgm:hierBranch val="init"/>
        </dgm:presLayoutVars>
      </dgm:prSet>
      <dgm:spPr/>
    </dgm:pt>
    <dgm:pt modelId="{8FB7F584-D1FF-4D4A-AF15-A0ACEE4D30D9}" type="pres">
      <dgm:prSet presAssocID="{1ADEB7F5-2725-43A4-A0BF-FE844CF6FD7B}" presName="rootComposite" presStyleCnt="0"/>
      <dgm:spPr/>
    </dgm:pt>
    <dgm:pt modelId="{32899470-9839-4427-9DEA-F8C88564E441}" type="pres">
      <dgm:prSet presAssocID="{1ADEB7F5-2725-43A4-A0BF-FE844CF6FD7B}" presName="rootText" presStyleLbl="node2" presStyleIdx="1" presStyleCnt="3">
        <dgm:presLayoutVars>
          <dgm:chPref val="3"/>
        </dgm:presLayoutVars>
      </dgm:prSet>
      <dgm:spPr/>
      <dgm:t>
        <a:bodyPr/>
        <a:lstStyle/>
        <a:p>
          <a:endParaRPr lang="en-GB"/>
        </a:p>
      </dgm:t>
    </dgm:pt>
    <dgm:pt modelId="{62336019-4AC6-43BF-A7DF-2855017EFEC9}" type="pres">
      <dgm:prSet presAssocID="{1ADEB7F5-2725-43A4-A0BF-FE844CF6FD7B}" presName="rootConnector" presStyleLbl="node2" presStyleIdx="1" presStyleCnt="3"/>
      <dgm:spPr/>
      <dgm:t>
        <a:bodyPr/>
        <a:lstStyle/>
        <a:p>
          <a:endParaRPr lang="en-GB"/>
        </a:p>
      </dgm:t>
    </dgm:pt>
    <dgm:pt modelId="{2B6011AC-67D2-4029-BF22-7A6D48C74A01}" type="pres">
      <dgm:prSet presAssocID="{1ADEB7F5-2725-43A4-A0BF-FE844CF6FD7B}" presName="hierChild4" presStyleCnt="0"/>
      <dgm:spPr/>
    </dgm:pt>
    <dgm:pt modelId="{3695BB95-2F35-48EF-AAAD-4F57EAFB5CE1}" type="pres">
      <dgm:prSet presAssocID="{843AED15-F71B-4552-B89F-5A1D921B26D1}" presName="Name64" presStyleLbl="parChTrans1D3" presStyleIdx="1" presStyleCnt="3"/>
      <dgm:spPr/>
      <dgm:t>
        <a:bodyPr/>
        <a:lstStyle/>
        <a:p>
          <a:endParaRPr lang="en-GB"/>
        </a:p>
      </dgm:t>
    </dgm:pt>
    <dgm:pt modelId="{8EF62558-461B-400A-87BF-C6B57270FB01}" type="pres">
      <dgm:prSet presAssocID="{B858D68F-69A1-40EC-92B8-A51F6CCE01B2}" presName="hierRoot2" presStyleCnt="0">
        <dgm:presLayoutVars>
          <dgm:hierBranch val="init"/>
        </dgm:presLayoutVars>
      </dgm:prSet>
      <dgm:spPr/>
    </dgm:pt>
    <dgm:pt modelId="{AF19F471-3898-454D-B51D-C66901CA386F}" type="pres">
      <dgm:prSet presAssocID="{B858D68F-69A1-40EC-92B8-A51F6CCE01B2}" presName="rootComposite" presStyleCnt="0"/>
      <dgm:spPr/>
    </dgm:pt>
    <dgm:pt modelId="{BD5F334F-B423-4F58-963A-ADC4E486003C}" type="pres">
      <dgm:prSet presAssocID="{B858D68F-69A1-40EC-92B8-A51F6CCE01B2}" presName="rootText" presStyleLbl="node3" presStyleIdx="1" presStyleCnt="3">
        <dgm:presLayoutVars>
          <dgm:chPref val="3"/>
        </dgm:presLayoutVars>
      </dgm:prSet>
      <dgm:spPr/>
      <dgm:t>
        <a:bodyPr/>
        <a:lstStyle/>
        <a:p>
          <a:endParaRPr lang="en-GB"/>
        </a:p>
      </dgm:t>
    </dgm:pt>
    <dgm:pt modelId="{9583DF23-54E2-49C2-A221-0D31D49AECC7}" type="pres">
      <dgm:prSet presAssocID="{B858D68F-69A1-40EC-92B8-A51F6CCE01B2}" presName="rootConnector" presStyleLbl="node3" presStyleIdx="1" presStyleCnt="3"/>
      <dgm:spPr/>
      <dgm:t>
        <a:bodyPr/>
        <a:lstStyle/>
        <a:p>
          <a:endParaRPr lang="en-GB"/>
        </a:p>
      </dgm:t>
    </dgm:pt>
    <dgm:pt modelId="{63D46783-F031-44C5-9A29-FF2FD244090B}" type="pres">
      <dgm:prSet presAssocID="{B858D68F-69A1-40EC-92B8-A51F6CCE01B2}" presName="hierChild4" presStyleCnt="0"/>
      <dgm:spPr/>
    </dgm:pt>
    <dgm:pt modelId="{CC07AC0C-B353-4C61-8F5B-C6F455272A95}" type="pres">
      <dgm:prSet presAssocID="{B858D68F-69A1-40EC-92B8-A51F6CCE01B2}" presName="hierChild5" presStyleCnt="0"/>
      <dgm:spPr/>
    </dgm:pt>
    <dgm:pt modelId="{6E918764-292B-41C6-90EF-D2114116EFE2}" type="pres">
      <dgm:prSet presAssocID="{1ADEB7F5-2725-43A4-A0BF-FE844CF6FD7B}" presName="hierChild5" presStyleCnt="0"/>
      <dgm:spPr/>
    </dgm:pt>
    <dgm:pt modelId="{01A59A48-4C83-4F47-B439-1586B0175362}" type="pres">
      <dgm:prSet presAssocID="{5C0CCD16-E8EB-4C59-8304-52553D51CE14}" presName="Name64" presStyleLbl="parChTrans1D2" presStyleIdx="2" presStyleCnt="3"/>
      <dgm:spPr/>
      <dgm:t>
        <a:bodyPr/>
        <a:lstStyle/>
        <a:p>
          <a:endParaRPr lang="en-GB"/>
        </a:p>
      </dgm:t>
    </dgm:pt>
    <dgm:pt modelId="{36B9CDC8-1B35-4901-845A-EB8D84A2AEE2}" type="pres">
      <dgm:prSet presAssocID="{595E8889-A692-4624-97D8-FF15DD1FBA31}" presName="hierRoot2" presStyleCnt="0">
        <dgm:presLayoutVars>
          <dgm:hierBranch val="init"/>
        </dgm:presLayoutVars>
      </dgm:prSet>
      <dgm:spPr/>
    </dgm:pt>
    <dgm:pt modelId="{2113727B-1489-4D7A-9A0D-1E906B368EAD}" type="pres">
      <dgm:prSet presAssocID="{595E8889-A692-4624-97D8-FF15DD1FBA31}" presName="rootComposite" presStyleCnt="0"/>
      <dgm:spPr/>
    </dgm:pt>
    <dgm:pt modelId="{0B928769-4AEA-40C2-A5A2-E89C32943CAA}" type="pres">
      <dgm:prSet presAssocID="{595E8889-A692-4624-97D8-FF15DD1FBA31}" presName="rootText" presStyleLbl="node2" presStyleIdx="2" presStyleCnt="3">
        <dgm:presLayoutVars>
          <dgm:chPref val="3"/>
        </dgm:presLayoutVars>
      </dgm:prSet>
      <dgm:spPr/>
      <dgm:t>
        <a:bodyPr/>
        <a:lstStyle/>
        <a:p>
          <a:endParaRPr lang="en-GB"/>
        </a:p>
      </dgm:t>
    </dgm:pt>
    <dgm:pt modelId="{9D23D39A-0746-4BFD-AE5D-7E7B1DB1C4ED}" type="pres">
      <dgm:prSet presAssocID="{595E8889-A692-4624-97D8-FF15DD1FBA31}" presName="rootConnector" presStyleLbl="node2" presStyleIdx="2" presStyleCnt="3"/>
      <dgm:spPr/>
      <dgm:t>
        <a:bodyPr/>
        <a:lstStyle/>
        <a:p>
          <a:endParaRPr lang="en-GB"/>
        </a:p>
      </dgm:t>
    </dgm:pt>
    <dgm:pt modelId="{76373D63-66AD-4B77-8CF9-8204E26222C8}" type="pres">
      <dgm:prSet presAssocID="{595E8889-A692-4624-97D8-FF15DD1FBA31}" presName="hierChild4" presStyleCnt="0"/>
      <dgm:spPr/>
    </dgm:pt>
    <dgm:pt modelId="{03BC981D-7986-4C20-9C2F-F0958A9E48E2}" type="pres">
      <dgm:prSet presAssocID="{9AA5F6E7-DB5C-48BD-9A5A-E4AA6293BAA2}" presName="Name64" presStyleLbl="parChTrans1D3" presStyleIdx="2" presStyleCnt="3"/>
      <dgm:spPr/>
      <dgm:t>
        <a:bodyPr/>
        <a:lstStyle/>
        <a:p>
          <a:endParaRPr lang="en-GB"/>
        </a:p>
      </dgm:t>
    </dgm:pt>
    <dgm:pt modelId="{FE43EB42-CC2A-4840-8AF9-682BEC33B7E5}" type="pres">
      <dgm:prSet presAssocID="{DDC6FAC5-7B8A-4C55-B67C-9F4172DC2C71}" presName="hierRoot2" presStyleCnt="0">
        <dgm:presLayoutVars>
          <dgm:hierBranch val="init"/>
        </dgm:presLayoutVars>
      </dgm:prSet>
      <dgm:spPr/>
    </dgm:pt>
    <dgm:pt modelId="{ECB61BF6-2F00-437D-9947-7C9DDD922201}" type="pres">
      <dgm:prSet presAssocID="{DDC6FAC5-7B8A-4C55-B67C-9F4172DC2C71}" presName="rootComposite" presStyleCnt="0"/>
      <dgm:spPr/>
    </dgm:pt>
    <dgm:pt modelId="{50D44B2B-E4D5-473C-B956-B380DE34F7DC}" type="pres">
      <dgm:prSet presAssocID="{DDC6FAC5-7B8A-4C55-B67C-9F4172DC2C71}" presName="rootText" presStyleLbl="node3" presStyleIdx="2" presStyleCnt="3">
        <dgm:presLayoutVars>
          <dgm:chPref val="3"/>
        </dgm:presLayoutVars>
      </dgm:prSet>
      <dgm:spPr/>
      <dgm:t>
        <a:bodyPr/>
        <a:lstStyle/>
        <a:p>
          <a:endParaRPr lang="en-GB"/>
        </a:p>
      </dgm:t>
    </dgm:pt>
    <dgm:pt modelId="{2474113B-ADCF-47F5-8ECF-ECCDA0352402}" type="pres">
      <dgm:prSet presAssocID="{DDC6FAC5-7B8A-4C55-B67C-9F4172DC2C71}" presName="rootConnector" presStyleLbl="node3" presStyleIdx="2" presStyleCnt="3"/>
      <dgm:spPr/>
      <dgm:t>
        <a:bodyPr/>
        <a:lstStyle/>
        <a:p>
          <a:endParaRPr lang="en-GB"/>
        </a:p>
      </dgm:t>
    </dgm:pt>
    <dgm:pt modelId="{E191457B-1AB3-4BEB-9ED3-5A9D676F76F4}" type="pres">
      <dgm:prSet presAssocID="{DDC6FAC5-7B8A-4C55-B67C-9F4172DC2C71}" presName="hierChild4" presStyleCnt="0"/>
      <dgm:spPr/>
    </dgm:pt>
    <dgm:pt modelId="{41390FB7-C9B4-4845-97AC-A8A4CE2C42E3}" type="pres">
      <dgm:prSet presAssocID="{DDC6FAC5-7B8A-4C55-B67C-9F4172DC2C71}" presName="hierChild5" presStyleCnt="0"/>
      <dgm:spPr/>
    </dgm:pt>
    <dgm:pt modelId="{F6BE111D-0D2E-46F5-AD46-2A9560E8506C}" type="pres">
      <dgm:prSet presAssocID="{595E8889-A692-4624-97D8-FF15DD1FBA31}" presName="hierChild5" presStyleCnt="0"/>
      <dgm:spPr/>
    </dgm:pt>
    <dgm:pt modelId="{C6275EBE-6AA6-4066-8152-C9F67CB794C8}" type="pres">
      <dgm:prSet presAssocID="{C861A3B4-669B-45A5-AC35-D89466755A42}" presName="hierChild3" presStyleCnt="0"/>
      <dgm:spPr/>
    </dgm:pt>
  </dgm:ptLst>
  <dgm:cxnLst>
    <dgm:cxn modelId="{6F077431-9397-4F63-953A-DB175FA5838A}" type="presOf" srcId="{772B6EA5-46DF-42DC-9F0F-C4FD501F503B}" destId="{98227C20-7986-474E-B38C-9D97E7007B2B}" srcOrd="0" destOrd="0" presId="urn:microsoft.com/office/officeart/2009/3/layout/HorizontalOrganizationChart"/>
    <dgm:cxn modelId="{58ED6865-0999-4C3D-A2A6-CA60116780B1}" type="presOf" srcId="{B858D68F-69A1-40EC-92B8-A51F6CCE01B2}" destId="{9583DF23-54E2-49C2-A221-0D31D49AECC7}" srcOrd="1" destOrd="0" presId="urn:microsoft.com/office/officeart/2009/3/layout/HorizontalOrganizationChart"/>
    <dgm:cxn modelId="{FA3C7019-1AC8-49CB-A42C-8A96EC4EAB1D}" type="presOf" srcId="{C861A3B4-669B-45A5-AC35-D89466755A42}" destId="{30266751-83F1-449C-8282-6A3725962BA1}" srcOrd="1" destOrd="0" presId="urn:microsoft.com/office/officeart/2009/3/layout/HorizontalOrganizationChart"/>
    <dgm:cxn modelId="{D02F4FCA-5F8C-42FD-96FB-7B0BF4168094}" type="presOf" srcId="{C14CA1F7-0C86-4105-9252-EE5481DF42C9}" destId="{04D9C5F1-A910-4404-9F1E-5498E49FAA6A}" srcOrd="0" destOrd="0" presId="urn:microsoft.com/office/officeart/2009/3/layout/HorizontalOrganizationChart"/>
    <dgm:cxn modelId="{F60491F5-7BB9-4871-AD72-396A9806AF09}" type="presOf" srcId="{E2BDBA60-D641-404E-9CF3-0615E6ED1894}" destId="{C1B4D526-CFA1-4909-9660-2DE3A8A690D4}" srcOrd="0" destOrd="0" presId="urn:microsoft.com/office/officeart/2009/3/layout/HorizontalOrganizationChart"/>
    <dgm:cxn modelId="{69235A56-3678-46C8-A85C-4A0B067D4B7D}" type="presOf" srcId="{595E8889-A692-4624-97D8-FF15DD1FBA31}" destId="{9D23D39A-0746-4BFD-AE5D-7E7B1DB1C4ED}" srcOrd="1" destOrd="0" presId="urn:microsoft.com/office/officeart/2009/3/layout/HorizontalOrganizationChart"/>
    <dgm:cxn modelId="{8885EE93-63C3-4B39-9448-E04A1809EB79}" type="presOf" srcId="{F4E4FE1E-E5B7-43ED-8222-ED16427CF20E}" destId="{CE34D9C8-B48C-49BD-9D13-E530D597843F}" srcOrd="0" destOrd="0" presId="urn:microsoft.com/office/officeart/2009/3/layout/HorizontalOrganizationChart"/>
    <dgm:cxn modelId="{BB494D55-0600-4EEB-B8EB-68A7D422AC55}" type="presOf" srcId="{843DBF40-7C4F-4E84-8702-9AEFB131B378}" destId="{C3D0677E-0E71-4928-98BC-294FB708069A}" srcOrd="0" destOrd="0" presId="urn:microsoft.com/office/officeart/2009/3/layout/HorizontalOrganizationChart"/>
    <dgm:cxn modelId="{608CA363-30BB-4ECA-80F9-B7C4E5E7409F}" type="presOf" srcId="{5C0CCD16-E8EB-4C59-8304-52553D51CE14}" destId="{01A59A48-4C83-4F47-B439-1586B0175362}" srcOrd="0" destOrd="0" presId="urn:microsoft.com/office/officeart/2009/3/layout/HorizontalOrganizationChart"/>
    <dgm:cxn modelId="{E16EF80E-0910-4ADE-8575-06A8F7E6B72C}" type="presOf" srcId="{843AED15-F71B-4552-B89F-5A1D921B26D1}" destId="{3695BB95-2F35-48EF-AAAD-4F57EAFB5CE1}" srcOrd="0" destOrd="0" presId="urn:microsoft.com/office/officeart/2009/3/layout/HorizontalOrganizationChart"/>
    <dgm:cxn modelId="{BF0F5447-22CE-4355-90AC-3B3D4868B52E}" srcId="{C861A3B4-669B-45A5-AC35-D89466755A42}" destId="{843DBF40-7C4F-4E84-8702-9AEFB131B378}" srcOrd="0" destOrd="0" parTransId="{772B6EA5-46DF-42DC-9F0F-C4FD501F503B}" sibTransId="{3CF335E2-B3F9-441C-8A67-283CD1919BCE}"/>
    <dgm:cxn modelId="{3B7BA8A0-71AE-428D-BCCE-4015A381EF2D}" type="presOf" srcId="{DDC6FAC5-7B8A-4C55-B67C-9F4172DC2C71}" destId="{50D44B2B-E4D5-473C-B956-B380DE34F7DC}" srcOrd="0" destOrd="0" presId="urn:microsoft.com/office/officeart/2009/3/layout/HorizontalOrganizationChart"/>
    <dgm:cxn modelId="{1C6EC1C0-8C9B-490C-AEAE-E4F0A505A07D}" srcId="{843DBF40-7C4F-4E84-8702-9AEFB131B378}" destId="{E2BDBA60-D641-404E-9CF3-0615E6ED1894}" srcOrd="0" destOrd="0" parTransId="{08C8CE43-900B-4C44-9C49-36C5DAD6D1FD}" sibTransId="{E8106784-FF9E-4ADC-ABF7-C673CA65E230}"/>
    <dgm:cxn modelId="{1796FDC7-B864-4C48-B489-22F1F95BBC6E}" type="presOf" srcId="{1ADEB7F5-2725-43A4-A0BF-FE844CF6FD7B}" destId="{32899470-9839-4427-9DEA-F8C88564E441}" srcOrd="0" destOrd="0" presId="urn:microsoft.com/office/officeart/2009/3/layout/HorizontalOrganizationChart"/>
    <dgm:cxn modelId="{48C673A8-157C-41B9-9D29-741C837CECAF}" type="presOf" srcId="{C861A3B4-669B-45A5-AC35-D89466755A42}" destId="{B8398C44-C422-4026-A93E-D244AF6C16A5}" srcOrd="0" destOrd="0" presId="urn:microsoft.com/office/officeart/2009/3/layout/HorizontalOrganizationChart"/>
    <dgm:cxn modelId="{FF726626-BC42-47E9-AB9E-6023159650F4}" srcId="{595E8889-A692-4624-97D8-FF15DD1FBA31}" destId="{DDC6FAC5-7B8A-4C55-B67C-9F4172DC2C71}" srcOrd="0" destOrd="0" parTransId="{9AA5F6E7-DB5C-48BD-9A5A-E4AA6293BAA2}" sibTransId="{C28DD51B-5167-4C09-A164-C7A5972B0A11}"/>
    <dgm:cxn modelId="{F82E2EF8-8D79-49C9-B95B-5F8D20CCD010}" type="presOf" srcId="{DDC6FAC5-7B8A-4C55-B67C-9F4172DC2C71}" destId="{2474113B-ADCF-47F5-8ECF-ECCDA0352402}" srcOrd="1" destOrd="0" presId="urn:microsoft.com/office/officeart/2009/3/layout/HorizontalOrganizationChart"/>
    <dgm:cxn modelId="{6D180447-5099-47C4-B646-974A942A0238}" srcId="{F4E4FE1E-E5B7-43ED-8222-ED16427CF20E}" destId="{C861A3B4-669B-45A5-AC35-D89466755A42}" srcOrd="0" destOrd="0" parTransId="{1F7F9942-C43A-4B8A-A268-EB850B766896}" sibTransId="{E2F7A694-195C-4E00-8B74-A9B13EFC15EE}"/>
    <dgm:cxn modelId="{5D454C0D-6A65-4C55-AE09-3800E0286444}" type="presOf" srcId="{843DBF40-7C4F-4E84-8702-9AEFB131B378}" destId="{446D85C7-E90A-41B8-ADB3-18789E7EE714}" srcOrd="1" destOrd="0" presId="urn:microsoft.com/office/officeart/2009/3/layout/HorizontalOrganizationChart"/>
    <dgm:cxn modelId="{BA28D65B-983A-466D-A8CE-4B5D3436E9C4}" srcId="{1ADEB7F5-2725-43A4-A0BF-FE844CF6FD7B}" destId="{B858D68F-69A1-40EC-92B8-A51F6CCE01B2}" srcOrd="0" destOrd="0" parTransId="{843AED15-F71B-4552-B89F-5A1D921B26D1}" sibTransId="{725CDCC0-92BA-48EA-9947-7D500E7BEB1D}"/>
    <dgm:cxn modelId="{8444FF27-79C5-4D2E-BE94-B539CFB5CDA6}" srcId="{C861A3B4-669B-45A5-AC35-D89466755A42}" destId="{1ADEB7F5-2725-43A4-A0BF-FE844CF6FD7B}" srcOrd="1" destOrd="0" parTransId="{C14CA1F7-0C86-4105-9252-EE5481DF42C9}" sibTransId="{4B50FCD4-A0A3-42DD-AFFD-113E408F13C7}"/>
    <dgm:cxn modelId="{55555DDD-BF3A-4281-A5C0-9A50B6B6BA30}" type="presOf" srcId="{595E8889-A692-4624-97D8-FF15DD1FBA31}" destId="{0B928769-4AEA-40C2-A5A2-E89C32943CAA}" srcOrd="0" destOrd="0" presId="urn:microsoft.com/office/officeart/2009/3/layout/HorizontalOrganizationChart"/>
    <dgm:cxn modelId="{75A24D53-F1B3-4A31-B00A-4834CC8FEE1A}" type="presOf" srcId="{B858D68F-69A1-40EC-92B8-A51F6CCE01B2}" destId="{BD5F334F-B423-4F58-963A-ADC4E486003C}" srcOrd="0" destOrd="0" presId="urn:microsoft.com/office/officeart/2009/3/layout/HorizontalOrganizationChart"/>
    <dgm:cxn modelId="{E778C657-D20C-48C9-9945-E798DC91DBA0}" type="presOf" srcId="{9AA5F6E7-DB5C-48BD-9A5A-E4AA6293BAA2}" destId="{03BC981D-7986-4C20-9C2F-F0958A9E48E2}" srcOrd="0" destOrd="0" presId="urn:microsoft.com/office/officeart/2009/3/layout/HorizontalOrganizationChart"/>
    <dgm:cxn modelId="{E746E34E-F278-44C0-A791-2BE4E10ABFC5}" type="presOf" srcId="{08C8CE43-900B-4C44-9C49-36C5DAD6D1FD}" destId="{61AB31B1-6BE1-4CB8-A8A6-842531A621DD}" srcOrd="0" destOrd="0" presId="urn:microsoft.com/office/officeart/2009/3/layout/HorizontalOrganizationChart"/>
    <dgm:cxn modelId="{9F4FA0F8-7F66-4F97-937E-2F081B0F197A}" type="presOf" srcId="{1ADEB7F5-2725-43A4-A0BF-FE844CF6FD7B}" destId="{62336019-4AC6-43BF-A7DF-2855017EFEC9}" srcOrd="1" destOrd="0" presId="urn:microsoft.com/office/officeart/2009/3/layout/HorizontalOrganizationChart"/>
    <dgm:cxn modelId="{E8F24C72-A80B-4391-BED9-DD9FF6E8A5C4}" type="presOf" srcId="{E2BDBA60-D641-404E-9CF3-0615E6ED1894}" destId="{3ECA9EA7-A5A5-47B3-9224-65A0883C866A}" srcOrd="1" destOrd="0" presId="urn:microsoft.com/office/officeart/2009/3/layout/HorizontalOrganizationChart"/>
    <dgm:cxn modelId="{85F32406-01B0-4821-9DE1-42E01A112ECE}" srcId="{C861A3B4-669B-45A5-AC35-D89466755A42}" destId="{595E8889-A692-4624-97D8-FF15DD1FBA31}" srcOrd="2" destOrd="0" parTransId="{5C0CCD16-E8EB-4C59-8304-52553D51CE14}" sibTransId="{E46DC960-6BAE-4A49-9B72-EAF66B99CA3A}"/>
    <dgm:cxn modelId="{DE2F1ACB-53FC-4817-80AA-327023861F91}" type="presParOf" srcId="{CE34D9C8-B48C-49BD-9D13-E530D597843F}" destId="{309F9368-3162-48BF-ADDF-5F7241BEEBF4}" srcOrd="0" destOrd="0" presId="urn:microsoft.com/office/officeart/2009/3/layout/HorizontalOrganizationChart"/>
    <dgm:cxn modelId="{CF1D6682-FE19-42DC-B5EE-5B1197865AF5}" type="presParOf" srcId="{309F9368-3162-48BF-ADDF-5F7241BEEBF4}" destId="{458F05C4-16C0-406D-B9EC-992DE1F9DDDC}" srcOrd="0" destOrd="0" presId="urn:microsoft.com/office/officeart/2009/3/layout/HorizontalOrganizationChart"/>
    <dgm:cxn modelId="{DF8E8CC6-DABB-41E3-ABD4-F277A843C3C4}" type="presParOf" srcId="{458F05C4-16C0-406D-B9EC-992DE1F9DDDC}" destId="{B8398C44-C422-4026-A93E-D244AF6C16A5}" srcOrd="0" destOrd="0" presId="urn:microsoft.com/office/officeart/2009/3/layout/HorizontalOrganizationChart"/>
    <dgm:cxn modelId="{2078DE0E-F526-422B-8C4F-F05A31285A16}" type="presParOf" srcId="{458F05C4-16C0-406D-B9EC-992DE1F9DDDC}" destId="{30266751-83F1-449C-8282-6A3725962BA1}" srcOrd="1" destOrd="0" presId="urn:microsoft.com/office/officeart/2009/3/layout/HorizontalOrganizationChart"/>
    <dgm:cxn modelId="{03868BA5-C7A4-40F3-931C-B63690C15320}" type="presParOf" srcId="{309F9368-3162-48BF-ADDF-5F7241BEEBF4}" destId="{AF6DBE47-C765-44E2-A856-4D381E985E88}" srcOrd="1" destOrd="0" presId="urn:microsoft.com/office/officeart/2009/3/layout/HorizontalOrganizationChart"/>
    <dgm:cxn modelId="{1F99C275-630B-4207-9B2C-2F914E769974}" type="presParOf" srcId="{AF6DBE47-C765-44E2-A856-4D381E985E88}" destId="{98227C20-7986-474E-B38C-9D97E7007B2B}" srcOrd="0" destOrd="0" presId="urn:microsoft.com/office/officeart/2009/3/layout/HorizontalOrganizationChart"/>
    <dgm:cxn modelId="{2538A43F-386E-41B7-9375-653E1673E32A}" type="presParOf" srcId="{AF6DBE47-C765-44E2-A856-4D381E985E88}" destId="{4199E55E-3B4A-493C-9261-99FF3F76F070}" srcOrd="1" destOrd="0" presId="urn:microsoft.com/office/officeart/2009/3/layout/HorizontalOrganizationChart"/>
    <dgm:cxn modelId="{B605F5AD-2C82-4A53-A9CD-F4D010061CCC}" type="presParOf" srcId="{4199E55E-3B4A-493C-9261-99FF3F76F070}" destId="{2452EE76-78EE-449B-BC96-AEC6B57EA99A}" srcOrd="0" destOrd="0" presId="urn:microsoft.com/office/officeart/2009/3/layout/HorizontalOrganizationChart"/>
    <dgm:cxn modelId="{9E593059-678A-43BA-B35D-3871468EC286}" type="presParOf" srcId="{2452EE76-78EE-449B-BC96-AEC6B57EA99A}" destId="{C3D0677E-0E71-4928-98BC-294FB708069A}" srcOrd="0" destOrd="0" presId="urn:microsoft.com/office/officeart/2009/3/layout/HorizontalOrganizationChart"/>
    <dgm:cxn modelId="{868DE974-1EC9-4DB6-A2A9-36D0ADF3D381}" type="presParOf" srcId="{2452EE76-78EE-449B-BC96-AEC6B57EA99A}" destId="{446D85C7-E90A-41B8-ADB3-18789E7EE714}" srcOrd="1" destOrd="0" presId="urn:microsoft.com/office/officeart/2009/3/layout/HorizontalOrganizationChart"/>
    <dgm:cxn modelId="{3BFF1225-F12E-437D-97EF-58F5E520DF6E}" type="presParOf" srcId="{4199E55E-3B4A-493C-9261-99FF3F76F070}" destId="{405EBC71-3B26-40DC-A9A0-60302DA10D05}" srcOrd="1" destOrd="0" presId="urn:microsoft.com/office/officeart/2009/3/layout/HorizontalOrganizationChart"/>
    <dgm:cxn modelId="{DC17C2DB-B4BC-4FF1-AE40-FA2DCF2D1809}" type="presParOf" srcId="{405EBC71-3B26-40DC-A9A0-60302DA10D05}" destId="{61AB31B1-6BE1-4CB8-A8A6-842531A621DD}" srcOrd="0" destOrd="0" presId="urn:microsoft.com/office/officeart/2009/3/layout/HorizontalOrganizationChart"/>
    <dgm:cxn modelId="{8D310929-A078-4174-86B5-12F387A56A2E}" type="presParOf" srcId="{405EBC71-3B26-40DC-A9A0-60302DA10D05}" destId="{0B837D68-4C77-49B4-93E5-6B1350C2430B}" srcOrd="1" destOrd="0" presId="urn:microsoft.com/office/officeart/2009/3/layout/HorizontalOrganizationChart"/>
    <dgm:cxn modelId="{86119CCA-978E-4BC7-8A4B-9A5EA3C52C6E}" type="presParOf" srcId="{0B837D68-4C77-49B4-93E5-6B1350C2430B}" destId="{FE987780-D5F4-48DF-B9A6-83C067092136}" srcOrd="0" destOrd="0" presId="urn:microsoft.com/office/officeart/2009/3/layout/HorizontalOrganizationChart"/>
    <dgm:cxn modelId="{A38CFB7B-4209-4952-A590-41DBCDD9BB75}" type="presParOf" srcId="{FE987780-D5F4-48DF-B9A6-83C067092136}" destId="{C1B4D526-CFA1-4909-9660-2DE3A8A690D4}" srcOrd="0" destOrd="0" presId="urn:microsoft.com/office/officeart/2009/3/layout/HorizontalOrganizationChart"/>
    <dgm:cxn modelId="{85320FE4-2C18-4457-BFCE-0FE87B3D94B1}" type="presParOf" srcId="{FE987780-D5F4-48DF-B9A6-83C067092136}" destId="{3ECA9EA7-A5A5-47B3-9224-65A0883C866A}" srcOrd="1" destOrd="0" presId="urn:microsoft.com/office/officeart/2009/3/layout/HorizontalOrganizationChart"/>
    <dgm:cxn modelId="{D8002E02-4D9F-41B1-BB2B-53ED56C39910}" type="presParOf" srcId="{0B837D68-4C77-49B4-93E5-6B1350C2430B}" destId="{AD949745-521E-4236-99D1-0370D4278AF8}" srcOrd="1" destOrd="0" presId="urn:microsoft.com/office/officeart/2009/3/layout/HorizontalOrganizationChart"/>
    <dgm:cxn modelId="{C5E746AF-6AC0-46BD-952E-3B9510CB4A4A}" type="presParOf" srcId="{0B837D68-4C77-49B4-93E5-6B1350C2430B}" destId="{E3C1CC48-C5AC-4448-813F-008E9FD74C4F}" srcOrd="2" destOrd="0" presId="urn:microsoft.com/office/officeart/2009/3/layout/HorizontalOrganizationChart"/>
    <dgm:cxn modelId="{76124FF7-76AA-467C-B356-40658C6C80A8}" type="presParOf" srcId="{4199E55E-3B4A-493C-9261-99FF3F76F070}" destId="{06E7C423-508B-40E9-8467-E429F52324B5}" srcOrd="2" destOrd="0" presId="urn:microsoft.com/office/officeart/2009/3/layout/HorizontalOrganizationChart"/>
    <dgm:cxn modelId="{B009C8BC-37A3-463C-9EB6-74EFADBB5FC4}" type="presParOf" srcId="{AF6DBE47-C765-44E2-A856-4D381E985E88}" destId="{04D9C5F1-A910-4404-9F1E-5498E49FAA6A}" srcOrd="2" destOrd="0" presId="urn:microsoft.com/office/officeart/2009/3/layout/HorizontalOrganizationChart"/>
    <dgm:cxn modelId="{9557E88F-6343-45DC-8531-0012F37CD365}" type="presParOf" srcId="{AF6DBE47-C765-44E2-A856-4D381E985E88}" destId="{960AB6D1-AC18-4703-84A3-58C80E5A7B01}" srcOrd="3" destOrd="0" presId="urn:microsoft.com/office/officeart/2009/3/layout/HorizontalOrganizationChart"/>
    <dgm:cxn modelId="{0A2D8331-4669-44C9-8F32-E3619C40276F}" type="presParOf" srcId="{960AB6D1-AC18-4703-84A3-58C80E5A7B01}" destId="{8FB7F584-D1FF-4D4A-AF15-A0ACEE4D30D9}" srcOrd="0" destOrd="0" presId="urn:microsoft.com/office/officeart/2009/3/layout/HorizontalOrganizationChart"/>
    <dgm:cxn modelId="{A966F4FC-F222-4748-BC9D-8484E07363FD}" type="presParOf" srcId="{8FB7F584-D1FF-4D4A-AF15-A0ACEE4D30D9}" destId="{32899470-9839-4427-9DEA-F8C88564E441}" srcOrd="0" destOrd="0" presId="urn:microsoft.com/office/officeart/2009/3/layout/HorizontalOrganizationChart"/>
    <dgm:cxn modelId="{F956C7FC-D2B6-4971-A665-8516D7F0B86C}" type="presParOf" srcId="{8FB7F584-D1FF-4D4A-AF15-A0ACEE4D30D9}" destId="{62336019-4AC6-43BF-A7DF-2855017EFEC9}" srcOrd="1" destOrd="0" presId="urn:microsoft.com/office/officeart/2009/3/layout/HorizontalOrganizationChart"/>
    <dgm:cxn modelId="{409B6862-A2B6-4EF0-8371-A84C886D8AFE}" type="presParOf" srcId="{960AB6D1-AC18-4703-84A3-58C80E5A7B01}" destId="{2B6011AC-67D2-4029-BF22-7A6D48C74A01}" srcOrd="1" destOrd="0" presId="urn:microsoft.com/office/officeart/2009/3/layout/HorizontalOrganizationChart"/>
    <dgm:cxn modelId="{BDE451F4-5ACB-401E-A47A-9BE360B789AC}" type="presParOf" srcId="{2B6011AC-67D2-4029-BF22-7A6D48C74A01}" destId="{3695BB95-2F35-48EF-AAAD-4F57EAFB5CE1}" srcOrd="0" destOrd="0" presId="urn:microsoft.com/office/officeart/2009/3/layout/HorizontalOrganizationChart"/>
    <dgm:cxn modelId="{D89DDF66-EDBE-44C7-9BE6-2762195A2B8F}" type="presParOf" srcId="{2B6011AC-67D2-4029-BF22-7A6D48C74A01}" destId="{8EF62558-461B-400A-87BF-C6B57270FB01}" srcOrd="1" destOrd="0" presId="urn:microsoft.com/office/officeart/2009/3/layout/HorizontalOrganizationChart"/>
    <dgm:cxn modelId="{355E7165-75EC-4F1D-AACE-71063C40D7B4}" type="presParOf" srcId="{8EF62558-461B-400A-87BF-C6B57270FB01}" destId="{AF19F471-3898-454D-B51D-C66901CA386F}" srcOrd="0" destOrd="0" presId="urn:microsoft.com/office/officeart/2009/3/layout/HorizontalOrganizationChart"/>
    <dgm:cxn modelId="{C8F3F8DF-C723-4905-A1AF-3AD7AB0D969F}" type="presParOf" srcId="{AF19F471-3898-454D-B51D-C66901CA386F}" destId="{BD5F334F-B423-4F58-963A-ADC4E486003C}" srcOrd="0" destOrd="0" presId="urn:microsoft.com/office/officeart/2009/3/layout/HorizontalOrganizationChart"/>
    <dgm:cxn modelId="{EF07F326-7C28-4919-98AC-F3BFA7F10F11}" type="presParOf" srcId="{AF19F471-3898-454D-B51D-C66901CA386F}" destId="{9583DF23-54E2-49C2-A221-0D31D49AECC7}" srcOrd="1" destOrd="0" presId="urn:microsoft.com/office/officeart/2009/3/layout/HorizontalOrganizationChart"/>
    <dgm:cxn modelId="{1B176082-82CF-44C4-B8EA-ED68751FE8C5}" type="presParOf" srcId="{8EF62558-461B-400A-87BF-C6B57270FB01}" destId="{63D46783-F031-44C5-9A29-FF2FD244090B}" srcOrd="1" destOrd="0" presId="urn:microsoft.com/office/officeart/2009/3/layout/HorizontalOrganizationChart"/>
    <dgm:cxn modelId="{FC54B752-D010-4E8D-8BB2-2E38B328AB59}" type="presParOf" srcId="{8EF62558-461B-400A-87BF-C6B57270FB01}" destId="{CC07AC0C-B353-4C61-8F5B-C6F455272A95}" srcOrd="2" destOrd="0" presId="urn:microsoft.com/office/officeart/2009/3/layout/HorizontalOrganizationChart"/>
    <dgm:cxn modelId="{BFB0006A-8BCE-4187-A5D5-506B7B399EF1}" type="presParOf" srcId="{960AB6D1-AC18-4703-84A3-58C80E5A7B01}" destId="{6E918764-292B-41C6-90EF-D2114116EFE2}" srcOrd="2" destOrd="0" presId="urn:microsoft.com/office/officeart/2009/3/layout/HorizontalOrganizationChart"/>
    <dgm:cxn modelId="{BAE03A3F-CD0C-43ED-A11E-34C73D0F50AE}" type="presParOf" srcId="{AF6DBE47-C765-44E2-A856-4D381E985E88}" destId="{01A59A48-4C83-4F47-B439-1586B0175362}" srcOrd="4" destOrd="0" presId="urn:microsoft.com/office/officeart/2009/3/layout/HorizontalOrganizationChart"/>
    <dgm:cxn modelId="{46BE7439-AFB7-4EF9-89C3-308308951D37}" type="presParOf" srcId="{AF6DBE47-C765-44E2-A856-4D381E985E88}" destId="{36B9CDC8-1B35-4901-845A-EB8D84A2AEE2}" srcOrd="5" destOrd="0" presId="urn:microsoft.com/office/officeart/2009/3/layout/HorizontalOrganizationChart"/>
    <dgm:cxn modelId="{3F44ED10-82B2-4BCE-9F74-72A5C2BC4F7F}" type="presParOf" srcId="{36B9CDC8-1B35-4901-845A-EB8D84A2AEE2}" destId="{2113727B-1489-4D7A-9A0D-1E906B368EAD}" srcOrd="0" destOrd="0" presId="urn:microsoft.com/office/officeart/2009/3/layout/HorizontalOrganizationChart"/>
    <dgm:cxn modelId="{3B844E66-E441-4C18-BACB-D9B6F709E618}" type="presParOf" srcId="{2113727B-1489-4D7A-9A0D-1E906B368EAD}" destId="{0B928769-4AEA-40C2-A5A2-E89C32943CAA}" srcOrd="0" destOrd="0" presId="urn:microsoft.com/office/officeart/2009/3/layout/HorizontalOrganizationChart"/>
    <dgm:cxn modelId="{5FBCB2D8-13F5-4EDE-AD9D-B7FB467190AC}" type="presParOf" srcId="{2113727B-1489-4D7A-9A0D-1E906B368EAD}" destId="{9D23D39A-0746-4BFD-AE5D-7E7B1DB1C4ED}" srcOrd="1" destOrd="0" presId="urn:microsoft.com/office/officeart/2009/3/layout/HorizontalOrganizationChart"/>
    <dgm:cxn modelId="{7D61B864-8EB6-4538-8411-829B2E366C83}" type="presParOf" srcId="{36B9CDC8-1B35-4901-845A-EB8D84A2AEE2}" destId="{76373D63-66AD-4B77-8CF9-8204E26222C8}" srcOrd="1" destOrd="0" presId="urn:microsoft.com/office/officeart/2009/3/layout/HorizontalOrganizationChart"/>
    <dgm:cxn modelId="{D02ED657-BD70-4F13-85E9-0886DDB25552}" type="presParOf" srcId="{76373D63-66AD-4B77-8CF9-8204E26222C8}" destId="{03BC981D-7986-4C20-9C2F-F0958A9E48E2}" srcOrd="0" destOrd="0" presId="urn:microsoft.com/office/officeart/2009/3/layout/HorizontalOrganizationChart"/>
    <dgm:cxn modelId="{BFD3D1E9-2E5B-4D24-97EB-5E878A4B2EBF}" type="presParOf" srcId="{76373D63-66AD-4B77-8CF9-8204E26222C8}" destId="{FE43EB42-CC2A-4840-8AF9-682BEC33B7E5}" srcOrd="1" destOrd="0" presId="urn:microsoft.com/office/officeart/2009/3/layout/HorizontalOrganizationChart"/>
    <dgm:cxn modelId="{860204A3-D536-44F8-9E71-45A19CF9BF35}" type="presParOf" srcId="{FE43EB42-CC2A-4840-8AF9-682BEC33B7E5}" destId="{ECB61BF6-2F00-437D-9947-7C9DDD922201}" srcOrd="0" destOrd="0" presId="urn:microsoft.com/office/officeart/2009/3/layout/HorizontalOrganizationChart"/>
    <dgm:cxn modelId="{E14B2FC8-497F-4B52-B009-EA987891AF9A}" type="presParOf" srcId="{ECB61BF6-2F00-437D-9947-7C9DDD922201}" destId="{50D44B2B-E4D5-473C-B956-B380DE34F7DC}" srcOrd="0" destOrd="0" presId="urn:microsoft.com/office/officeart/2009/3/layout/HorizontalOrganizationChart"/>
    <dgm:cxn modelId="{C82C3BE6-A250-4638-8F51-512520660E68}" type="presParOf" srcId="{ECB61BF6-2F00-437D-9947-7C9DDD922201}" destId="{2474113B-ADCF-47F5-8ECF-ECCDA0352402}" srcOrd="1" destOrd="0" presId="urn:microsoft.com/office/officeart/2009/3/layout/HorizontalOrganizationChart"/>
    <dgm:cxn modelId="{07DEBCF8-6D92-4EE7-A907-62F863C21264}" type="presParOf" srcId="{FE43EB42-CC2A-4840-8AF9-682BEC33B7E5}" destId="{E191457B-1AB3-4BEB-9ED3-5A9D676F76F4}" srcOrd="1" destOrd="0" presId="urn:microsoft.com/office/officeart/2009/3/layout/HorizontalOrganizationChart"/>
    <dgm:cxn modelId="{DD472B3D-0740-4FD3-9BA7-B636E85BE052}" type="presParOf" srcId="{FE43EB42-CC2A-4840-8AF9-682BEC33B7E5}" destId="{41390FB7-C9B4-4845-97AC-A8A4CE2C42E3}" srcOrd="2" destOrd="0" presId="urn:microsoft.com/office/officeart/2009/3/layout/HorizontalOrganizationChart"/>
    <dgm:cxn modelId="{2BD9FA63-2A23-48C6-84CA-E50866BF1395}" type="presParOf" srcId="{36B9CDC8-1B35-4901-845A-EB8D84A2AEE2}" destId="{F6BE111D-0D2E-46F5-AD46-2A9560E8506C}" srcOrd="2" destOrd="0" presId="urn:microsoft.com/office/officeart/2009/3/layout/HorizontalOrganizationChart"/>
    <dgm:cxn modelId="{ECD9EABB-F5E8-481F-9482-4CB58E67A746}" type="presParOf" srcId="{309F9368-3162-48BF-ADDF-5F7241BEEBF4}" destId="{C6275EBE-6AA6-4066-8152-C9F67CB794C8}" srcOrd="2" destOrd="0" presId="urn:microsoft.com/office/officeart/2009/3/layout/HorizontalOrganizationChart"/>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4E4FE1E-E5B7-43ED-8222-ED16427CF20E}" type="doc">
      <dgm:prSet loTypeId="urn:microsoft.com/office/officeart/2009/3/layout/HorizontalOrganizationChart" loCatId="hierarchy" qsTypeId="urn:microsoft.com/office/officeart/2005/8/quickstyle/3d3" qsCatId="3D" csTypeId="urn:microsoft.com/office/officeart/2005/8/colors/accent1_2" csCatId="accent1" phldr="1"/>
      <dgm:spPr/>
      <dgm:t>
        <a:bodyPr/>
        <a:lstStyle/>
        <a:p>
          <a:endParaRPr lang="en-GB"/>
        </a:p>
      </dgm:t>
    </dgm:pt>
    <dgm:pt modelId="{C861A3B4-669B-45A5-AC35-D89466755A42}">
      <dgm:prSet phldrT="[Text]"/>
      <dgm:spPr/>
      <dgm:t>
        <a:bodyPr/>
        <a:lstStyle/>
        <a:p>
          <a:r>
            <a:rPr lang="en-GB"/>
            <a:t>Type II</a:t>
          </a:r>
        </a:p>
      </dgm:t>
    </dgm:pt>
    <dgm:pt modelId="{1F7F9942-C43A-4B8A-A268-EB850B766896}" type="parTrans" cxnId="{6D180447-5099-47C4-B646-974A942A0238}">
      <dgm:prSet/>
      <dgm:spPr/>
      <dgm:t>
        <a:bodyPr/>
        <a:lstStyle/>
        <a:p>
          <a:endParaRPr lang="en-GB"/>
        </a:p>
      </dgm:t>
    </dgm:pt>
    <dgm:pt modelId="{E2F7A694-195C-4E00-8B74-A9B13EFC15EE}" type="sibTrans" cxnId="{6D180447-5099-47C4-B646-974A942A0238}">
      <dgm:prSet/>
      <dgm:spPr/>
      <dgm:t>
        <a:bodyPr/>
        <a:lstStyle/>
        <a:p>
          <a:endParaRPr lang="en-GB"/>
        </a:p>
      </dgm:t>
    </dgm:pt>
    <dgm:pt modelId="{843DBF40-7C4F-4E84-8702-9AEFB131B378}">
      <dgm:prSet phldrT="[Text]"/>
      <dgm:spPr/>
      <dgm:t>
        <a:bodyPr/>
        <a:lstStyle/>
        <a:p>
          <a:r>
            <a:rPr lang="en-GB"/>
            <a:t>a</a:t>
          </a:r>
        </a:p>
      </dgm:t>
    </dgm:pt>
    <dgm:pt modelId="{772B6EA5-46DF-42DC-9F0F-C4FD501F503B}" type="parTrans" cxnId="{BF0F5447-22CE-4355-90AC-3B3D4868B52E}">
      <dgm:prSet/>
      <dgm:spPr/>
      <dgm:t>
        <a:bodyPr/>
        <a:lstStyle/>
        <a:p>
          <a:endParaRPr lang="en-GB"/>
        </a:p>
      </dgm:t>
    </dgm:pt>
    <dgm:pt modelId="{3CF335E2-B3F9-441C-8A67-283CD1919BCE}" type="sibTrans" cxnId="{BF0F5447-22CE-4355-90AC-3B3D4868B52E}">
      <dgm:prSet/>
      <dgm:spPr/>
      <dgm:t>
        <a:bodyPr/>
        <a:lstStyle/>
        <a:p>
          <a:endParaRPr lang="en-GB"/>
        </a:p>
      </dgm:t>
    </dgm:pt>
    <dgm:pt modelId="{1ADEB7F5-2725-43A4-A0BF-FE844CF6FD7B}">
      <dgm:prSet phldrT="[Text]"/>
      <dgm:spPr/>
      <dgm:t>
        <a:bodyPr/>
        <a:lstStyle/>
        <a:p>
          <a:r>
            <a:rPr lang="en-GB"/>
            <a:t>b</a:t>
          </a:r>
        </a:p>
      </dgm:t>
    </dgm:pt>
    <dgm:pt modelId="{C14CA1F7-0C86-4105-9252-EE5481DF42C9}" type="parTrans" cxnId="{8444FF27-79C5-4D2E-BE94-B539CFB5CDA6}">
      <dgm:prSet/>
      <dgm:spPr/>
      <dgm:t>
        <a:bodyPr/>
        <a:lstStyle/>
        <a:p>
          <a:endParaRPr lang="en-GB"/>
        </a:p>
      </dgm:t>
    </dgm:pt>
    <dgm:pt modelId="{4B50FCD4-A0A3-42DD-AFFD-113E408F13C7}" type="sibTrans" cxnId="{8444FF27-79C5-4D2E-BE94-B539CFB5CDA6}">
      <dgm:prSet/>
      <dgm:spPr/>
      <dgm:t>
        <a:bodyPr/>
        <a:lstStyle/>
        <a:p>
          <a:endParaRPr lang="en-GB"/>
        </a:p>
      </dgm:t>
    </dgm:pt>
    <dgm:pt modelId="{E2BDBA60-D641-404E-9CF3-0615E6ED1894}">
      <dgm:prSet/>
      <dgm:spPr/>
      <dgm:t>
        <a:bodyPr/>
        <a:lstStyle/>
        <a:p>
          <a:r>
            <a:rPr lang="en-GB"/>
            <a:t>Firms</a:t>
          </a:r>
        </a:p>
        <a:p>
          <a:r>
            <a:rPr lang="en-GB"/>
            <a:t>e.g. small and medium plnats, large companies</a:t>
          </a:r>
        </a:p>
      </dgm:t>
    </dgm:pt>
    <dgm:pt modelId="{08C8CE43-900B-4C44-9C49-36C5DAD6D1FD}" type="parTrans" cxnId="{1C6EC1C0-8C9B-490C-AEAE-E4F0A505A07D}">
      <dgm:prSet/>
      <dgm:spPr/>
      <dgm:t>
        <a:bodyPr/>
        <a:lstStyle/>
        <a:p>
          <a:endParaRPr lang="en-GB"/>
        </a:p>
      </dgm:t>
    </dgm:pt>
    <dgm:pt modelId="{E8106784-FF9E-4ADC-ABF7-C673CA65E230}" type="sibTrans" cxnId="{1C6EC1C0-8C9B-490C-AEAE-E4F0A505A07D}">
      <dgm:prSet/>
      <dgm:spPr/>
      <dgm:t>
        <a:bodyPr/>
        <a:lstStyle/>
        <a:p>
          <a:endParaRPr lang="en-GB"/>
        </a:p>
      </dgm:t>
    </dgm:pt>
    <dgm:pt modelId="{B858D68F-69A1-40EC-92B8-A51F6CCE01B2}">
      <dgm:prSet/>
      <dgm:spPr/>
      <dgm:t>
        <a:bodyPr/>
        <a:lstStyle/>
        <a:p>
          <a:r>
            <a:rPr lang="en-GB"/>
            <a:t>Sectors </a:t>
          </a:r>
        </a:p>
        <a:p>
          <a:r>
            <a:rPr lang="en-GB"/>
            <a:t>e.g. chemical industry, construction</a:t>
          </a:r>
        </a:p>
      </dgm:t>
    </dgm:pt>
    <dgm:pt modelId="{843AED15-F71B-4552-B89F-5A1D921B26D1}" type="parTrans" cxnId="{BA28D65B-983A-466D-A8CE-4B5D3436E9C4}">
      <dgm:prSet/>
      <dgm:spPr/>
      <dgm:t>
        <a:bodyPr/>
        <a:lstStyle/>
        <a:p>
          <a:endParaRPr lang="en-GB"/>
        </a:p>
      </dgm:t>
    </dgm:pt>
    <dgm:pt modelId="{725CDCC0-92BA-48EA-9947-7D500E7BEB1D}" type="sibTrans" cxnId="{BA28D65B-983A-466D-A8CE-4B5D3436E9C4}">
      <dgm:prSet/>
      <dgm:spPr/>
      <dgm:t>
        <a:bodyPr/>
        <a:lstStyle/>
        <a:p>
          <a:endParaRPr lang="en-GB"/>
        </a:p>
      </dgm:t>
    </dgm:pt>
    <dgm:pt modelId="{DDC6FAC5-7B8A-4C55-B67C-9F4172DC2C71}">
      <dgm:prSet/>
      <dgm:spPr/>
      <dgm:t>
        <a:bodyPr/>
        <a:lstStyle/>
        <a:p>
          <a:r>
            <a:rPr lang="en-GB"/>
            <a:t>c</a:t>
          </a:r>
        </a:p>
      </dgm:t>
    </dgm:pt>
    <dgm:pt modelId="{9AA5F6E7-DB5C-48BD-9A5A-E4AA6293BAA2}" type="parTrans" cxnId="{FF726626-BC42-47E9-AB9E-6023159650F4}">
      <dgm:prSet/>
      <dgm:spPr/>
      <dgm:t>
        <a:bodyPr/>
        <a:lstStyle/>
        <a:p>
          <a:endParaRPr lang="en-GB"/>
        </a:p>
      </dgm:t>
    </dgm:pt>
    <dgm:pt modelId="{C28DD51B-5167-4C09-A164-C7A5972B0A11}" type="sibTrans" cxnId="{FF726626-BC42-47E9-AB9E-6023159650F4}">
      <dgm:prSet/>
      <dgm:spPr/>
      <dgm:t>
        <a:bodyPr/>
        <a:lstStyle/>
        <a:p>
          <a:endParaRPr lang="en-GB"/>
        </a:p>
      </dgm:t>
    </dgm:pt>
    <dgm:pt modelId="{783AE6F5-2C42-4DEC-84D7-0E4422750987}">
      <dgm:prSet/>
      <dgm:spPr/>
      <dgm:t>
        <a:bodyPr/>
        <a:lstStyle/>
        <a:p>
          <a:r>
            <a:rPr lang="en-GB"/>
            <a:t>Regions</a:t>
          </a:r>
        </a:p>
        <a:p>
          <a:r>
            <a:rPr lang="en-GB"/>
            <a:t> e.g.mass flow balance, total material requirement</a:t>
          </a:r>
        </a:p>
      </dgm:t>
    </dgm:pt>
    <dgm:pt modelId="{B6A1B45F-1071-44CF-80CA-7890E0B8BC4C}" type="parTrans" cxnId="{88CEB333-3737-4457-B3DB-43507BB4711C}">
      <dgm:prSet/>
      <dgm:spPr/>
      <dgm:t>
        <a:bodyPr/>
        <a:lstStyle/>
        <a:p>
          <a:endParaRPr lang="en-GB"/>
        </a:p>
      </dgm:t>
    </dgm:pt>
    <dgm:pt modelId="{B3D63FFE-C85D-48DB-A452-CB22F81FBC30}" type="sibTrans" cxnId="{88CEB333-3737-4457-B3DB-43507BB4711C}">
      <dgm:prSet/>
      <dgm:spPr/>
      <dgm:t>
        <a:bodyPr/>
        <a:lstStyle/>
        <a:p>
          <a:endParaRPr lang="en-GB"/>
        </a:p>
      </dgm:t>
    </dgm:pt>
    <dgm:pt modelId="{CE34D9C8-B48C-49BD-9D13-E530D597843F}" type="pres">
      <dgm:prSet presAssocID="{F4E4FE1E-E5B7-43ED-8222-ED16427CF20E}" presName="hierChild1" presStyleCnt="0">
        <dgm:presLayoutVars>
          <dgm:orgChart val="1"/>
          <dgm:chPref val="1"/>
          <dgm:dir/>
          <dgm:animOne val="branch"/>
          <dgm:animLvl val="lvl"/>
          <dgm:resizeHandles/>
        </dgm:presLayoutVars>
      </dgm:prSet>
      <dgm:spPr/>
      <dgm:t>
        <a:bodyPr/>
        <a:lstStyle/>
        <a:p>
          <a:endParaRPr lang="en-GB"/>
        </a:p>
      </dgm:t>
    </dgm:pt>
    <dgm:pt modelId="{309F9368-3162-48BF-ADDF-5F7241BEEBF4}" type="pres">
      <dgm:prSet presAssocID="{C861A3B4-669B-45A5-AC35-D89466755A42}" presName="hierRoot1" presStyleCnt="0">
        <dgm:presLayoutVars>
          <dgm:hierBranch val="init"/>
        </dgm:presLayoutVars>
      </dgm:prSet>
      <dgm:spPr/>
    </dgm:pt>
    <dgm:pt modelId="{458F05C4-16C0-406D-B9EC-992DE1F9DDDC}" type="pres">
      <dgm:prSet presAssocID="{C861A3B4-669B-45A5-AC35-D89466755A42}" presName="rootComposite1" presStyleCnt="0"/>
      <dgm:spPr/>
    </dgm:pt>
    <dgm:pt modelId="{B8398C44-C422-4026-A93E-D244AF6C16A5}" type="pres">
      <dgm:prSet presAssocID="{C861A3B4-669B-45A5-AC35-D89466755A42}" presName="rootText1" presStyleLbl="node0" presStyleIdx="0" presStyleCnt="1">
        <dgm:presLayoutVars>
          <dgm:chPref val="3"/>
        </dgm:presLayoutVars>
      </dgm:prSet>
      <dgm:spPr/>
      <dgm:t>
        <a:bodyPr/>
        <a:lstStyle/>
        <a:p>
          <a:endParaRPr lang="en-GB"/>
        </a:p>
      </dgm:t>
    </dgm:pt>
    <dgm:pt modelId="{30266751-83F1-449C-8282-6A3725962BA1}" type="pres">
      <dgm:prSet presAssocID="{C861A3B4-669B-45A5-AC35-D89466755A42}" presName="rootConnector1" presStyleLbl="node1" presStyleIdx="0" presStyleCnt="0"/>
      <dgm:spPr/>
      <dgm:t>
        <a:bodyPr/>
        <a:lstStyle/>
        <a:p>
          <a:endParaRPr lang="en-GB"/>
        </a:p>
      </dgm:t>
    </dgm:pt>
    <dgm:pt modelId="{AF6DBE47-C765-44E2-A856-4D381E985E88}" type="pres">
      <dgm:prSet presAssocID="{C861A3B4-669B-45A5-AC35-D89466755A42}" presName="hierChild2" presStyleCnt="0"/>
      <dgm:spPr/>
    </dgm:pt>
    <dgm:pt modelId="{98227C20-7986-474E-B38C-9D97E7007B2B}" type="pres">
      <dgm:prSet presAssocID="{772B6EA5-46DF-42DC-9F0F-C4FD501F503B}" presName="Name64" presStyleLbl="parChTrans1D2" presStyleIdx="0" presStyleCnt="3"/>
      <dgm:spPr/>
      <dgm:t>
        <a:bodyPr/>
        <a:lstStyle/>
        <a:p>
          <a:endParaRPr lang="en-GB"/>
        </a:p>
      </dgm:t>
    </dgm:pt>
    <dgm:pt modelId="{4199E55E-3B4A-493C-9261-99FF3F76F070}" type="pres">
      <dgm:prSet presAssocID="{843DBF40-7C4F-4E84-8702-9AEFB131B378}" presName="hierRoot2" presStyleCnt="0">
        <dgm:presLayoutVars>
          <dgm:hierBranch val="init"/>
        </dgm:presLayoutVars>
      </dgm:prSet>
      <dgm:spPr/>
    </dgm:pt>
    <dgm:pt modelId="{2452EE76-78EE-449B-BC96-AEC6B57EA99A}" type="pres">
      <dgm:prSet presAssocID="{843DBF40-7C4F-4E84-8702-9AEFB131B378}" presName="rootComposite" presStyleCnt="0"/>
      <dgm:spPr/>
    </dgm:pt>
    <dgm:pt modelId="{C3D0677E-0E71-4928-98BC-294FB708069A}" type="pres">
      <dgm:prSet presAssocID="{843DBF40-7C4F-4E84-8702-9AEFB131B378}" presName="rootText" presStyleLbl="node2" presStyleIdx="0" presStyleCnt="3">
        <dgm:presLayoutVars>
          <dgm:chPref val="3"/>
        </dgm:presLayoutVars>
      </dgm:prSet>
      <dgm:spPr/>
      <dgm:t>
        <a:bodyPr/>
        <a:lstStyle/>
        <a:p>
          <a:endParaRPr lang="en-GB"/>
        </a:p>
      </dgm:t>
    </dgm:pt>
    <dgm:pt modelId="{446D85C7-E90A-41B8-ADB3-18789E7EE714}" type="pres">
      <dgm:prSet presAssocID="{843DBF40-7C4F-4E84-8702-9AEFB131B378}" presName="rootConnector" presStyleLbl="node2" presStyleIdx="0" presStyleCnt="3"/>
      <dgm:spPr/>
      <dgm:t>
        <a:bodyPr/>
        <a:lstStyle/>
        <a:p>
          <a:endParaRPr lang="en-GB"/>
        </a:p>
      </dgm:t>
    </dgm:pt>
    <dgm:pt modelId="{405EBC71-3B26-40DC-A9A0-60302DA10D05}" type="pres">
      <dgm:prSet presAssocID="{843DBF40-7C4F-4E84-8702-9AEFB131B378}" presName="hierChild4" presStyleCnt="0"/>
      <dgm:spPr/>
    </dgm:pt>
    <dgm:pt modelId="{61AB31B1-6BE1-4CB8-A8A6-842531A621DD}" type="pres">
      <dgm:prSet presAssocID="{08C8CE43-900B-4C44-9C49-36C5DAD6D1FD}" presName="Name64" presStyleLbl="parChTrans1D3" presStyleIdx="0" presStyleCnt="3"/>
      <dgm:spPr/>
      <dgm:t>
        <a:bodyPr/>
        <a:lstStyle/>
        <a:p>
          <a:endParaRPr lang="en-GB"/>
        </a:p>
      </dgm:t>
    </dgm:pt>
    <dgm:pt modelId="{0B837D68-4C77-49B4-93E5-6B1350C2430B}" type="pres">
      <dgm:prSet presAssocID="{E2BDBA60-D641-404E-9CF3-0615E6ED1894}" presName="hierRoot2" presStyleCnt="0">
        <dgm:presLayoutVars>
          <dgm:hierBranch val="init"/>
        </dgm:presLayoutVars>
      </dgm:prSet>
      <dgm:spPr/>
    </dgm:pt>
    <dgm:pt modelId="{FE987780-D5F4-48DF-B9A6-83C067092136}" type="pres">
      <dgm:prSet presAssocID="{E2BDBA60-D641-404E-9CF3-0615E6ED1894}" presName="rootComposite" presStyleCnt="0"/>
      <dgm:spPr/>
    </dgm:pt>
    <dgm:pt modelId="{C1B4D526-CFA1-4909-9660-2DE3A8A690D4}" type="pres">
      <dgm:prSet presAssocID="{E2BDBA60-D641-404E-9CF3-0615E6ED1894}" presName="rootText" presStyleLbl="node3" presStyleIdx="0" presStyleCnt="3">
        <dgm:presLayoutVars>
          <dgm:chPref val="3"/>
        </dgm:presLayoutVars>
      </dgm:prSet>
      <dgm:spPr/>
      <dgm:t>
        <a:bodyPr/>
        <a:lstStyle/>
        <a:p>
          <a:endParaRPr lang="en-GB"/>
        </a:p>
      </dgm:t>
    </dgm:pt>
    <dgm:pt modelId="{3ECA9EA7-A5A5-47B3-9224-65A0883C866A}" type="pres">
      <dgm:prSet presAssocID="{E2BDBA60-D641-404E-9CF3-0615E6ED1894}" presName="rootConnector" presStyleLbl="node3" presStyleIdx="0" presStyleCnt="3"/>
      <dgm:spPr/>
      <dgm:t>
        <a:bodyPr/>
        <a:lstStyle/>
        <a:p>
          <a:endParaRPr lang="en-GB"/>
        </a:p>
      </dgm:t>
    </dgm:pt>
    <dgm:pt modelId="{AD949745-521E-4236-99D1-0370D4278AF8}" type="pres">
      <dgm:prSet presAssocID="{E2BDBA60-D641-404E-9CF3-0615E6ED1894}" presName="hierChild4" presStyleCnt="0"/>
      <dgm:spPr/>
    </dgm:pt>
    <dgm:pt modelId="{E3C1CC48-C5AC-4448-813F-008E9FD74C4F}" type="pres">
      <dgm:prSet presAssocID="{E2BDBA60-D641-404E-9CF3-0615E6ED1894}" presName="hierChild5" presStyleCnt="0"/>
      <dgm:spPr/>
    </dgm:pt>
    <dgm:pt modelId="{06E7C423-508B-40E9-8467-E429F52324B5}" type="pres">
      <dgm:prSet presAssocID="{843DBF40-7C4F-4E84-8702-9AEFB131B378}" presName="hierChild5" presStyleCnt="0"/>
      <dgm:spPr/>
    </dgm:pt>
    <dgm:pt modelId="{04D9C5F1-A910-4404-9F1E-5498E49FAA6A}" type="pres">
      <dgm:prSet presAssocID="{C14CA1F7-0C86-4105-9252-EE5481DF42C9}" presName="Name64" presStyleLbl="parChTrans1D2" presStyleIdx="1" presStyleCnt="3"/>
      <dgm:spPr/>
      <dgm:t>
        <a:bodyPr/>
        <a:lstStyle/>
        <a:p>
          <a:endParaRPr lang="en-GB"/>
        </a:p>
      </dgm:t>
    </dgm:pt>
    <dgm:pt modelId="{960AB6D1-AC18-4703-84A3-58C80E5A7B01}" type="pres">
      <dgm:prSet presAssocID="{1ADEB7F5-2725-43A4-A0BF-FE844CF6FD7B}" presName="hierRoot2" presStyleCnt="0">
        <dgm:presLayoutVars>
          <dgm:hierBranch val="init"/>
        </dgm:presLayoutVars>
      </dgm:prSet>
      <dgm:spPr/>
    </dgm:pt>
    <dgm:pt modelId="{8FB7F584-D1FF-4D4A-AF15-A0ACEE4D30D9}" type="pres">
      <dgm:prSet presAssocID="{1ADEB7F5-2725-43A4-A0BF-FE844CF6FD7B}" presName="rootComposite" presStyleCnt="0"/>
      <dgm:spPr/>
    </dgm:pt>
    <dgm:pt modelId="{32899470-9839-4427-9DEA-F8C88564E441}" type="pres">
      <dgm:prSet presAssocID="{1ADEB7F5-2725-43A4-A0BF-FE844CF6FD7B}" presName="rootText" presStyleLbl="node2" presStyleIdx="1" presStyleCnt="3">
        <dgm:presLayoutVars>
          <dgm:chPref val="3"/>
        </dgm:presLayoutVars>
      </dgm:prSet>
      <dgm:spPr/>
      <dgm:t>
        <a:bodyPr/>
        <a:lstStyle/>
        <a:p>
          <a:endParaRPr lang="en-GB"/>
        </a:p>
      </dgm:t>
    </dgm:pt>
    <dgm:pt modelId="{62336019-4AC6-43BF-A7DF-2855017EFEC9}" type="pres">
      <dgm:prSet presAssocID="{1ADEB7F5-2725-43A4-A0BF-FE844CF6FD7B}" presName="rootConnector" presStyleLbl="node2" presStyleIdx="1" presStyleCnt="3"/>
      <dgm:spPr/>
      <dgm:t>
        <a:bodyPr/>
        <a:lstStyle/>
        <a:p>
          <a:endParaRPr lang="en-GB"/>
        </a:p>
      </dgm:t>
    </dgm:pt>
    <dgm:pt modelId="{2B6011AC-67D2-4029-BF22-7A6D48C74A01}" type="pres">
      <dgm:prSet presAssocID="{1ADEB7F5-2725-43A4-A0BF-FE844CF6FD7B}" presName="hierChild4" presStyleCnt="0"/>
      <dgm:spPr/>
    </dgm:pt>
    <dgm:pt modelId="{3695BB95-2F35-48EF-AAAD-4F57EAFB5CE1}" type="pres">
      <dgm:prSet presAssocID="{843AED15-F71B-4552-B89F-5A1D921B26D1}" presName="Name64" presStyleLbl="parChTrans1D3" presStyleIdx="1" presStyleCnt="3"/>
      <dgm:spPr/>
      <dgm:t>
        <a:bodyPr/>
        <a:lstStyle/>
        <a:p>
          <a:endParaRPr lang="en-GB"/>
        </a:p>
      </dgm:t>
    </dgm:pt>
    <dgm:pt modelId="{8EF62558-461B-400A-87BF-C6B57270FB01}" type="pres">
      <dgm:prSet presAssocID="{B858D68F-69A1-40EC-92B8-A51F6CCE01B2}" presName="hierRoot2" presStyleCnt="0">
        <dgm:presLayoutVars>
          <dgm:hierBranch val="init"/>
        </dgm:presLayoutVars>
      </dgm:prSet>
      <dgm:spPr/>
    </dgm:pt>
    <dgm:pt modelId="{AF19F471-3898-454D-B51D-C66901CA386F}" type="pres">
      <dgm:prSet presAssocID="{B858D68F-69A1-40EC-92B8-A51F6CCE01B2}" presName="rootComposite" presStyleCnt="0"/>
      <dgm:spPr/>
    </dgm:pt>
    <dgm:pt modelId="{BD5F334F-B423-4F58-963A-ADC4E486003C}" type="pres">
      <dgm:prSet presAssocID="{B858D68F-69A1-40EC-92B8-A51F6CCE01B2}" presName="rootText" presStyleLbl="node3" presStyleIdx="1" presStyleCnt="3">
        <dgm:presLayoutVars>
          <dgm:chPref val="3"/>
        </dgm:presLayoutVars>
      </dgm:prSet>
      <dgm:spPr/>
      <dgm:t>
        <a:bodyPr/>
        <a:lstStyle/>
        <a:p>
          <a:endParaRPr lang="en-GB"/>
        </a:p>
      </dgm:t>
    </dgm:pt>
    <dgm:pt modelId="{9583DF23-54E2-49C2-A221-0D31D49AECC7}" type="pres">
      <dgm:prSet presAssocID="{B858D68F-69A1-40EC-92B8-A51F6CCE01B2}" presName="rootConnector" presStyleLbl="node3" presStyleIdx="1" presStyleCnt="3"/>
      <dgm:spPr/>
      <dgm:t>
        <a:bodyPr/>
        <a:lstStyle/>
        <a:p>
          <a:endParaRPr lang="en-GB"/>
        </a:p>
      </dgm:t>
    </dgm:pt>
    <dgm:pt modelId="{63D46783-F031-44C5-9A29-FF2FD244090B}" type="pres">
      <dgm:prSet presAssocID="{B858D68F-69A1-40EC-92B8-A51F6CCE01B2}" presName="hierChild4" presStyleCnt="0"/>
      <dgm:spPr/>
    </dgm:pt>
    <dgm:pt modelId="{CC07AC0C-B353-4C61-8F5B-C6F455272A95}" type="pres">
      <dgm:prSet presAssocID="{B858D68F-69A1-40EC-92B8-A51F6CCE01B2}" presName="hierChild5" presStyleCnt="0"/>
      <dgm:spPr/>
    </dgm:pt>
    <dgm:pt modelId="{6E918764-292B-41C6-90EF-D2114116EFE2}" type="pres">
      <dgm:prSet presAssocID="{1ADEB7F5-2725-43A4-A0BF-FE844CF6FD7B}" presName="hierChild5" presStyleCnt="0"/>
      <dgm:spPr/>
    </dgm:pt>
    <dgm:pt modelId="{03BC981D-7986-4C20-9C2F-F0958A9E48E2}" type="pres">
      <dgm:prSet presAssocID="{9AA5F6E7-DB5C-48BD-9A5A-E4AA6293BAA2}" presName="Name64" presStyleLbl="parChTrans1D2" presStyleIdx="2" presStyleCnt="3"/>
      <dgm:spPr/>
      <dgm:t>
        <a:bodyPr/>
        <a:lstStyle/>
        <a:p>
          <a:endParaRPr lang="en-GB"/>
        </a:p>
      </dgm:t>
    </dgm:pt>
    <dgm:pt modelId="{FE43EB42-CC2A-4840-8AF9-682BEC33B7E5}" type="pres">
      <dgm:prSet presAssocID="{DDC6FAC5-7B8A-4C55-B67C-9F4172DC2C71}" presName="hierRoot2" presStyleCnt="0">
        <dgm:presLayoutVars>
          <dgm:hierBranch val="init"/>
        </dgm:presLayoutVars>
      </dgm:prSet>
      <dgm:spPr/>
    </dgm:pt>
    <dgm:pt modelId="{ECB61BF6-2F00-437D-9947-7C9DDD922201}" type="pres">
      <dgm:prSet presAssocID="{DDC6FAC5-7B8A-4C55-B67C-9F4172DC2C71}" presName="rootComposite" presStyleCnt="0"/>
      <dgm:spPr/>
    </dgm:pt>
    <dgm:pt modelId="{50D44B2B-E4D5-473C-B956-B380DE34F7DC}" type="pres">
      <dgm:prSet presAssocID="{DDC6FAC5-7B8A-4C55-B67C-9F4172DC2C71}" presName="rootText" presStyleLbl="node2" presStyleIdx="2" presStyleCnt="3">
        <dgm:presLayoutVars>
          <dgm:chPref val="3"/>
        </dgm:presLayoutVars>
      </dgm:prSet>
      <dgm:spPr/>
      <dgm:t>
        <a:bodyPr/>
        <a:lstStyle/>
        <a:p>
          <a:endParaRPr lang="en-GB"/>
        </a:p>
      </dgm:t>
    </dgm:pt>
    <dgm:pt modelId="{2474113B-ADCF-47F5-8ECF-ECCDA0352402}" type="pres">
      <dgm:prSet presAssocID="{DDC6FAC5-7B8A-4C55-B67C-9F4172DC2C71}" presName="rootConnector" presStyleLbl="node2" presStyleIdx="2" presStyleCnt="3"/>
      <dgm:spPr/>
      <dgm:t>
        <a:bodyPr/>
        <a:lstStyle/>
        <a:p>
          <a:endParaRPr lang="en-GB"/>
        </a:p>
      </dgm:t>
    </dgm:pt>
    <dgm:pt modelId="{E191457B-1AB3-4BEB-9ED3-5A9D676F76F4}" type="pres">
      <dgm:prSet presAssocID="{DDC6FAC5-7B8A-4C55-B67C-9F4172DC2C71}" presName="hierChild4" presStyleCnt="0"/>
      <dgm:spPr/>
    </dgm:pt>
    <dgm:pt modelId="{F838C614-B81C-4424-AAB8-149ADFD9AF41}" type="pres">
      <dgm:prSet presAssocID="{B6A1B45F-1071-44CF-80CA-7890E0B8BC4C}" presName="Name64" presStyleLbl="parChTrans1D3" presStyleIdx="2" presStyleCnt="3"/>
      <dgm:spPr/>
      <dgm:t>
        <a:bodyPr/>
        <a:lstStyle/>
        <a:p>
          <a:endParaRPr lang="en-GB"/>
        </a:p>
      </dgm:t>
    </dgm:pt>
    <dgm:pt modelId="{9406B344-0B77-49DD-BFC7-319EAB4994DE}" type="pres">
      <dgm:prSet presAssocID="{783AE6F5-2C42-4DEC-84D7-0E4422750987}" presName="hierRoot2" presStyleCnt="0">
        <dgm:presLayoutVars>
          <dgm:hierBranch val="init"/>
        </dgm:presLayoutVars>
      </dgm:prSet>
      <dgm:spPr/>
    </dgm:pt>
    <dgm:pt modelId="{B6C359FC-FEF9-43B0-909E-08590113F79A}" type="pres">
      <dgm:prSet presAssocID="{783AE6F5-2C42-4DEC-84D7-0E4422750987}" presName="rootComposite" presStyleCnt="0"/>
      <dgm:spPr/>
    </dgm:pt>
    <dgm:pt modelId="{B6333A78-34A9-431F-B682-8C6ACA3317B7}" type="pres">
      <dgm:prSet presAssocID="{783AE6F5-2C42-4DEC-84D7-0E4422750987}" presName="rootText" presStyleLbl="node3" presStyleIdx="2" presStyleCnt="3">
        <dgm:presLayoutVars>
          <dgm:chPref val="3"/>
        </dgm:presLayoutVars>
      </dgm:prSet>
      <dgm:spPr/>
      <dgm:t>
        <a:bodyPr/>
        <a:lstStyle/>
        <a:p>
          <a:endParaRPr lang="en-GB"/>
        </a:p>
      </dgm:t>
    </dgm:pt>
    <dgm:pt modelId="{0B450359-2CEA-4538-A81A-F3F472E6C5A8}" type="pres">
      <dgm:prSet presAssocID="{783AE6F5-2C42-4DEC-84D7-0E4422750987}" presName="rootConnector" presStyleLbl="node3" presStyleIdx="2" presStyleCnt="3"/>
      <dgm:spPr/>
      <dgm:t>
        <a:bodyPr/>
        <a:lstStyle/>
        <a:p>
          <a:endParaRPr lang="en-GB"/>
        </a:p>
      </dgm:t>
    </dgm:pt>
    <dgm:pt modelId="{B1AB471B-407A-499E-BC39-788739EC77BF}" type="pres">
      <dgm:prSet presAssocID="{783AE6F5-2C42-4DEC-84D7-0E4422750987}" presName="hierChild4" presStyleCnt="0"/>
      <dgm:spPr/>
    </dgm:pt>
    <dgm:pt modelId="{72346673-761A-4137-A6C9-8A8053E1D40D}" type="pres">
      <dgm:prSet presAssocID="{783AE6F5-2C42-4DEC-84D7-0E4422750987}" presName="hierChild5" presStyleCnt="0"/>
      <dgm:spPr/>
    </dgm:pt>
    <dgm:pt modelId="{41390FB7-C9B4-4845-97AC-A8A4CE2C42E3}" type="pres">
      <dgm:prSet presAssocID="{DDC6FAC5-7B8A-4C55-B67C-9F4172DC2C71}" presName="hierChild5" presStyleCnt="0"/>
      <dgm:spPr/>
    </dgm:pt>
    <dgm:pt modelId="{C6275EBE-6AA6-4066-8152-C9F67CB794C8}" type="pres">
      <dgm:prSet presAssocID="{C861A3B4-669B-45A5-AC35-D89466755A42}" presName="hierChild3" presStyleCnt="0"/>
      <dgm:spPr/>
    </dgm:pt>
  </dgm:ptLst>
  <dgm:cxnLst>
    <dgm:cxn modelId="{8F72C326-2C92-4FBD-823F-00BC5BFBFDC6}" type="presOf" srcId="{E2BDBA60-D641-404E-9CF3-0615E6ED1894}" destId="{3ECA9EA7-A5A5-47B3-9224-65A0883C866A}" srcOrd="1" destOrd="0" presId="urn:microsoft.com/office/officeart/2009/3/layout/HorizontalOrganizationChart"/>
    <dgm:cxn modelId="{0958C6CE-3692-4D8E-9970-36459CB0BE7A}" type="presOf" srcId="{C861A3B4-669B-45A5-AC35-D89466755A42}" destId="{30266751-83F1-449C-8282-6A3725962BA1}" srcOrd="1" destOrd="0" presId="urn:microsoft.com/office/officeart/2009/3/layout/HorizontalOrganizationChart"/>
    <dgm:cxn modelId="{66772706-4FAE-455B-A9BD-6700DF8F71ED}" type="presOf" srcId="{843AED15-F71B-4552-B89F-5A1D921B26D1}" destId="{3695BB95-2F35-48EF-AAAD-4F57EAFB5CE1}" srcOrd="0" destOrd="0" presId="urn:microsoft.com/office/officeart/2009/3/layout/HorizontalOrganizationChart"/>
    <dgm:cxn modelId="{0CD94F56-BF91-4864-8FEF-21CE2919F6DC}" type="presOf" srcId="{E2BDBA60-D641-404E-9CF3-0615E6ED1894}" destId="{C1B4D526-CFA1-4909-9660-2DE3A8A690D4}" srcOrd="0" destOrd="0" presId="urn:microsoft.com/office/officeart/2009/3/layout/HorizontalOrganizationChart"/>
    <dgm:cxn modelId="{3117D5FD-0DD5-402A-8F01-902E67E540F1}" type="presOf" srcId="{08C8CE43-900B-4C44-9C49-36C5DAD6D1FD}" destId="{61AB31B1-6BE1-4CB8-A8A6-842531A621DD}" srcOrd="0" destOrd="0" presId="urn:microsoft.com/office/officeart/2009/3/layout/HorizontalOrganizationChart"/>
    <dgm:cxn modelId="{C39ED343-EDCA-42A9-90E1-D184D425490D}" type="presOf" srcId="{772B6EA5-46DF-42DC-9F0F-C4FD501F503B}" destId="{98227C20-7986-474E-B38C-9D97E7007B2B}" srcOrd="0" destOrd="0" presId="urn:microsoft.com/office/officeart/2009/3/layout/HorizontalOrganizationChart"/>
    <dgm:cxn modelId="{64B5E106-51B9-460F-BC79-ECE72CF4FDE7}" type="presOf" srcId="{B6A1B45F-1071-44CF-80CA-7890E0B8BC4C}" destId="{F838C614-B81C-4424-AAB8-149ADFD9AF41}" srcOrd="0" destOrd="0" presId="urn:microsoft.com/office/officeart/2009/3/layout/HorizontalOrganizationChart"/>
    <dgm:cxn modelId="{BF0F5447-22CE-4355-90AC-3B3D4868B52E}" srcId="{C861A3B4-669B-45A5-AC35-D89466755A42}" destId="{843DBF40-7C4F-4E84-8702-9AEFB131B378}" srcOrd="0" destOrd="0" parTransId="{772B6EA5-46DF-42DC-9F0F-C4FD501F503B}" sibTransId="{3CF335E2-B3F9-441C-8A67-283CD1919BCE}"/>
    <dgm:cxn modelId="{B1FA512C-14D4-48EF-B6CF-76FC00439913}" type="presOf" srcId="{1ADEB7F5-2725-43A4-A0BF-FE844CF6FD7B}" destId="{32899470-9839-4427-9DEA-F8C88564E441}" srcOrd="0" destOrd="0" presId="urn:microsoft.com/office/officeart/2009/3/layout/HorizontalOrganizationChart"/>
    <dgm:cxn modelId="{1C6EC1C0-8C9B-490C-AEAE-E4F0A505A07D}" srcId="{843DBF40-7C4F-4E84-8702-9AEFB131B378}" destId="{E2BDBA60-D641-404E-9CF3-0615E6ED1894}" srcOrd="0" destOrd="0" parTransId="{08C8CE43-900B-4C44-9C49-36C5DAD6D1FD}" sibTransId="{E8106784-FF9E-4ADC-ABF7-C673CA65E230}"/>
    <dgm:cxn modelId="{4184D008-CDF1-4B82-9F95-5F9CB482111F}" type="presOf" srcId="{843DBF40-7C4F-4E84-8702-9AEFB131B378}" destId="{C3D0677E-0E71-4928-98BC-294FB708069A}" srcOrd="0" destOrd="0" presId="urn:microsoft.com/office/officeart/2009/3/layout/HorizontalOrganizationChart"/>
    <dgm:cxn modelId="{A6DDC46D-812E-40C9-8EF3-2BFEB8C5B6FD}" type="presOf" srcId="{1ADEB7F5-2725-43A4-A0BF-FE844CF6FD7B}" destId="{62336019-4AC6-43BF-A7DF-2855017EFEC9}" srcOrd="1" destOrd="0" presId="urn:microsoft.com/office/officeart/2009/3/layout/HorizontalOrganizationChart"/>
    <dgm:cxn modelId="{12422180-89ED-48AC-80CA-0E7E94648F2E}" type="presOf" srcId="{DDC6FAC5-7B8A-4C55-B67C-9F4172DC2C71}" destId="{2474113B-ADCF-47F5-8ECF-ECCDA0352402}" srcOrd="1" destOrd="0" presId="urn:microsoft.com/office/officeart/2009/3/layout/HorizontalOrganizationChart"/>
    <dgm:cxn modelId="{FF726626-BC42-47E9-AB9E-6023159650F4}" srcId="{C861A3B4-669B-45A5-AC35-D89466755A42}" destId="{DDC6FAC5-7B8A-4C55-B67C-9F4172DC2C71}" srcOrd="2" destOrd="0" parTransId="{9AA5F6E7-DB5C-48BD-9A5A-E4AA6293BAA2}" sibTransId="{C28DD51B-5167-4C09-A164-C7A5972B0A11}"/>
    <dgm:cxn modelId="{A5E5304B-5499-40AC-9776-A2F610F19CC4}" type="presOf" srcId="{B858D68F-69A1-40EC-92B8-A51F6CCE01B2}" destId="{BD5F334F-B423-4F58-963A-ADC4E486003C}" srcOrd="0" destOrd="0" presId="urn:microsoft.com/office/officeart/2009/3/layout/HorizontalOrganizationChart"/>
    <dgm:cxn modelId="{8D352ECB-F7B4-420F-A500-06BA2567CF48}" type="presOf" srcId="{C14CA1F7-0C86-4105-9252-EE5481DF42C9}" destId="{04D9C5F1-A910-4404-9F1E-5498E49FAA6A}" srcOrd="0" destOrd="0" presId="urn:microsoft.com/office/officeart/2009/3/layout/HorizontalOrganizationChart"/>
    <dgm:cxn modelId="{6D180447-5099-47C4-B646-974A942A0238}" srcId="{F4E4FE1E-E5B7-43ED-8222-ED16427CF20E}" destId="{C861A3B4-669B-45A5-AC35-D89466755A42}" srcOrd="0" destOrd="0" parTransId="{1F7F9942-C43A-4B8A-A268-EB850B766896}" sibTransId="{E2F7A694-195C-4E00-8B74-A9B13EFC15EE}"/>
    <dgm:cxn modelId="{1907E1B8-A8A5-455C-8CDD-D4B59DC1A92C}" type="presOf" srcId="{F4E4FE1E-E5B7-43ED-8222-ED16427CF20E}" destId="{CE34D9C8-B48C-49BD-9D13-E530D597843F}" srcOrd="0" destOrd="0" presId="urn:microsoft.com/office/officeart/2009/3/layout/HorizontalOrganizationChart"/>
    <dgm:cxn modelId="{9E2EC0DA-1647-45E2-A916-2FA60CB532B1}" type="presOf" srcId="{783AE6F5-2C42-4DEC-84D7-0E4422750987}" destId="{B6333A78-34A9-431F-B682-8C6ACA3317B7}" srcOrd="0" destOrd="0" presId="urn:microsoft.com/office/officeart/2009/3/layout/HorizontalOrganizationChart"/>
    <dgm:cxn modelId="{20BFCCB3-D0AF-4604-8FA3-E8F47B19540F}" type="presOf" srcId="{C861A3B4-669B-45A5-AC35-D89466755A42}" destId="{B8398C44-C422-4026-A93E-D244AF6C16A5}" srcOrd="0" destOrd="0" presId="urn:microsoft.com/office/officeart/2009/3/layout/HorizontalOrganizationChart"/>
    <dgm:cxn modelId="{7960B738-8CAF-4143-9E2A-81558DA912BB}" type="presOf" srcId="{843DBF40-7C4F-4E84-8702-9AEFB131B378}" destId="{446D85C7-E90A-41B8-ADB3-18789E7EE714}" srcOrd="1" destOrd="0" presId="urn:microsoft.com/office/officeart/2009/3/layout/HorizontalOrganizationChart"/>
    <dgm:cxn modelId="{BA28D65B-983A-466D-A8CE-4B5D3436E9C4}" srcId="{1ADEB7F5-2725-43A4-A0BF-FE844CF6FD7B}" destId="{B858D68F-69A1-40EC-92B8-A51F6CCE01B2}" srcOrd="0" destOrd="0" parTransId="{843AED15-F71B-4552-B89F-5A1D921B26D1}" sibTransId="{725CDCC0-92BA-48EA-9947-7D500E7BEB1D}"/>
    <dgm:cxn modelId="{88CEB333-3737-4457-B3DB-43507BB4711C}" srcId="{DDC6FAC5-7B8A-4C55-B67C-9F4172DC2C71}" destId="{783AE6F5-2C42-4DEC-84D7-0E4422750987}" srcOrd="0" destOrd="0" parTransId="{B6A1B45F-1071-44CF-80CA-7890E0B8BC4C}" sibTransId="{B3D63FFE-C85D-48DB-A452-CB22F81FBC30}"/>
    <dgm:cxn modelId="{B9DAAE9C-53AE-4F35-B151-0358B63B9CDD}" type="presOf" srcId="{B858D68F-69A1-40EC-92B8-A51F6CCE01B2}" destId="{9583DF23-54E2-49C2-A221-0D31D49AECC7}" srcOrd="1" destOrd="0" presId="urn:microsoft.com/office/officeart/2009/3/layout/HorizontalOrganizationChart"/>
    <dgm:cxn modelId="{8444FF27-79C5-4D2E-BE94-B539CFB5CDA6}" srcId="{C861A3B4-669B-45A5-AC35-D89466755A42}" destId="{1ADEB7F5-2725-43A4-A0BF-FE844CF6FD7B}" srcOrd="1" destOrd="0" parTransId="{C14CA1F7-0C86-4105-9252-EE5481DF42C9}" sibTransId="{4B50FCD4-A0A3-42DD-AFFD-113E408F13C7}"/>
    <dgm:cxn modelId="{47CD4C13-D838-483C-997B-6FE664B8BBD2}" type="presOf" srcId="{783AE6F5-2C42-4DEC-84D7-0E4422750987}" destId="{0B450359-2CEA-4538-A81A-F3F472E6C5A8}" srcOrd="1" destOrd="0" presId="urn:microsoft.com/office/officeart/2009/3/layout/HorizontalOrganizationChart"/>
    <dgm:cxn modelId="{808A14F6-8376-4229-B234-3E9C88DC14BE}" type="presOf" srcId="{DDC6FAC5-7B8A-4C55-B67C-9F4172DC2C71}" destId="{50D44B2B-E4D5-473C-B956-B380DE34F7DC}" srcOrd="0" destOrd="0" presId="urn:microsoft.com/office/officeart/2009/3/layout/HorizontalOrganizationChart"/>
    <dgm:cxn modelId="{FC987C58-19D9-4316-94A1-2096684C8CB7}" type="presOf" srcId="{9AA5F6E7-DB5C-48BD-9A5A-E4AA6293BAA2}" destId="{03BC981D-7986-4C20-9C2F-F0958A9E48E2}" srcOrd="0" destOrd="0" presId="urn:microsoft.com/office/officeart/2009/3/layout/HorizontalOrganizationChart"/>
    <dgm:cxn modelId="{07E8ABE4-4B74-4A91-8366-8DBCFE3E6C6C}" type="presParOf" srcId="{CE34D9C8-B48C-49BD-9D13-E530D597843F}" destId="{309F9368-3162-48BF-ADDF-5F7241BEEBF4}" srcOrd="0" destOrd="0" presId="urn:microsoft.com/office/officeart/2009/3/layout/HorizontalOrganizationChart"/>
    <dgm:cxn modelId="{B8982939-B71D-4B2C-9F1E-E951B9EC221E}" type="presParOf" srcId="{309F9368-3162-48BF-ADDF-5F7241BEEBF4}" destId="{458F05C4-16C0-406D-B9EC-992DE1F9DDDC}" srcOrd="0" destOrd="0" presId="urn:microsoft.com/office/officeart/2009/3/layout/HorizontalOrganizationChart"/>
    <dgm:cxn modelId="{7A6D19E7-4F4B-45B1-9A33-E8A1719D8F31}" type="presParOf" srcId="{458F05C4-16C0-406D-B9EC-992DE1F9DDDC}" destId="{B8398C44-C422-4026-A93E-D244AF6C16A5}" srcOrd="0" destOrd="0" presId="urn:microsoft.com/office/officeart/2009/3/layout/HorizontalOrganizationChart"/>
    <dgm:cxn modelId="{2F8646FB-AEAD-49E9-B77A-04317F4DA30C}" type="presParOf" srcId="{458F05C4-16C0-406D-B9EC-992DE1F9DDDC}" destId="{30266751-83F1-449C-8282-6A3725962BA1}" srcOrd="1" destOrd="0" presId="urn:microsoft.com/office/officeart/2009/3/layout/HorizontalOrganizationChart"/>
    <dgm:cxn modelId="{F6FCDF20-55B6-4046-9893-F1925BB3D690}" type="presParOf" srcId="{309F9368-3162-48BF-ADDF-5F7241BEEBF4}" destId="{AF6DBE47-C765-44E2-A856-4D381E985E88}" srcOrd="1" destOrd="0" presId="urn:microsoft.com/office/officeart/2009/3/layout/HorizontalOrganizationChart"/>
    <dgm:cxn modelId="{E4030CAB-17EB-419B-93EF-52A50F404746}" type="presParOf" srcId="{AF6DBE47-C765-44E2-A856-4D381E985E88}" destId="{98227C20-7986-474E-B38C-9D97E7007B2B}" srcOrd="0" destOrd="0" presId="urn:microsoft.com/office/officeart/2009/3/layout/HorizontalOrganizationChart"/>
    <dgm:cxn modelId="{B84330C3-8102-46A7-B991-9D89CA757352}" type="presParOf" srcId="{AF6DBE47-C765-44E2-A856-4D381E985E88}" destId="{4199E55E-3B4A-493C-9261-99FF3F76F070}" srcOrd="1" destOrd="0" presId="urn:microsoft.com/office/officeart/2009/3/layout/HorizontalOrganizationChart"/>
    <dgm:cxn modelId="{83EE5601-96D5-4D0D-880F-DB6D15248E92}" type="presParOf" srcId="{4199E55E-3B4A-493C-9261-99FF3F76F070}" destId="{2452EE76-78EE-449B-BC96-AEC6B57EA99A}" srcOrd="0" destOrd="0" presId="urn:microsoft.com/office/officeart/2009/3/layout/HorizontalOrganizationChart"/>
    <dgm:cxn modelId="{79FF3E16-0C2A-4320-827B-F1B2E5BDD058}" type="presParOf" srcId="{2452EE76-78EE-449B-BC96-AEC6B57EA99A}" destId="{C3D0677E-0E71-4928-98BC-294FB708069A}" srcOrd="0" destOrd="0" presId="urn:microsoft.com/office/officeart/2009/3/layout/HorizontalOrganizationChart"/>
    <dgm:cxn modelId="{56EA8CF9-F612-41CE-BB9F-7AB6E7B6FF83}" type="presParOf" srcId="{2452EE76-78EE-449B-BC96-AEC6B57EA99A}" destId="{446D85C7-E90A-41B8-ADB3-18789E7EE714}" srcOrd="1" destOrd="0" presId="urn:microsoft.com/office/officeart/2009/3/layout/HorizontalOrganizationChart"/>
    <dgm:cxn modelId="{8905704C-744C-4D93-9D24-6E95C19AA6F6}" type="presParOf" srcId="{4199E55E-3B4A-493C-9261-99FF3F76F070}" destId="{405EBC71-3B26-40DC-A9A0-60302DA10D05}" srcOrd="1" destOrd="0" presId="urn:microsoft.com/office/officeart/2009/3/layout/HorizontalOrganizationChart"/>
    <dgm:cxn modelId="{DC7288E3-0963-44D2-910E-43DF50D38C38}" type="presParOf" srcId="{405EBC71-3B26-40DC-A9A0-60302DA10D05}" destId="{61AB31B1-6BE1-4CB8-A8A6-842531A621DD}" srcOrd="0" destOrd="0" presId="urn:microsoft.com/office/officeart/2009/3/layout/HorizontalOrganizationChart"/>
    <dgm:cxn modelId="{16FB0766-952B-4EC8-B949-C9E7071FD993}" type="presParOf" srcId="{405EBC71-3B26-40DC-A9A0-60302DA10D05}" destId="{0B837D68-4C77-49B4-93E5-6B1350C2430B}" srcOrd="1" destOrd="0" presId="urn:microsoft.com/office/officeart/2009/3/layout/HorizontalOrganizationChart"/>
    <dgm:cxn modelId="{BC47827D-3A56-4F5E-BC61-7834149DFA2E}" type="presParOf" srcId="{0B837D68-4C77-49B4-93E5-6B1350C2430B}" destId="{FE987780-D5F4-48DF-B9A6-83C067092136}" srcOrd="0" destOrd="0" presId="urn:microsoft.com/office/officeart/2009/3/layout/HorizontalOrganizationChart"/>
    <dgm:cxn modelId="{D462C4F0-4DD1-432B-B729-C5C513BA18C1}" type="presParOf" srcId="{FE987780-D5F4-48DF-B9A6-83C067092136}" destId="{C1B4D526-CFA1-4909-9660-2DE3A8A690D4}" srcOrd="0" destOrd="0" presId="urn:microsoft.com/office/officeart/2009/3/layout/HorizontalOrganizationChart"/>
    <dgm:cxn modelId="{467CC6E8-0457-4443-8B1F-6CC98F362BEA}" type="presParOf" srcId="{FE987780-D5F4-48DF-B9A6-83C067092136}" destId="{3ECA9EA7-A5A5-47B3-9224-65A0883C866A}" srcOrd="1" destOrd="0" presId="urn:microsoft.com/office/officeart/2009/3/layout/HorizontalOrganizationChart"/>
    <dgm:cxn modelId="{E89FAEC3-4246-4AFD-876A-0F1D8ACCEEE8}" type="presParOf" srcId="{0B837D68-4C77-49B4-93E5-6B1350C2430B}" destId="{AD949745-521E-4236-99D1-0370D4278AF8}" srcOrd="1" destOrd="0" presId="urn:microsoft.com/office/officeart/2009/3/layout/HorizontalOrganizationChart"/>
    <dgm:cxn modelId="{F4350CE7-7A67-44E6-81E9-37917250FD90}" type="presParOf" srcId="{0B837D68-4C77-49B4-93E5-6B1350C2430B}" destId="{E3C1CC48-C5AC-4448-813F-008E9FD74C4F}" srcOrd="2" destOrd="0" presId="urn:microsoft.com/office/officeart/2009/3/layout/HorizontalOrganizationChart"/>
    <dgm:cxn modelId="{E8E33A50-B6D8-4213-919A-7BA23F815CA9}" type="presParOf" srcId="{4199E55E-3B4A-493C-9261-99FF3F76F070}" destId="{06E7C423-508B-40E9-8467-E429F52324B5}" srcOrd="2" destOrd="0" presId="urn:microsoft.com/office/officeart/2009/3/layout/HorizontalOrganizationChart"/>
    <dgm:cxn modelId="{38EEC489-F88F-4A5F-9812-1B8023CA959B}" type="presParOf" srcId="{AF6DBE47-C765-44E2-A856-4D381E985E88}" destId="{04D9C5F1-A910-4404-9F1E-5498E49FAA6A}" srcOrd="2" destOrd="0" presId="urn:microsoft.com/office/officeart/2009/3/layout/HorizontalOrganizationChart"/>
    <dgm:cxn modelId="{454DB23D-B1BF-4FE8-9AC5-5944CB3C5D5E}" type="presParOf" srcId="{AF6DBE47-C765-44E2-A856-4D381E985E88}" destId="{960AB6D1-AC18-4703-84A3-58C80E5A7B01}" srcOrd="3" destOrd="0" presId="urn:microsoft.com/office/officeart/2009/3/layout/HorizontalOrganizationChart"/>
    <dgm:cxn modelId="{5B5AD1CD-3D5A-482A-997D-22BED831B8F2}" type="presParOf" srcId="{960AB6D1-AC18-4703-84A3-58C80E5A7B01}" destId="{8FB7F584-D1FF-4D4A-AF15-A0ACEE4D30D9}" srcOrd="0" destOrd="0" presId="urn:microsoft.com/office/officeart/2009/3/layout/HorizontalOrganizationChart"/>
    <dgm:cxn modelId="{477C07A6-7B38-4818-A65A-87EC51CB9ABB}" type="presParOf" srcId="{8FB7F584-D1FF-4D4A-AF15-A0ACEE4D30D9}" destId="{32899470-9839-4427-9DEA-F8C88564E441}" srcOrd="0" destOrd="0" presId="urn:microsoft.com/office/officeart/2009/3/layout/HorizontalOrganizationChart"/>
    <dgm:cxn modelId="{9C78A4DA-F0F5-4A96-81AD-E40485137778}" type="presParOf" srcId="{8FB7F584-D1FF-4D4A-AF15-A0ACEE4D30D9}" destId="{62336019-4AC6-43BF-A7DF-2855017EFEC9}" srcOrd="1" destOrd="0" presId="urn:microsoft.com/office/officeart/2009/3/layout/HorizontalOrganizationChart"/>
    <dgm:cxn modelId="{D3990E05-D551-4B06-ABCE-33CD5B6B7C8F}" type="presParOf" srcId="{960AB6D1-AC18-4703-84A3-58C80E5A7B01}" destId="{2B6011AC-67D2-4029-BF22-7A6D48C74A01}" srcOrd="1" destOrd="0" presId="urn:microsoft.com/office/officeart/2009/3/layout/HorizontalOrganizationChart"/>
    <dgm:cxn modelId="{64FA6BE5-8176-4A97-AD5C-17E1211044A1}" type="presParOf" srcId="{2B6011AC-67D2-4029-BF22-7A6D48C74A01}" destId="{3695BB95-2F35-48EF-AAAD-4F57EAFB5CE1}" srcOrd="0" destOrd="0" presId="urn:microsoft.com/office/officeart/2009/3/layout/HorizontalOrganizationChart"/>
    <dgm:cxn modelId="{5A6AAB5E-B0FD-4F4C-A687-2DF203D70498}" type="presParOf" srcId="{2B6011AC-67D2-4029-BF22-7A6D48C74A01}" destId="{8EF62558-461B-400A-87BF-C6B57270FB01}" srcOrd="1" destOrd="0" presId="urn:microsoft.com/office/officeart/2009/3/layout/HorizontalOrganizationChart"/>
    <dgm:cxn modelId="{0EE40617-E20F-4753-B97E-C8418715B3D3}" type="presParOf" srcId="{8EF62558-461B-400A-87BF-C6B57270FB01}" destId="{AF19F471-3898-454D-B51D-C66901CA386F}" srcOrd="0" destOrd="0" presId="urn:microsoft.com/office/officeart/2009/3/layout/HorizontalOrganizationChart"/>
    <dgm:cxn modelId="{6F83A764-23EE-4149-8657-DF3A9790D752}" type="presParOf" srcId="{AF19F471-3898-454D-B51D-C66901CA386F}" destId="{BD5F334F-B423-4F58-963A-ADC4E486003C}" srcOrd="0" destOrd="0" presId="urn:microsoft.com/office/officeart/2009/3/layout/HorizontalOrganizationChart"/>
    <dgm:cxn modelId="{9E13180F-881A-44E4-9035-AC4157F6A4A1}" type="presParOf" srcId="{AF19F471-3898-454D-B51D-C66901CA386F}" destId="{9583DF23-54E2-49C2-A221-0D31D49AECC7}" srcOrd="1" destOrd="0" presId="urn:microsoft.com/office/officeart/2009/3/layout/HorizontalOrganizationChart"/>
    <dgm:cxn modelId="{AD41B979-F4E2-4ED5-8922-7CB19554091A}" type="presParOf" srcId="{8EF62558-461B-400A-87BF-C6B57270FB01}" destId="{63D46783-F031-44C5-9A29-FF2FD244090B}" srcOrd="1" destOrd="0" presId="urn:microsoft.com/office/officeart/2009/3/layout/HorizontalOrganizationChart"/>
    <dgm:cxn modelId="{82C922D6-6127-44FE-A6E1-31DFB9B5CBF4}" type="presParOf" srcId="{8EF62558-461B-400A-87BF-C6B57270FB01}" destId="{CC07AC0C-B353-4C61-8F5B-C6F455272A95}" srcOrd="2" destOrd="0" presId="urn:microsoft.com/office/officeart/2009/3/layout/HorizontalOrganizationChart"/>
    <dgm:cxn modelId="{480D895D-4AED-40D4-AF97-77FC06A5F6FC}" type="presParOf" srcId="{960AB6D1-AC18-4703-84A3-58C80E5A7B01}" destId="{6E918764-292B-41C6-90EF-D2114116EFE2}" srcOrd="2" destOrd="0" presId="urn:microsoft.com/office/officeart/2009/3/layout/HorizontalOrganizationChart"/>
    <dgm:cxn modelId="{2D1F3702-C426-4E1D-837A-F94360B621A1}" type="presParOf" srcId="{AF6DBE47-C765-44E2-A856-4D381E985E88}" destId="{03BC981D-7986-4C20-9C2F-F0958A9E48E2}" srcOrd="4" destOrd="0" presId="urn:microsoft.com/office/officeart/2009/3/layout/HorizontalOrganizationChart"/>
    <dgm:cxn modelId="{48171245-4CF4-4EE2-AE0A-B13832021503}" type="presParOf" srcId="{AF6DBE47-C765-44E2-A856-4D381E985E88}" destId="{FE43EB42-CC2A-4840-8AF9-682BEC33B7E5}" srcOrd="5" destOrd="0" presId="urn:microsoft.com/office/officeart/2009/3/layout/HorizontalOrganizationChart"/>
    <dgm:cxn modelId="{674CF2F9-3B39-4B5C-B816-C88D77160482}" type="presParOf" srcId="{FE43EB42-CC2A-4840-8AF9-682BEC33B7E5}" destId="{ECB61BF6-2F00-437D-9947-7C9DDD922201}" srcOrd="0" destOrd="0" presId="urn:microsoft.com/office/officeart/2009/3/layout/HorizontalOrganizationChart"/>
    <dgm:cxn modelId="{BB8B41F7-A34A-4E14-8187-1792477A848F}" type="presParOf" srcId="{ECB61BF6-2F00-437D-9947-7C9DDD922201}" destId="{50D44B2B-E4D5-473C-B956-B380DE34F7DC}" srcOrd="0" destOrd="0" presId="urn:microsoft.com/office/officeart/2009/3/layout/HorizontalOrganizationChart"/>
    <dgm:cxn modelId="{EE217AF3-133D-4F0B-ABA7-1B824B8C99DC}" type="presParOf" srcId="{ECB61BF6-2F00-437D-9947-7C9DDD922201}" destId="{2474113B-ADCF-47F5-8ECF-ECCDA0352402}" srcOrd="1" destOrd="0" presId="urn:microsoft.com/office/officeart/2009/3/layout/HorizontalOrganizationChart"/>
    <dgm:cxn modelId="{E82B31DE-800F-4B72-ABCA-621B54BC461F}" type="presParOf" srcId="{FE43EB42-CC2A-4840-8AF9-682BEC33B7E5}" destId="{E191457B-1AB3-4BEB-9ED3-5A9D676F76F4}" srcOrd="1" destOrd="0" presId="urn:microsoft.com/office/officeart/2009/3/layout/HorizontalOrganizationChart"/>
    <dgm:cxn modelId="{C8A9965E-3A82-4A70-B616-C15C6573CFBF}" type="presParOf" srcId="{E191457B-1AB3-4BEB-9ED3-5A9D676F76F4}" destId="{F838C614-B81C-4424-AAB8-149ADFD9AF41}" srcOrd="0" destOrd="0" presId="urn:microsoft.com/office/officeart/2009/3/layout/HorizontalOrganizationChart"/>
    <dgm:cxn modelId="{B6E4ACB1-751E-49BB-BAE0-7A96403E229F}" type="presParOf" srcId="{E191457B-1AB3-4BEB-9ED3-5A9D676F76F4}" destId="{9406B344-0B77-49DD-BFC7-319EAB4994DE}" srcOrd="1" destOrd="0" presId="urn:microsoft.com/office/officeart/2009/3/layout/HorizontalOrganizationChart"/>
    <dgm:cxn modelId="{9B5A67EB-5ACE-41EB-968C-BFCB5907059F}" type="presParOf" srcId="{9406B344-0B77-49DD-BFC7-319EAB4994DE}" destId="{B6C359FC-FEF9-43B0-909E-08590113F79A}" srcOrd="0" destOrd="0" presId="urn:microsoft.com/office/officeart/2009/3/layout/HorizontalOrganizationChart"/>
    <dgm:cxn modelId="{92C305CE-4359-479F-9D9F-59AB0F6E8FCC}" type="presParOf" srcId="{B6C359FC-FEF9-43B0-909E-08590113F79A}" destId="{B6333A78-34A9-431F-B682-8C6ACA3317B7}" srcOrd="0" destOrd="0" presId="urn:microsoft.com/office/officeart/2009/3/layout/HorizontalOrganizationChart"/>
    <dgm:cxn modelId="{96F2E7B9-56F8-44B4-8AAF-DAF9F6256BFF}" type="presParOf" srcId="{B6C359FC-FEF9-43B0-909E-08590113F79A}" destId="{0B450359-2CEA-4538-A81A-F3F472E6C5A8}" srcOrd="1" destOrd="0" presId="urn:microsoft.com/office/officeart/2009/3/layout/HorizontalOrganizationChart"/>
    <dgm:cxn modelId="{C7E11C51-FC14-4174-A89A-2C6AAA8B5768}" type="presParOf" srcId="{9406B344-0B77-49DD-BFC7-319EAB4994DE}" destId="{B1AB471B-407A-499E-BC39-788739EC77BF}" srcOrd="1" destOrd="0" presId="urn:microsoft.com/office/officeart/2009/3/layout/HorizontalOrganizationChart"/>
    <dgm:cxn modelId="{12EC0798-1750-414B-B6B2-5709565FD3DC}" type="presParOf" srcId="{9406B344-0B77-49DD-BFC7-319EAB4994DE}" destId="{72346673-761A-4137-A6C9-8A8053E1D40D}" srcOrd="2" destOrd="0" presId="urn:microsoft.com/office/officeart/2009/3/layout/HorizontalOrganizationChart"/>
    <dgm:cxn modelId="{2C16B101-D2ED-4CB5-BB87-F56B66CCC11B}" type="presParOf" srcId="{FE43EB42-CC2A-4840-8AF9-682BEC33B7E5}" destId="{41390FB7-C9B4-4845-97AC-A8A4CE2C42E3}" srcOrd="2" destOrd="0" presId="urn:microsoft.com/office/officeart/2009/3/layout/HorizontalOrganizationChart"/>
    <dgm:cxn modelId="{1A982C37-4E96-4345-9405-D8F1DCC2EA99}" type="presParOf" srcId="{309F9368-3162-48BF-ADDF-5F7241BEEBF4}" destId="{C6275EBE-6AA6-4066-8152-C9F67CB794C8}" srcOrd="2" destOrd="0" presId="urn:microsoft.com/office/officeart/2009/3/layout/HorizontalOrganizationChart"/>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B5CFE3B-BB81-441A-BD39-8DFFE41BC4DB}" type="doc">
      <dgm:prSet loTypeId="urn:microsoft.com/office/officeart/2005/8/layout/process2" loCatId="process" qsTypeId="urn:microsoft.com/office/officeart/2005/8/quickstyle/simple1" qsCatId="simple" csTypeId="urn:microsoft.com/office/officeart/2005/8/colors/accent1_2" csCatId="accent1" phldr="1"/>
      <dgm:spPr/>
      <dgm:t>
        <a:bodyPr/>
        <a:lstStyle/>
        <a:p>
          <a:endParaRPr lang="en-GB"/>
        </a:p>
      </dgm:t>
    </dgm:pt>
    <dgm:pt modelId="{9D1D12B8-0AD1-4715-A63B-B58112B3996B}">
      <dgm:prSet phldrT="[Text]" custT="1"/>
      <dgm:spPr>
        <a:solidFill>
          <a:schemeClr val="accent2">
            <a:lumMod val="60000"/>
            <a:lumOff val="40000"/>
          </a:schemeClr>
        </a:solidFill>
      </dgm:spPr>
      <dgm:t>
        <a:bodyPr/>
        <a:lstStyle/>
        <a:p>
          <a:r>
            <a:rPr lang="en-GB" sz="1300"/>
            <a:t>Ore </a:t>
          </a:r>
        </a:p>
        <a:p>
          <a:r>
            <a:rPr lang="en-GB" sz="1300"/>
            <a:t>mining</a:t>
          </a:r>
        </a:p>
      </dgm:t>
    </dgm:pt>
    <dgm:pt modelId="{3F2B1A34-762B-461C-915E-97D60E360A7D}" type="parTrans" cxnId="{66186678-5C24-4B47-93D2-A4F3142E3BAB}">
      <dgm:prSet/>
      <dgm:spPr/>
      <dgm:t>
        <a:bodyPr/>
        <a:lstStyle/>
        <a:p>
          <a:endParaRPr lang="en-GB"/>
        </a:p>
      </dgm:t>
    </dgm:pt>
    <dgm:pt modelId="{FA4E9DFA-093B-4C8D-B9D6-8862A0FD7AB2}" type="sibTrans" cxnId="{66186678-5C24-4B47-93D2-A4F3142E3BAB}">
      <dgm:prSet/>
      <dgm:spPr/>
      <dgm:t>
        <a:bodyPr/>
        <a:lstStyle/>
        <a:p>
          <a:endParaRPr lang="en-GB"/>
        </a:p>
      </dgm:t>
    </dgm:pt>
    <dgm:pt modelId="{E0F94A0F-A61C-4472-8814-708B9000AF3D}">
      <dgm:prSet phldrT="[Text]" custT="1"/>
      <dgm:spPr>
        <a:solidFill>
          <a:schemeClr val="accent2">
            <a:lumMod val="60000"/>
            <a:lumOff val="40000"/>
          </a:schemeClr>
        </a:solidFill>
      </dgm:spPr>
      <dgm:t>
        <a:bodyPr/>
        <a:lstStyle/>
        <a:p>
          <a:r>
            <a:rPr lang="en-GB" sz="1300"/>
            <a:t>Mineral </a:t>
          </a:r>
        </a:p>
        <a:p>
          <a:r>
            <a:rPr lang="en-GB" sz="1300"/>
            <a:t>beneficiation</a:t>
          </a:r>
        </a:p>
      </dgm:t>
    </dgm:pt>
    <dgm:pt modelId="{313FD83E-8FE4-417B-B931-E613F8DA2D0E}" type="parTrans" cxnId="{536720BD-E424-44BE-8C95-B40B45019998}">
      <dgm:prSet/>
      <dgm:spPr/>
      <dgm:t>
        <a:bodyPr/>
        <a:lstStyle/>
        <a:p>
          <a:endParaRPr lang="en-GB"/>
        </a:p>
      </dgm:t>
    </dgm:pt>
    <dgm:pt modelId="{61561CEB-2653-4B2B-8497-52F49F9B23C4}" type="sibTrans" cxnId="{536720BD-E424-44BE-8C95-B40B45019998}">
      <dgm:prSet/>
      <dgm:spPr/>
      <dgm:t>
        <a:bodyPr/>
        <a:lstStyle/>
        <a:p>
          <a:endParaRPr lang="en-GB"/>
        </a:p>
      </dgm:t>
    </dgm:pt>
    <dgm:pt modelId="{81E6FE36-B0E6-40C8-89D2-06DAD8FA19E6}">
      <dgm:prSet phldrT="[Text]" custT="1"/>
      <dgm:spPr>
        <a:solidFill>
          <a:schemeClr val="accent2">
            <a:lumMod val="60000"/>
            <a:lumOff val="40000"/>
          </a:schemeClr>
        </a:solidFill>
      </dgm:spPr>
      <dgm:t>
        <a:bodyPr/>
        <a:lstStyle/>
        <a:p>
          <a:endParaRPr lang="en-GB" sz="700"/>
        </a:p>
        <a:p>
          <a:r>
            <a:rPr lang="en-GB" sz="1300"/>
            <a:t>Ferroalloy </a:t>
          </a:r>
        </a:p>
        <a:p>
          <a:r>
            <a:rPr lang="en-GB" sz="1300"/>
            <a:t>production</a:t>
          </a:r>
        </a:p>
        <a:p>
          <a:endParaRPr lang="en-GB" sz="700"/>
        </a:p>
      </dgm:t>
    </dgm:pt>
    <dgm:pt modelId="{9D7F2BDE-3D8F-4571-81FB-C28299FCFF6A}" type="parTrans" cxnId="{044B4E84-DC08-4D18-9561-0D20F43482AB}">
      <dgm:prSet/>
      <dgm:spPr/>
      <dgm:t>
        <a:bodyPr/>
        <a:lstStyle/>
        <a:p>
          <a:endParaRPr lang="en-GB"/>
        </a:p>
      </dgm:t>
    </dgm:pt>
    <dgm:pt modelId="{5BDCF81E-EAEB-4706-AD13-8626D1F00726}" type="sibTrans" cxnId="{044B4E84-DC08-4D18-9561-0D20F43482AB}">
      <dgm:prSet/>
      <dgm:spPr/>
      <dgm:t>
        <a:bodyPr/>
        <a:lstStyle/>
        <a:p>
          <a:endParaRPr lang="en-GB"/>
        </a:p>
      </dgm:t>
    </dgm:pt>
    <dgm:pt modelId="{5286274D-4F42-45A5-BF09-07EE868208CE}" type="pres">
      <dgm:prSet presAssocID="{3B5CFE3B-BB81-441A-BD39-8DFFE41BC4DB}" presName="linearFlow" presStyleCnt="0">
        <dgm:presLayoutVars>
          <dgm:resizeHandles val="exact"/>
        </dgm:presLayoutVars>
      </dgm:prSet>
      <dgm:spPr/>
      <dgm:t>
        <a:bodyPr/>
        <a:lstStyle/>
        <a:p>
          <a:endParaRPr lang="en-GB"/>
        </a:p>
      </dgm:t>
    </dgm:pt>
    <dgm:pt modelId="{265A01A4-A933-4C0B-91AB-1AB2E2861315}" type="pres">
      <dgm:prSet presAssocID="{9D1D12B8-0AD1-4715-A63B-B58112B3996B}" presName="node" presStyleLbl="node1" presStyleIdx="0" presStyleCnt="3">
        <dgm:presLayoutVars>
          <dgm:bulletEnabled val="1"/>
        </dgm:presLayoutVars>
      </dgm:prSet>
      <dgm:spPr/>
      <dgm:t>
        <a:bodyPr/>
        <a:lstStyle/>
        <a:p>
          <a:endParaRPr lang="en-GB"/>
        </a:p>
      </dgm:t>
    </dgm:pt>
    <dgm:pt modelId="{C218733B-0D8B-40F5-8FD2-65C3C559CEC4}" type="pres">
      <dgm:prSet presAssocID="{FA4E9DFA-093B-4C8D-B9D6-8862A0FD7AB2}" presName="sibTrans" presStyleLbl="sibTrans2D1" presStyleIdx="0" presStyleCnt="2"/>
      <dgm:spPr/>
      <dgm:t>
        <a:bodyPr/>
        <a:lstStyle/>
        <a:p>
          <a:endParaRPr lang="en-GB"/>
        </a:p>
      </dgm:t>
    </dgm:pt>
    <dgm:pt modelId="{8C530825-070E-4400-83DE-AF1A4A17353F}" type="pres">
      <dgm:prSet presAssocID="{FA4E9DFA-093B-4C8D-B9D6-8862A0FD7AB2}" presName="connectorText" presStyleLbl="sibTrans2D1" presStyleIdx="0" presStyleCnt="2"/>
      <dgm:spPr/>
      <dgm:t>
        <a:bodyPr/>
        <a:lstStyle/>
        <a:p>
          <a:endParaRPr lang="en-GB"/>
        </a:p>
      </dgm:t>
    </dgm:pt>
    <dgm:pt modelId="{CDFA238B-39D1-4D68-A9FE-D536A26CA6C3}" type="pres">
      <dgm:prSet presAssocID="{E0F94A0F-A61C-4472-8814-708B9000AF3D}" presName="node" presStyleLbl="node1" presStyleIdx="1" presStyleCnt="3">
        <dgm:presLayoutVars>
          <dgm:bulletEnabled val="1"/>
        </dgm:presLayoutVars>
      </dgm:prSet>
      <dgm:spPr/>
      <dgm:t>
        <a:bodyPr/>
        <a:lstStyle/>
        <a:p>
          <a:endParaRPr lang="en-GB"/>
        </a:p>
      </dgm:t>
    </dgm:pt>
    <dgm:pt modelId="{4DA76827-3252-42D3-A381-640ABF5A9BFA}" type="pres">
      <dgm:prSet presAssocID="{61561CEB-2653-4B2B-8497-52F49F9B23C4}" presName="sibTrans" presStyleLbl="sibTrans2D1" presStyleIdx="1" presStyleCnt="2"/>
      <dgm:spPr/>
      <dgm:t>
        <a:bodyPr/>
        <a:lstStyle/>
        <a:p>
          <a:endParaRPr lang="en-GB"/>
        </a:p>
      </dgm:t>
    </dgm:pt>
    <dgm:pt modelId="{F7211F37-C283-4915-BCA2-696BF5DA7A62}" type="pres">
      <dgm:prSet presAssocID="{61561CEB-2653-4B2B-8497-52F49F9B23C4}" presName="connectorText" presStyleLbl="sibTrans2D1" presStyleIdx="1" presStyleCnt="2"/>
      <dgm:spPr/>
      <dgm:t>
        <a:bodyPr/>
        <a:lstStyle/>
        <a:p>
          <a:endParaRPr lang="en-GB"/>
        </a:p>
      </dgm:t>
    </dgm:pt>
    <dgm:pt modelId="{EB8240AA-A879-4404-8359-17EECCD6CDF5}" type="pres">
      <dgm:prSet presAssocID="{81E6FE36-B0E6-40C8-89D2-06DAD8FA19E6}" presName="node" presStyleLbl="node1" presStyleIdx="2" presStyleCnt="3">
        <dgm:presLayoutVars>
          <dgm:bulletEnabled val="1"/>
        </dgm:presLayoutVars>
      </dgm:prSet>
      <dgm:spPr/>
      <dgm:t>
        <a:bodyPr/>
        <a:lstStyle/>
        <a:p>
          <a:endParaRPr lang="en-GB"/>
        </a:p>
      </dgm:t>
    </dgm:pt>
  </dgm:ptLst>
  <dgm:cxnLst>
    <dgm:cxn modelId="{536720BD-E424-44BE-8C95-B40B45019998}" srcId="{3B5CFE3B-BB81-441A-BD39-8DFFE41BC4DB}" destId="{E0F94A0F-A61C-4472-8814-708B9000AF3D}" srcOrd="1" destOrd="0" parTransId="{313FD83E-8FE4-417B-B931-E613F8DA2D0E}" sibTransId="{61561CEB-2653-4B2B-8497-52F49F9B23C4}"/>
    <dgm:cxn modelId="{8EB30DC3-3FEE-4F89-BFD4-1CB3B0D18AD4}" type="presOf" srcId="{81E6FE36-B0E6-40C8-89D2-06DAD8FA19E6}" destId="{EB8240AA-A879-4404-8359-17EECCD6CDF5}" srcOrd="0" destOrd="0" presId="urn:microsoft.com/office/officeart/2005/8/layout/process2"/>
    <dgm:cxn modelId="{66186678-5C24-4B47-93D2-A4F3142E3BAB}" srcId="{3B5CFE3B-BB81-441A-BD39-8DFFE41BC4DB}" destId="{9D1D12B8-0AD1-4715-A63B-B58112B3996B}" srcOrd="0" destOrd="0" parTransId="{3F2B1A34-762B-461C-915E-97D60E360A7D}" sibTransId="{FA4E9DFA-093B-4C8D-B9D6-8862A0FD7AB2}"/>
    <dgm:cxn modelId="{7B513281-89E9-43F6-9218-D37C836D6871}" type="presOf" srcId="{E0F94A0F-A61C-4472-8814-708B9000AF3D}" destId="{CDFA238B-39D1-4D68-A9FE-D536A26CA6C3}" srcOrd="0" destOrd="0" presId="urn:microsoft.com/office/officeart/2005/8/layout/process2"/>
    <dgm:cxn modelId="{5EA3DE56-3A38-4D40-B7DB-67937B290FE0}" type="presOf" srcId="{9D1D12B8-0AD1-4715-A63B-B58112B3996B}" destId="{265A01A4-A933-4C0B-91AB-1AB2E2861315}" srcOrd="0" destOrd="0" presId="urn:microsoft.com/office/officeart/2005/8/layout/process2"/>
    <dgm:cxn modelId="{42FD44E4-1958-43CB-85C8-0DAF221FA863}" type="presOf" srcId="{3B5CFE3B-BB81-441A-BD39-8DFFE41BC4DB}" destId="{5286274D-4F42-45A5-BF09-07EE868208CE}" srcOrd="0" destOrd="0" presId="urn:microsoft.com/office/officeart/2005/8/layout/process2"/>
    <dgm:cxn modelId="{684F71CE-D925-411A-9C86-9D4380FEBB3C}" type="presOf" srcId="{FA4E9DFA-093B-4C8D-B9D6-8862A0FD7AB2}" destId="{8C530825-070E-4400-83DE-AF1A4A17353F}" srcOrd="1" destOrd="0" presId="urn:microsoft.com/office/officeart/2005/8/layout/process2"/>
    <dgm:cxn modelId="{044B4E84-DC08-4D18-9561-0D20F43482AB}" srcId="{3B5CFE3B-BB81-441A-BD39-8DFFE41BC4DB}" destId="{81E6FE36-B0E6-40C8-89D2-06DAD8FA19E6}" srcOrd="2" destOrd="0" parTransId="{9D7F2BDE-3D8F-4571-81FB-C28299FCFF6A}" sibTransId="{5BDCF81E-EAEB-4706-AD13-8626D1F00726}"/>
    <dgm:cxn modelId="{D3B0B04C-4940-4120-922D-10A6C10D5E6C}" type="presOf" srcId="{61561CEB-2653-4B2B-8497-52F49F9B23C4}" destId="{4DA76827-3252-42D3-A381-640ABF5A9BFA}" srcOrd="0" destOrd="0" presId="urn:microsoft.com/office/officeart/2005/8/layout/process2"/>
    <dgm:cxn modelId="{60F08466-586B-49AD-A645-C5F7CEE452FF}" type="presOf" srcId="{61561CEB-2653-4B2B-8497-52F49F9B23C4}" destId="{F7211F37-C283-4915-BCA2-696BF5DA7A62}" srcOrd="1" destOrd="0" presId="urn:microsoft.com/office/officeart/2005/8/layout/process2"/>
    <dgm:cxn modelId="{091BA444-6F98-41CA-A4F4-00493432B7E3}" type="presOf" srcId="{FA4E9DFA-093B-4C8D-B9D6-8862A0FD7AB2}" destId="{C218733B-0D8B-40F5-8FD2-65C3C559CEC4}" srcOrd="0" destOrd="0" presId="urn:microsoft.com/office/officeart/2005/8/layout/process2"/>
    <dgm:cxn modelId="{E9997653-A656-4694-BD3B-E9B888F0ED1A}" type="presParOf" srcId="{5286274D-4F42-45A5-BF09-07EE868208CE}" destId="{265A01A4-A933-4C0B-91AB-1AB2E2861315}" srcOrd="0" destOrd="0" presId="urn:microsoft.com/office/officeart/2005/8/layout/process2"/>
    <dgm:cxn modelId="{B32B31F4-66A6-49AB-AED8-ECB16E360F6E}" type="presParOf" srcId="{5286274D-4F42-45A5-BF09-07EE868208CE}" destId="{C218733B-0D8B-40F5-8FD2-65C3C559CEC4}" srcOrd="1" destOrd="0" presId="urn:microsoft.com/office/officeart/2005/8/layout/process2"/>
    <dgm:cxn modelId="{CA0D7AB5-D516-48CE-9D57-8FAFE03620AB}" type="presParOf" srcId="{C218733B-0D8B-40F5-8FD2-65C3C559CEC4}" destId="{8C530825-070E-4400-83DE-AF1A4A17353F}" srcOrd="0" destOrd="0" presId="urn:microsoft.com/office/officeart/2005/8/layout/process2"/>
    <dgm:cxn modelId="{7FA3125E-D077-4D9D-8B8A-ADE49295CE59}" type="presParOf" srcId="{5286274D-4F42-45A5-BF09-07EE868208CE}" destId="{CDFA238B-39D1-4D68-A9FE-D536A26CA6C3}" srcOrd="2" destOrd="0" presId="urn:microsoft.com/office/officeart/2005/8/layout/process2"/>
    <dgm:cxn modelId="{9CEB9581-7300-4745-90E9-3CD14AFCD4B6}" type="presParOf" srcId="{5286274D-4F42-45A5-BF09-07EE868208CE}" destId="{4DA76827-3252-42D3-A381-640ABF5A9BFA}" srcOrd="3" destOrd="0" presId="urn:microsoft.com/office/officeart/2005/8/layout/process2"/>
    <dgm:cxn modelId="{7F009D78-05A3-4F20-AE46-AF2AE288BDBF}" type="presParOf" srcId="{4DA76827-3252-42D3-A381-640ABF5A9BFA}" destId="{F7211F37-C283-4915-BCA2-696BF5DA7A62}" srcOrd="0" destOrd="0" presId="urn:microsoft.com/office/officeart/2005/8/layout/process2"/>
    <dgm:cxn modelId="{8B644A75-3424-40A3-BE58-21CB1BC8B6C0}" type="presParOf" srcId="{5286274D-4F42-45A5-BF09-07EE868208CE}" destId="{EB8240AA-A879-4404-8359-17EECCD6CDF5}" srcOrd="4" destOrd="0" presId="urn:microsoft.com/office/officeart/2005/8/layout/process2"/>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66D0A3B-BCF6-4C39-B0F8-FD4DC5BDC195}" type="doc">
      <dgm:prSet loTypeId="urn:microsoft.com/office/officeart/2005/8/layout/chevron1" loCatId="process" qsTypeId="urn:microsoft.com/office/officeart/2005/8/quickstyle/simple1" qsCatId="simple" csTypeId="urn:microsoft.com/office/officeart/2005/8/colors/accent1_2" csCatId="accent1" phldr="1"/>
      <dgm:spPr/>
    </dgm:pt>
    <dgm:pt modelId="{C1899D3B-9368-4430-8BBF-1575086ECE2A}">
      <dgm:prSet phldrT="[Text]" custT="1"/>
      <dgm:spPr/>
      <dgm:t>
        <a:bodyPr/>
        <a:lstStyle/>
        <a:p>
          <a:pPr algn="ctr"/>
          <a:r>
            <a:rPr lang="en-GB" sz="1300"/>
            <a:t>Diesel</a:t>
          </a:r>
        </a:p>
      </dgm:t>
    </dgm:pt>
    <dgm:pt modelId="{DAB7A665-51BB-4BEB-A345-99D36C6E4538}" type="parTrans" cxnId="{2215F907-FB48-4D68-9E18-5C8205934F91}">
      <dgm:prSet/>
      <dgm:spPr/>
      <dgm:t>
        <a:bodyPr/>
        <a:lstStyle/>
        <a:p>
          <a:pPr algn="ctr"/>
          <a:endParaRPr lang="en-GB"/>
        </a:p>
      </dgm:t>
    </dgm:pt>
    <dgm:pt modelId="{187E6B25-2610-4B31-9B7A-1FDFABFFFE1C}" type="sibTrans" cxnId="{2215F907-FB48-4D68-9E18-5C8205934F91}">
      <dgm:prSet/>
      <dgm:spPr/>
      <dgm:t>
        <a:bodyPr/>
        <a:lstStyle/>
        <a:p>
          <a:pPr algn="ctr"/>
          <a:endParaRPr lang="en-GB"/>
        </a:p>
      </dgm:t>
    </dgm:pt>
    <dgm:pt modelId="{4F773773-0392-4EB9-95EB-616F56A8D49D}">
      <dgm:prSet phldrT="[Text]"/>
      <dgm:spPr/>
      <dgm:t>
        <a:bodyPr/>
        <a:lstStyle/>
        <a:p>
          <a:pPr algn="ctr"/>
          <a:endParaRPr lang="en-GB"/>
        </a:p>
      </dgm:t>
    </dgm:pt>
    <dgm:pt modelId="{13944F36-1610-448B-B9E0-1271B12698A5}" type="parTrans" cxnId="{5C587D70-B475-48D9-A50A-60A59AA532C8}">
      <dgm:prSet/>
      <dgm:spPr/>
      <dgm:t>
        <a:bodyPr/>
        <a:lstStyle/>
        <a:p>
          <a:pPr algn="ctr"/>
          <a:endParaRPr lang="en-GB"/>
        </a:p>
      </dgm:t>
    </dgm:pt>
    <dgm:pt modelId="{A8D90952-E15C-4097-866C-A7805BD002B0}" type="sibTrans" cxnId="{5C587D70-B475-48D9-A50A-60A59AA532C8}">
      <dgm:prSet/>
      <dgm:spPr/>
      <dgm:t>
        <a:bodyPr/>
        <a:lstStyle/>
        <a:p>
          <a:pPr algn="ctr"/>
          <a:endParaRPr lang="en-GB"/>
        </a:p>
      </dgm:t>
    </dgm:pt>
    <dgm:pt modelId="{B29BE5F0-1B2B-4348-ADD9-E5F3CB87EB52}">
      <dgm:prSet phldrT="[Text]"/>
      <dgm:spPr/>
      <dgm:t>
        <a:bodyPr/>
        <a:lstStyle/>
        <a:p>
          <a:pPr algn="ctr"/>
          <a:endParaRPr lang="en-GB"/>
        </a:p>
      </dgm:t>
    </dgm:pt>
    <dgm:pt modelId="{FDC93FE0-4074-4928-A077-0B0E7CC2CD8A}" type="parTrans" cxnId="{C2E8165A-BC08-46F7-B34C-A1B52338585E}">
      <dgm:prSet/>
      <dgm:spPr/>
      <dgm:t>
        <a:bodyPr/>
        <a:lstStyle/>
        <a:p>
          <a:pPr algn="ctr"/>
          <a:endParaRPr lang="en-GB"/>
        </a:p>
      </dgm:t>
    </dgm:pt>
    <dgm:pt modelId="{45AB550D-8E2C-4EA5-BD30-4BF26103F47D}" type="sibTrans" cxnId="{C2E8165A-BC08-46F7-B34C-A1B52338585E}">
      <dgm:prSet/>
      <dgm:spPr/>
      <dgm:t>
        <a:bodyPr/>
        <a:lstStyle/>
        <a:p>
          <a:pPr algn="ctr"/>
          <a:endParaRPr lang="en-GB"/>
        </a:p>
      </dgm:t>
    </dgm:pt>
    <dgm:pt modelId="{1066593A-50F8-43FF-968D-B9E431459B23}" type="pres">
      <dgm:prSet presAssocID="{266D0A3B-BCF6-4C39-B0F8-FD4DC5BDC195}" presName="Name0" presStyleCnt="0">
        <dgm:presLayoutVars>
          <dgm:dir/>
          <dgm:animLvl val="lvl"/>
          <dgm:resizeHandles val="exact"/>
        </dgm:presLayoutVars>
      </dgm:prSet>
      <dgm:spPr/>
    </dgm:pt>
    <dgm:pt modelId="{EAF55476-838B-4589-9BA4-F87ADFCC8A8B}" type="pres">
      <dgm:prSet presAssocID="{C1899D3B-9368-4430-8BBF-1575086ECE2A}" presName="composite" presStyleCnt="0"/>
      <dgm:spPr/>
    </dgm:pt>
    <dgm:pt modelId="{A0453670-1D48-41AF-ADDD-D2851D4CA859}" type="pres">
      <dgm:prSet presAssocID="{C1899D3B-9368-4430-8BBF-1575086ECE2A}" presName="parTx" presStyleLbl="node1" presStyleIdx="0" presStyleCnt="1" custLinFactX="-100000" custLinFactNeighborX="-112844" custLinFactNeighborY="-42071">
        <dgm:presLayoutVars>
          <dgm:chMax val="0"/>
          <dgm:chPref val="0"/>
          <dgm:bulletEnabled val="1"/>
        </dgm:presLayoutVars>
      </dgm:prSet>
      <dgm:spPr/>
      <dgm:t>
        <a:bodyPr/>
        <a:lstStyle/>
        <a:p>
          <a:endParaRPr lang="en-GB"/>
        </a:p>
      </dgm:t>
    </dgm:pt>
    <dgm:pt modelId="{1B3C3B1A-556F-423E-A301-91EFB511EDCA}" type="pres">
      <dgm:prSet presAssocID="{C1899D3B-9368-4430-8BBF-1575086ECE2A}" presName="desTx" presStyleLbl="revTx" presStyleIdx="0" presStyleCnt="1">
        <dgm:presLayoutVars>
          <dgm:bulletEnabled val="1"/>
        </dgm:presLayoutVars>
      </dgm:prSet>
      <dgm:spPr/>
      <dgm:t>
        <a:bodyPr/>
        <a:lstStyle/>
        <a:p>
          <a:endParaRPr lang="en-GB"/>
        </a:p>
      </dgm:t>
    </dgm:pt>
  </dgm:ptLst>
  <dgm:cxnLst>
    <dgm:cxn modelId="{334BA7FB-EA09-4161-8B16-76697576FCFE}" type="presOf" srcId="{266D0A3B-BCF6-4C39-B0F8-FD4DC5BDC195}" destId="{1066593A-50F8-43FF-968D-B9E431459B23}" srcOrd="0" destOrd="0" presId="urn:microsoft.com/office/officeart/2005/8/layout/chevron1"/>
    <dgm:cxn modelId="{5FA86D7F-DE46-49D1-B71D-048C7B173C92}" type="presOf" srcId="{4F773773-0392-4EB9-95EB-616F56A8D49D}" destId="{1B3C3B1A-556F-423E-A301-91EFB511EDCA}" srcOrd="0" destOrd="0" presId="urn:microsoft.com/office/officeart/2005/8/layout/chevron1"/>
    <dgm:cxn modelId="{2215F907-FB48-4D68-9E18-5C8205934F91}" srcId="{266D0A3B-BCF6-4C39-B0F8-FD4DC5BDC195}" destId="{C1899D3B-9368-4430-8BBF-1575086ECE2A}" srcOrd="0" destOrd="0" parTransId="{DAB7A665-51BB-4BEB-A345-99D36C6E4538}" sibTransId="{187E6B25-2610-4B31-9B7A-1FDFABFFFE1C}"/>
    <dgm:cxn modelId="{8AAD8799-0E05-4CA3-82BD-EB7A7F9E02A5}" type="presOf" srcId="{B29BE5F0-1B2B-4348-ADD9-E5F3CB87EB52}" destId="{1B3C3B1A-556F-423E-A301-91EFB511EDCA}" srcOrd="0" destOrd="1" presId="urn:microsoft.com/office/officeart/2005/8/layout/chevron1"/>
    <dgm:cxn modelId="{C2E8165A-BC08-46F7-B34C-A1B52338585E}" srcId="{C1899D3B-9368-4430-8BBF-1575086ECE2A}" destId="{B29BE5F0-1B2B-4348-ADD9-E5F3CB87EB52}" srcOrd="1" destOrd="0" parTransId="{FDC93FE0-4074-4928-A077-0B0E7CC2CD8A}" sibTransId="{45AB550D-8E2C-4EA5-BD30-4BF26103F47D}"/>
    <dgm:cxn modelId="{A4ABEF58-604C-4658-82DA-17C402E284D0}" type="presOf" srcId="{C1899D3B-9368-4430-8BBF-1575086ECE2A}" destId="{A0453670-1D48-41AF-ADDD-D2851D4CA859}" srcOrd="0" destOrd="0" presId="urn:microsoft.com/office/officeart/2005/8/layout/chevron1"/>
    <dgm:cxn modelId="{5C587D70-B475-48D9-A50A-60A59AA532C8}" srcId="{C1899D3B-9368-4430-8BBF-1575086ECE2A}" destId="{4F773773-0392-4EB9-95EB-616F56A8D49D}" srcOrd="0" destOrd="0" parTransId="{13944F36-1610-448B-B9E0-1271B12698A5}" sibTransId="{A8D90952-E15C-4097-866C-A7805BD002B0}"/>
    <dgm:cxn modelId="{F0D56CFD-012B-4A0E-ACF7-DB09192A69A2}" type="presParOf" srcId="{1066593A-50F8-43FF-968D-B9E431459B23}" destId="{EAF55476-838B-4589-9BA4-F87ADFCC8A8B}" srcOrd="0" destOrd="0" presId="urn:microsoft.com/office/officeart/2005/8/layout/chevron1"/>
    <dgm:cxn modelId="{C816F239-9DD6-4E56-A1EA-BFFC22244AD4}" type="presParOf" srcId="{EAF55476-838B-4589-9BA4-F87ADFCC8A8B}" destId="{A0453670-1D48-41AF-ADDD-D2851D4CA859}" srcOrd="0" destOrd="0" presId="urn:microsoft.com/office/officeart/2005/8/layout/chevron1"/>
    <dgm:cxn modelId="{6B214DCC-0485-49D8-ADF6-2D0AF96E7C1B}" type="presParOf" srcId="{EAF55476-838B-4589-9BA4-F87ADFCC8A8B}" destId="{1B3C3B1A-556F-423E-A301-91EFB511EDCA}" srcOrd="1" destOrd="0" presId="urn:microsoft.com/office/officeart/2005/8/layout/chevron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66D0A3B-BCF6-4C39-B0F8-FD4DC5BDC195}" type="doc">
      <dgm:prSet loTypeId="urn:microsoft.com/office/officeart/2005/8/layout/chevron1" loCatId="process" qsTypeId="urn:microsoft.com/office/officeart/2005/8/quickstyle/simple1" qsCatId="simple" csTypeId="urn:microsoft.com/office/officeart/2005/8/colors/accent1_2" csCatId="accent1" phldr="1"/>
      <dgm:spPr/>
    </dgm:pt>
    <dgm:pt modelId="{C1899D3B-9368-4430-8BBF-1575086ECE2A}">
      <dgm:prSet phldrT="[Text]" custT="1"/>
      <dgm:spPr/>
      <dgm:t>
        <a:bodyPr/>
        <a:lstStyle/>
        <a:p>
          <a:r>
            <a:rPr lang="en-GB" sz="1300"/>
            <a:t>Electricity</a:t>
          </a:r>
        </a:p>
      </dgm:t>
    </dgm:pt>
    <dgm:pt modelId="{DAB7A665-51BB-4BEB-A345-99D36C6E4538}" type="parTrans" cxnId="{2215F907-FB48-4D68-9E18-5C8205934F91}">
      <dgm:prSet/>
      <dgm:spPr/>
      <dgm:t>
        <a:bodyPr/>
        <a:lstStyle/>
        <a:p>
          <a:endParaRPr lang="en-GB"/>
        </a:p>
      </dgm:t>
    </dgm:pt>
    <dgm:pt modelId="{187E6B25-2610-4B31-9B7A-1FDFABFFFE1C}" type="sibTrans" cxnId="{2215F907-FB48-4D68-9E18-5C8205934F91}">
      <dgm:prSet/>
      <dgm:spPr/>
      <dgm:t>
        <a:bodyPr/>
        <a:lstStyle/>
        <a:p>
          <a:endParaRPr lang="en-GB"/>
        </a:p>
      </dgm:t>
    </dgm:pt>
    <dgm:pt modelId="{4F773773-0392-4EB9-95EB-616F56A8D49D}">
      <dgm:prSet phldrT="[Text]"/>
      <dgm:spPr/>
      <dgm:t>
        <a:bodyPr/>
        <a:lstStyle/>
        <a:p>
          <a:endParaRPr lang="en-GB"/>
        </a:p>
      </dgm:t>
    </dgm:pt>
    <dgm:pt modelId="{13944F36-1610-448B-B9E0-1271B12698A5}" type="parTrans" cxnId="{5C587D70-B475-48D9-A50A-60A59AA532C8}">
      <dgm:prSet/>
      <dgm:spPr/>
      <dgm:t>
        <a:bodyPr/>
        <a:lstStyle/>
        <a:p>
          <a:endParaRPr lang="en-GB"/>
        </a:p>
      </dgm:t>
    </dgm:pt>
    <dgm:pt modelId="{A8D90952-E15C-4097-866C-A7805BD002B0}" type="sibTrans" cxnId="{5C587D70-B475-48D9-A50A-60A59AA532C8}">
      <dgm:prSet/>
      <dgm:spPr/>
      <dgm:t>
        <a:bodyPr/>
        <a:lstStyle/>
        <a:p>
          <a:endParaRPr lang="en-GB"/>
        </a:p>
      </dgm:t>
    </dgm:pt>
    <dgm:pt modelId="{B29BE5F0-1B2B-4348-ADD9-E5F3CB87EB52}">
      <dgm:prSet phldrT="[Text]"/>
      <dgm:spPr/>
      <dgm:t>
        <a:bodyPr/>
        <a:lstStyle/>
        <a:p>
          <a:endParaRPr lang="en-GB"/>
        </a:p>
      </dgm:t>
    </dgm:pt>
    <dgm:pt modelId="{FDC93FE0-4074-4928-A077-0B0E7CC2CD8A}" type="parTrans" cxnId="{C2E8165A-BC08-46F7-B34C-A1B52338585E}">
      <dgm:prSet/>
      <dgm:spPr/>
      <dgm:t>
        <a:bodyPr/>
        <a:lstStyle/>
        <a:p>
          <a:endParaRPr lang="en-GB"/>
        </a:p>
      </dgm:t>
    </dgm:pt>
    <dgm:pt modelId="{45AB550D-8E2C-4EA5-BD30-4BF26103F47D}" type="sibTrans" cxnId="{C2E8165A-BC08-46F7-B34C-A1B52338585E}">
      <dgm:prSet/>
      <dgm:spPr/>
      <dgm:t>
        <a:bodyPr/>
        <a:lstStyle/>
        <a:p>
          <a:endParaRPr lang="en-GB"/>
        </a:p>
      </dgm:t>
    </dgm:pt>
    <dgm:pt modelId="{1066593A-50F8-43FF-968D-B9E431459B23}" type="pres">
      <dgm:prSet presAssocID="{266D0A3B-BCF6-4C39-B0F8-FD4DC5BDC195}" presName="Name0" presStyleCnt="0">
        <dgm:presLayoutVars>
          <dgm:dir/>
          <dgm:animLvl val="lvl"/>
          <dgm:resizeHandles val="exact"/>
        </dgm:presLayoutVars>
      </dgm:prSet>
      <dgm:spPr/>
    </dgm:pt>
    <dgm:pt modelId="{EAF55476-838B-4589-9BA4-F87ADFCC8A8B}" type="pres">
      <dgm:prSet presAssocID="{C1899D3B-9368-4430-8BBF-1575086ECE2A}" presName="composite" presStyleCnt="0"/>
      <dgm:spPr/>
    </dgm:pt>
    <dgm:pt modelId="{A0453670-1D48-41AF-ADDD-D2851D4CA859}" type="pres">
      <dgm:prSet presAssocID="{C1899D3B-9368-4430-8BBF-1575086ECE2A}" presName="parTx" presStyleLbl="node1" presStyleIdx="0" presStyleCnt="1" custLinFactNeighborX="-800" custLinFactNeighborY="91938">
        <dgm:presLayoutVars>
          <dgm:chMax val="0"/>
          <dgm:chPref val="0"/>
          <dgm:bulletEnabled val="1"/>
        </dgm:presLayoutVars>
      </dgm:prSet>
      <dgm:spPr/>
      <dgm:t>
        <a:bodyPr/>
        <a:lstStyle/>
        <a:p>
          <a:endParaRPr lang="en-GB"/>
        </a:p>
      </dgm:t>
    </dgm:pt>
    <dgm:pt modelId="{1B3C3B1A-556F-423E-A301-91EFB511EDCA}" type="pres">
      <dgm:prSet presAssocID="{C1899D3B-9368-4430-8BBF-1575086ECE2A}" presName="desTx" presStyleLbl="revTx" presStyleIdx="0" presStyleCnt="1">
        <dgm:presLayoutVars>
          <dgm:bulletEnabled val="1"/>
        </dgm:presLayoutVars>
      </dgm:prSet>
      <dgm:spPr/>
      <dgm:t>
        <a:bodyPr/>
        <a:lstStyle/>
        <a:p>
          <a:endParaRPr lang="en-GB"/>
        </a:p>
      </dgm:t>
    </dgm:pt>
  </dgm:ptLst>
  <dgm:cxnLst>
    <dgm:cxn modelId="{A82FCF48-B6A5-4494-B186-CA6B22966E4B}" type="presOf" srcId="{C1899D3B-9368-4430-8BBF-1575086ECE2A}" destId="{A0453670-1D48-41AF-ADDD-D2851D4CA859}" srcOrd="0" destOrd="0" presId="urn:microsoft.com/office/officeart/2005/8/layout/chevron1"/>
    <dgm:cxn modelId="{2215F907-FB48-4D68-9E18-5C8205934F91}" srcId="{266D0A3B-BCF6-4C39-B0F8-FD4DC5BDC195}" destId="{C1899D3B-9368-4430-8BBF-1575086ECE2A}" srcOrd="0" destOrd="0" parTransId="{DAB7A665-51BB-4BEB-A345-99D36C6E4538}" sibTransId="{187E6B25-2610-4B31-9B7A-1FDFABFFFE1C}"/>
    <dgm:cxn modelId="{C2E8165A-BC08-46F7-B34C-A1B52338585E}" srcId="{C1899D3B-9368-4430-8BBF-1575086ECE2A}" destId="{B29BE5F0-1B2B-4348-ADD9-E5F3CB87EB52}" srcOrd="1" destOrd="0" parTransId="{FDC93FE0-4074-4928-A077-0B0E7CC2CD8A}" sibTransId="{45AB550D-8E2C-4EA5-BD30-4BF26103F47D}"/>
    <dgm:cxn modelId="{461C4FB2-E2C2-4865-9009-0AC2F03D42DC}" type="presOf" srcId="{266D0A3B-BCF6-4C39-B0F8-FD4DC5BDC195}" destId="{1066593A-50F8-43FF-968D-B9E431459B23}" srcOrd="0" destOrd="0" presId="urn:microsoft.com/office/officeart/2005/8/layout/chevron1"/>
    <dgm:cxn modelId="{5C587D70-B475-48D9-A50A-60A59AA532C8}" srcId="{C1899D3B-9368-4430-8BBF-1575086ECE2A}" destId="{4F773773-0392-4EB9-95EB-616F56A8D49D}" srcOrd="0" destOrd="0" parTransId="{13944F36-1610-448B-B9E0-1271B12698A5}" sibTransId="{A8D90952-E15C-4097-866C-A7805BD002B0}"/>
    <dgm:cxn modelId="{13A2127A-1B64-4776-A86F-C56E73BD094A}" type="presOf" srcId="{B29BE5F0-1B2B-4348-ADD9-E5F3CB87EB52}" destId="{1B3C3B1A-556F-423E-A301-91EFB511EDCA}" srcOrd="0" destOrd="1" presId="urn:microsoft.com/office/officeart/2005/8/layout/chevron1"/>
    <dgm:cxn modelId="{B2D2B695-D8B8-4C0F-8123-391E2D8EC7DB}" type="presOf" srcId="{4F773773-0392-4EB9-95EB-616F56A8D49D}" destId="{1B3C3B1A-556F-423E-A301-91EFB511EDCA}" srcOrd="0" destOrd="0" presId="urn:microsoft.com/office/officeart/2005/8/layout/chevron1"/>
    <dgm:cxn modelId="{E2F5F877-4CE0-4D56-AA9C-12B664C58069}" type="presParOf" srcId="{1066593A-50F8-43FF-968D-B9E431459B23}" destId="{EAF55476-838B-4589-9BA4-F87ADFCC8A8B}" srcOrd="0" destOrd="0" presId="urn:microsoft.com/office/officeart/2005/8/layout/chevron1"/>
    <dgm:cxn modelId="{94FB74A4-9530-4827-8A37-9D826C4B84D9}" type="presParOf" srcId="{EAF55476-838B-4589-9BA4-F87ADFCC8A8B}" destId="{A0453670-1D48-41AF-ADDD-D2851D4CA859}" srcOrd="0" destOrd="0" presId="urn:microsoft.com/office/officeart/2005/8/layout/chevron1"/>
    <dgm:cxn modelId="{6816D3B0-3708-4A2B-A9EC-AD1723C08B2F}" type="presParOf" srcId="{EAF55476-838B-4589-9BA4-F87ADFCC8A8B}" destId="{1B3C3B1A-556F-423E-A301-91EFB511EDCA}" srcOrd="1" destOrd="0" presId="urn:microsoft.com/office/officeart/2005/8/layout/chevron1"/>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266D0A3B-BCF6-4C39-B0F8-FD4DC5BDC195}" type="doc">
      <dgm:prSet loTypeId="urn:microsoft.com/office/officeart/2005/8/layout/chevron1" loCatId="process" qsTypeId="urn:microsoft.com/office/officeart/2005/8/quickstyle/simple1" qsCatId="simple" csTypeId="urn:microsoft.com/office/officeart/2005/8/colors/accent1_2" csCatId="accent1" phldr="1"/>
      <dgm:spPr/>
    </dgm:pt>
    <dgm:pt modelId="{C1899D3B-9368-4430-8BBF-1575086ECE2A}">
      <dgm:prSet phldrT="[Text]" custT="1"/>
      <dgm:spPr>
        <a:solidFill>
          <a:srgbClr val="00B050"/>
        </a:solidFill>
      </dgm:spPr>
      <dgm:t>
        <a:bodyPr/>
        <a:lstStyle/>
        <a:p>
          <a:r>
            <a:rPr lang="en-GB" sz="1300"/>
            <a:t>Greenhouse</a:t>
          </a:r>
        </a:p>
        <a:p>
          <a:r>
            <a:rPr lang="en-GB" sz="1300"/>
            <a:t>gas emission</a:t>
          </a:r>
        </a:p>
      </dgm:t>
    </dgm:pt>
    <dgm:pt modelId="{DAB7A665-51BB-4BEB-A345-99D36C6E4538}" type="parTrans" cxnId="{2215F907-FB48-4D68-9E18-5C8205934F91}">
      <dgm:prSet/>
      <dgm:spPr/>
      <dgm:t>
        <a:bodyPr/>
        <a:lstStyle/>
        <a:p>
          <a:endParaRPr lang="en-GB"/>
        </a:p>
      </dgm:t>
    </dgm:pt>
    <dgm:pt modelId="{187E6B25-2610-4B31-9B7A-1FDFABFFFE1C}" type="sibTrans" cxnId="{2215F907-FB48-4D68-9E18-5C8205934F91}">
      <dgm:prSet/>
      <dgm:spPr/>
      <dgm:t>
        <a:bodyPr/>
        <a:lstStyle/>
        <a:p>
          <a:endParaRPr lang="en-GB"/>
        </a:p>
      </dgm:t>
    </dgm:pt>
    <dgm:pt modelId="{4F773773-0392-4EB9-95EB-616F56A8D49D}">
      <dgm:prSet phldrT="[Text]"/>
      <dgm:spPr/>
      <dgm:t>
        <a:bodyPr/>
        <a:lstStyle/>
        <a:p>
          <a:endParaRPr lang="en-GB"/>
        </a:p>
      </dgm:t>
    </dgm:pt>
    <dgm:pt modelId="{13944F36-1610-448B-B9E0-1271B12698A5}" type="parTrans" cxnId="{5C587D70-B475-48D9-A50A-60A59AA532C8}">
      <dgm:prSet/>
      <dgm:spPr/>
      <dgm:t>
        <a:bodyPr/>
        <a:lstStyle/>
        <a:p>
          <a:endParaRPr lang="en-GB"/>
        </a:p>
      </dgm:t>
    </dgm:pt>
    <dgm:pt modelId="{A8D90952-E15C-4097-866C-A7805BD002B0}" type="sibTrans" cxnId="{5C587D70-B475-48D9-A50A-60A59AA532C8}">
      <dgm:prSet/>
      <dgm:spPr/>
      <dgm:t>
        <a:bodyPr/>
        <a:lstStyle/>
        <a:p>
          <a:endParaRPr lang="en-GB"/>
        </a:p>
      </dgm:t>
    </dgm:pt>
    <dgm:pt modelId="{B29BE5F0-1B2B-4348-ADD9-E5F3CB87EB52}">
      <dgm:prSet phldrT="[Text]"/>
      <dgm:spPr/>
      <dgm:t>
        <a:bodyPr/>
        <a:lstStyle/>
        <a:p>
          <a:endParaRPr lang="en-GB"/>
        </a:p>
      </dgm:t>
    </dgm:pt>
    <dgm:pt modelId="{FDC93FE0-4074-4928-A077-0B0E7CC2CD8A}" type="parTrans" cxnId="{C2E8165A-BC08-46F7-B34C-A1B52338585E}">
      <dgm:prSet/>
      <dgm:spPr/>
      <dgm:t>
        <a:bodyPr/>
        <a:lstStyle/>
        <a:p>
          <a:endParaRPr lang="en-GB"/>
        </a:p>
      </dgm:t>
    </dgm:pt>
    <dgm:pt modelId="{45AB550D-8E2C-4EA5-BD30-4BF26103F47D}" type="sibTrans" cxnId="{C2E8165A-BC08-46F7-B34C-A1B52338585E}">
      <dgm:prSet/>
      <dgm:spPr/>
      <dgm:t>
        <a:bodyPr/>
        <a:lstStyle/>
        <a:p>
          <a:endParaRPr lang="en-GB"/>
        </a:p>
      </dgm:t>
    </dgm:pt>
    <dgm:pt modelId="{1066593A-50F8-43FF-968D-B9E431459B23}" type="pres">
      <dgm:prSet presAssocID="{266D0A3B-BCF6-4C39-B0F8-FD4DC5BDC195}" presName="Name0" presStyleCnt="0">
        <dgm:presLayoutVars>
          <dgm:dir/>
          <dgm:animLvl val="lvl"/>
          <dgm:resizeHandles val="exact"/>
        </dgm:presLayoutVars>
      </dgm:prSet>
      <dgm:spPr/>
    </dgm:pt>
    <dgm:pt modelId="{EAF55476-838B-4589-9BA4-F87ADFCC8A8B}" type="pres">
      <dgm:prSet presAssocID="{C1899D3B-9368-4430-8BBF-1575086ECE2A}" presName="composite" presStyleCnt="0"/>
      <dgm:spPr/>
    </dgm:pt>
    <dgm:pt modelId="{A0453670-1D48-41AF-ADDD-D2851D4CA859}" type="pres">
      <dgm:prSet presAssocID="{C1899D3B-9368-4430-8BBF-1575086ECE2A}" presName="parTx" presStyleLbl="node1" presStyleIdx="0" presStyleCnt="1" custLinFactNeighborX="-800" custLinFactNeighborY="91938">
        <dgm:presLayoutVars>
          <dgm:chMax val="0"/>
          <dgm:chPref val="0"/>
          <dgm:bulletEnabled val="1"/>
        </dgm:presLayoutVars>
      </dgm:prSet>
      <dgm:spPr/>
      <dgm:t>
        <a:bodyPr/>
        <a:lstStyle/>
        <a:p>
          <a:endParaRPr lang="en-GB"/>
        </a:p>
      </dgm:t>
    </dgm:pt>
    <dgm:pt modelId="{1B3C3B1A-556F-423E-A301-91EFB511EDCA}" type="pres">
      <dgm:prSet presAssocID="{C1899D3B-9368-4430-8BBF-1575086ECE2A}" presName="desTx" presStyleLbl="revTx" presStyleIdx="0" presStyleCnt="1">
        <dgm:presLayoutVars>
          <dgm:bulletEnabled val="1"/>
        </dgm:presLayoutVars>
      </dgm:prSet>
      <dgm:spPr/>
      <dgm:t>
        <a:bodyPr/>
        <a:lstStyle/>
        <a:p>
          <a:endParaRPr lang="en-GB"/>
        </a:p>
      </dgm:t>
    </dgm:pt>
  </dgm:ptLst>
  <dgm:cxnLst>
    <dgm:cxn modelId="{2215F907-FB48-4D68-9E18-5C8205934F91}" srcId="{266D0A3B-BCF6-4C39-B0F8-FD4DC5BDC195}" destId="{C1899D3B-9368-4430-8BBF-1575086ECE2A}" srcOrd="0" destOrd="0" parTransId="{DAB7A665-51BB-4BEB-A345-99D36C6E4538}" sibTransId="{187E6B25-2610-4B31-9B7A-1FDFABFFFE1C}"/>
    <dgm:cxn modelId="{23C46263-3AF2-4B4B-AD70-DFEAAC68FDEA}" type="presOf" srcId="{B29BE5F0-1B2B-4348-ADD9-E5F3CB87EB52}" destId="{1B3C3B1A-556F-423E-A301-91EFB511EDCA}" srcOrd="0" destOrd="1" presId="urn:microsoft.com/office/officeart/2005/8/layout/chevron1"/>
    <dgm:cxn modelId="{F5D8BD42-EAF8-4542-BD9B-ED671733272F}" type="presOf" srcId="{C1899D3B-9368-4430-8BBF-1575086ECE2A}" destId="{A0453670-1D48-41AF-ADDD-D2851D4CA859}" srcOrd="0" destOrd="0" presId="urn:microsoft.com/office/officeart/2005/8/layout/chevron1"/>
    <dgm:cxn modelId="{C6E81E97-028D-47E7-88A7-87A9E3D23352}" type="presOf" srcId="{266D0A3B-BCF6-4C39-B0F8-FD4DC5BDC195}" destId="{1066593A-50F8-43FF-968D-B9E431459B23}" srcOrd="0" destOrd="0" presId="urn:microsoft.com/office/officeart/2005/8/layout/chevron1"/>
    <dgm:cxn modelId="{C2E8165A-BC08-46F7-B34C-A1B52338585E}" srcId="{C1899D3B-9368-4430-8BBF-1575086ECE2A}" destId="{B29BE5F0-1B2B-4348-ADD9-E5F3CB87EB52}" srcOrd="1" destOrd="0" parTransId="{FDC93FE0-4074-4928-A077-0B0E7CC2CD8A}" sibTransId="{45AB550D-8E2C-4EA5-BD30-4BF26103F47D}"/>
    <dgm:cxn modelId="{4362815D-D762-4867-8BB2-AF9FDE4E0140}" type="presOf" srcId="{4F773773-0392-4EB9-95EB-616F56A8D49D}" destId="{1B3C3B1A-556F-423E-A301-91EFB511EDCA}" srcOrd="0" destOrd="0" presId="urn:microsoft.com/office/officeart/2005/8/layout/chevron1"/>
    <dgm:cxn modelId="{5C587D70-B475-48D9-A50A-60A59AA532C8}" srcId="{C1899D3B-9368-4430-8BBF-1575086ECE2A}" destId="{4F773773-0392-4EB9-95EB-616F56A8D49D}" srcOrd="0" destOrd="0" parTransId="{13944F36-1610-448B-B9E0-1271B12698A5}" sibTransId="{A8D90952-E15C-4097-866C-A7805BD002B0}"/>
    <dgm:cxn modelId="{131134FA-8842-4A9A-BF9C-BB5770A9640F}" type="presParOf" srcId="{1066593A-50F8-43FF-968D-B9E431459B23}" destId="{EAF55476-838B-4589-9BA4-F87ADFCC8A8B}" srcOrd="0" destOrd="0" presId="urn:microsoft.com/office/officeart/2005/8/layout/chevron1"/>
    <dgm:cxn modelId="{9CD62862-7D24-44FE-83D0-3B0854B5B98D}" type="presParOf" srcId="{EAF55476-838B-4589-9BA4-F87ADFCC8A8B}" destId="{A0453670-1D48-41AF-ADDD-D2851D4CA859}" srcOrd="0" destOrd="0" presId="urn:microsoft.com/office/officeart/2005/8/layout/chevron1"/>
    <dgm:cxn modelId="{587531DA-83C6-47F6-89B2-DC327EE78C48}" type="presParOf" srcId="{EAF55476-838B-4589-9BA4-F87ADFCC8A8B}" destId="{1B3C3B1A-556F-423E-A301-91EFB511EDCA}" srcOrd="1" destOrd="0" presId="urn:microsoft.com/office/officeart/2005/8/layout/chevron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266D0A3B-BCF6-4C39-B0F8-FD4DC5BDC195}" type="doc">
      <dgm:prSet loTypeId="urn:microsoft.com/office/officeart/2005/8/layout/chevron1" loCatId="process" qsTypeId="urn:microsoft.com/office/officeart/2005/8/quickstyle/simple1" qsCatId="simple" csTypeId="urn:microsoft.com/office/officeart/2005/8/colors/accent1_2" csCatId="accent1" phldr="1"/>
      <dgm:spPr/>
    </dgm:pt>
    <dgm:pt modelId="{C1899D3B-9368-4430-8BBF-1575086ECE2A}">
      <dgm:prSet phldrT="[Text]"/>
      <dgm:spPr/>
      <dgm:t>
        <a:bodyPr/>
        <a:lstStyle/>
        <a:p>
          <a:r>
            <a:rPr lang="en-GB"/>
            <a:t>Material</a:t>
          </a:r>
        </a:p>
      </dgm:t>
    </dgm:pt>
    <dgm:pt modelId="{DAB7A665-51BB-4BEB-A345-99D36C6E4538}" type="parTrans" cxnId="{2215F907-FB48-4D68-9E18-5C8205934F91}">
      <dgm:prSet/>
      <dgm:spPr/>
      <dgm:t>
        <a:bodyPr/>
        <a:lstStyle/>
        <a:p>
          <a:endParaRPr lang="en-GB"/>
        </a:p>
      </dgm:t>
    </dgm:pt>
    <dgm:pt modelId="{187E6B25-2610-4B31-9B7A-1FDFABFFFE1C}" type="sibTrans" cxnId="{2215F907-FB48-4D68-9E18-5C8205934F91}">
      <dgm:prSet/>
      <dgm:spPr/>
      <dgm:t>
        <a:bodyPr/>
        <a:lstStyle/>
        <a:p>
          <a:endParaRPr lang="en-GB"/>
        </a:p>
      </dgm:t>
    </dgm:pt>
    <dgm:pt modelId="{4F773773-0392-4EB9-95EB-616F56A8D49D}">
      <dgm:prSet phldrT="[Text]"/>
      <dgm:spPr/>
      <dgm:t>
        <a:bodyPr/>
        <a:lstStyle/>
        <a:p>
          <a:endParaRPr lang="en-GB"/>
        </a:p>
      </dgm:t>
    </dgm:pt>
    <dgm:pt modelId="{13944F36-1610-448B-B9E0-1271B12698A5}" type="parTrans" cxnId="{5C587D70-B475-48D9-A50A-60A59AA532C8}">
      <dgm:prSet/>
      <dgm:spPr/>
      <dgm:t>
        <a:bodyPr/>
        <a:lstStyle/>
        <a:p>
          <a:endParaRPr lang="en-GB"/>
        </a:p>
      </dgm:t>
    </dgm:pt>
    <dgm:pt modelId="{A8D90952-E15C-4097-866C-A7805BD002B0}" type="sibTrans" cxnId="{5C587D70-B475-48D9-A50A-60A59AA532C8}">
      <dgm:prSet/>
      <dgm:spPr/>
      <dgm:t>
        <a:bodyPr/>
        <a:lstStyle/>
        <a:p>
          <a:endParaRPr lang="en-GB"/>
        </a:p>
      </dgm:t>
    </dgm:pt>
    <dgm:pt modelId="{B29BE5F0-1B2B-4348-ADD9-E5F3CB87EB52}">
      <dgm:prSet phldrT="[Text]"/>
      <dgm:spPr/>
      <dgm:t>
        <a:bodyPr/>
        <a:lstStyle/>
        <a:p>
          <a:endParaRPr lang="en-GB"/>
        </a:p>
      </dgm:t>
    </dgm:pt>
    <dgm:pt modelId="{FDC93FE0-4074-4928-A077-0B0E7CC2CD8A}" type="parTrans" cxnId="{C2E8165A-BC08-46F7-B34C-A1B52338585E}">
      <dgm:prSet/>
      <dgm:spPr/>
      <dgm:t>
        <a:bodyPr/>
        <a:lstStyle/>
        <a:p>
          <a:endParaRPr lang="en-GB"/>
        </a:p>
      </dgm:t>
    </dgm:pt>
    <dgm:pt modelId="{45AB550D-8E2C-4EA5-BD30-4BF26103F47D}" type="sibTrans" cxnId="{C2E8165A-BC08-46F7-B34C-A1B52338585E}">
      <dgm:prSet/>
      <dgm:spPr/>
      <dgm:t>
        <a:bodyPr/>
        <a:lstStyle/>
        <a:p>
          <a:endParaRPr lang="en-GB"/>
        </a:p>
      </dgm:t>
    </dgm:pt>
    <dgm:pt modelId="{1066593A-50F8-43FF-968D-B9E431459B23}" type="pres">
      <dgm:prSet presAssocID="{266D0A3B-BCF6-4C39-B0F8-FD4DC5BDC195}" presName="Name0" presStyleCnt="0">
        <dgm:presLayoutVars>
          <dgm:dir/>
          <dgm:animLvl val="lvl"/>
          <dgm:resizeHandles val="exact"/>
        </dgm:presLayoutVars>
      </dgm:prSet>
      <dgm:spPr/>
    </dgm:pt>
    <dgm:pt modelId="{EAF55476-838B-4589-9BA4-F87ADFCC8A8B}" type="pres">
      <dgm:prSet presAssocID="{C1899D3B-9368-4430-8BBF-1575086ECE2A}" presName="composite" presStyleCnt="0"/>
      <dgm:spPr/>
    </dgm:pt>
    <dgm:pt modelId="{A0453670-1D48-41AF-ADDD-D2851D4CA859}" type="pres">
      <dgm:prSet presAssocID="{C1899D3B-9368-4430-8BBF-1575086ECE2A}" presName="parTx" presStyleLbl="node1" presStyleIdx="0" presStyleCnt="1" custLinFactX="14894" custLinFactNeighborX="100000" custLinFactNeighborY="11995">
        <dgm:presLayoutVars>
          <dgm:chMax val="0"/>
          <dgm:chPref val="0"/>
          <dgm:bulletEnabled val="1"/>
        </dgm:presLayoutVars>
      </dgm:prSet>
      <dgm:spPr/>
      <dgm:t>
        <a:bodyPr/>
        <a:lstStyle/>
        <a:p>
          <a:endParaRPr lang="en-GB"/>
        </a:p>
      </dgm:t>
    </dgm:pt>
    <dgm:pt modelId="{1B3C3B1A-556F-423E-A301-91EFB511EDCA}" type="pres">
      <dgm:prSet presAssocID="{C1899D3B-9368-4430-8BBF-1575086ECE2A}" presName="desTx" presStyleLbl="revTx" presStyleIdx="0" presStyleCnt="1">
        <dgm:presLayoutVars>
          <dgm:bulletEnabled val="1"/>
        </dgm:presLayoutVars>
      </dgm:prSet>
      <dgm:spPr/>
      <dgm:t>
        <a:bodyPr/>
        <a:lstStyle/>
        <a:p>
          <a:endParaRPr lang="en-GB"/>
        </a:p>
      </dgm:t>
    </dgm:pt>
  </dgm:ptLst>
  <dgm:cxnLst>
    <dgm:cxn modelId="{40BDB389-3D38-4DE5-BAAA-4BDBC4CA2934}" type="presOf" srcId="{266D0A3B-BCF6-4C39-B0F8-FD4DC5BDC195}" destId="{1066593A-50F8-43FF-968D-B9E431459B23}" srcOrd="0" destOrd="0" presId="urn:microsoft.com/office/officeart/2005/8/layout/chevron1"/>
    <dgm:cxn modelId="{2215F907-FB48-4D68-9E18-5C8205934F91}" srcId="{266D0A3B-BCF6-4C39-B0F8-FD4DC5BDC195}" destId="{C1899D3B-9368-4430-8BBF-1575086ECE2A}" srcOrd="0" destOrd="0" parTransId="{DAB7A665-51BB-4BEB-A345-99D36C6E4538}" sibTransId="{187E6B25-2610-4B31-9B7A-1FDFABFFFE1C}"/>
    <dgm:cxn modelId="{5D2A2886-C1E1-4EAF-B986-89C90D1009E7}" type="presOf" srcId="{4F773773-0392-4EB9-95EB-616F56A8D49D}" destId="{1B3C3B1A-556F-423E-A301-91EFB511EDCA}" srcOrd="0" destOrd="0" presId="urn:microsoft.com/office/officeart/2005/8/layout/chevron1"/>
    <dgm:cxn modelId="{477CD0DF-6C62-45D6-BE3D-06C3BA25979E}" type="presOf" srcId="{B29BE5F0-1B2B-4348-ADD9-E5F3CB87EB52}" destId="{1B3C3B1A-556F-423E-A301-91EFB511EDCA}" srcOrd="0" destOrd="1" presId="urn:microsoft.com/office/officeart/2005/8/layout/chevron1"/>
    <dgm:cxn modelId="{C2E8165A-BC08-46F7-B34C-A1B52338585E}" srcId="{C1899D3B-9368-4430-8BBF-1575086ECE2A}" destId="{B29BE5F0-1B2B-4348-ADD9-E5F3CB87EB52}" srcOrd="1" destOrd="0" parTransId="{FDC93FE0-4074-4928-A077-0B0E7CC2CD8A}" sibTransId="{45AB550D-8E2C-4EA5-BD30-4BF26103F47D}"/>
    <dgm:cxn modelId="{5C587D70-B475-48D9-A50A-60A59AA532C8}" srcId="{C1899D3B-9368-4430-8BBF-1575086ECE2A}" destId="{4F773773-0392-4EB9-95EB-616F56A8D49D}" srcOrd="0" destOrd="0" parTransId="{13944F36-1610-448B-B9E0-1271B12698A5}" sibTransId="{A8D90952-E15C-4097-866C-A7805BD002B0}"/>
    <dgm:cxn modelId="{CB393BD7-F9B5-4DE9-B021-D6280A53B0B7}" type="presOf" srcId="{C1899D3B-9368-4430-8BBF-1575086ECE2A}" destId="{A0453670-1D48-41AF-ADDD-D2851D4CA859}" srcOrd="0" destOrd="0" presId="urn:microsoft.com/office/officeart/2005/8/layout/chevron1"/>
    <dgm:cxn modelId="{784FBF39-0A75-47B2-A19D-BFE754E2E092}" type="presParOf" srcId="{1066593A-50F8-43FF-968D-B9E431459B23}" destId="{EAF55476-838B-4589-9BA4-F87ADFCC8A8B}" srcOrd="0" destOrd="0" presId="urn:microsoft.com/office/officeart/2005/8/layout/chevron1"/>
    <dgm:cxn modelId="{4753EBEC-6DE9-42EA-B445-988D1E88DC2E}" type="presParOf" srcId="{EAF55476-838B-4589-9BA4-F87ADFCC8A8B}" destId="{A0453670-1D48-41AF-ADDD-D2851D4CA859}" srcOrd="0" destOrd="0" presId="urn:microsoft.com/office/officeart/2005/8/layout/chevron1"/>
    <dgm:cxn modelId="{8D385B57-154A-49AB-9EA2-7D21C5B94EB9}" type="presParOf" srcId="{EAF55476-838B-4589-9BA4-F87ADFCC8A8B}" destId="{1B3C3B1A-556F-423E-A301-91EFB511EDCA}" srcOrd="1" destOrd="0" presId="urn:microsoft.com/office/officeart/2005/8/layout/chevron1"/>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BC981D-7986-4C20-9C2F-F0958A9E48E2}">
      <dsp:nvSpPr>
        <dsp:cNvPr id="0" name=""/>
        <dsp:cNvSpPr/>
      </dsp:nvSpPr>
      <dsp:spPr>
        <a:xfrm>
          <a:off x="3109040" y="1304970"/>
          <a:ext cx="266800" cy="91440"/>
        </a:xfrm>
        <a:custGeom>
          <a:avLst/>
          <a:gdLst/>
          <a:ahLst/>
          <a:cxnLst/>
          <a:rect l="0" t="0" r="0" b="0"/>
          <a:pathLst>
            <a:path>
              <a:moveTo>
                <a:pt x="0" y="45720"/>
              </a:moveTo>
              <a:lnTo>
                <a:pt x="266800" y="45720"/>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1A59A48-4C83-4F47-B439-1586B0175362}">
      <dsp:nvSpPr>
        <dsp:cNvPr id="0" name=""/>
        <dsp:cNvSpPr/>
      </dsp:nvSpPr>
      <dsp:spPr>
        <a:xfrm>
          <a:off x="1508240" y="777070"/>
          <a:ext cx="266800" cy="573620"/>
        </a:xfrm>
        <a:custGeom>
          <a:avLst/>
          <a:gdLst/>
          <a:ahLst/>
          <a:cxnLst/>
          <a:rect l="0" t="0" r="0" b="0"/>
          <a:pathLst>
            <a:path>
              <a:moveTo>
                <a:pt x="0" y="0"/>
              </a:moveTo>
              <a:lnTo>
                <a:pt x="133400" y="0"/>
              </a:lnTo>
              <a:lnTo>
                <a:pt x="133400" y="573620"/>
              </a:lnTo>
              <a:lnTo>
                <a:pt x="266800" y="573620"/>
              </a:lnTo>
            </a:path>
          </a:pathLst>
        </a:custGeom>
        <a:noFill/>
        <a:ln w="12700" cap="flat" cmpd="sng" algn="ctr">
          <a:solidFill>
            <a:schemeClr val="accent2">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695BB95-2F35-48EF-AAAD-4F57EAFB5CE1}">
      <dsp:nvSpPr>
        <dsp:cNvPr id="0" name=""/>
        <dsp:cNvSpPr/>
      </dsp:nvSpPr>
      <dsp:spPr>
        <a:xfrm>
          <a:off x="3109040" y="731350"/>
          <a:ext cx="266800" cy="91440"/>
        </a:xfrm>
        <a:custGeom>
          <a:avLst/>
          <a:gdLst/>
          <a:ahLst/>
          <a:cxnLst/>
          <a:rect l="0" t="0" r="0" b="0"/>
          <a:pathLst>
            <a:path>
              <a:moveTo>
                <a:pt x="0" y="45720"/>
              </a:moveTo>
              <a:lnTo>
                <a:pt x="266800" y="45720"/>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4D9C5F1-A910-4404-9F1E-5498E49FAA6A}">
      <dsp:nvSpPr>
        <dsp:cNvPr id="0" name=""/>
        <dsp:cNvSpPr/>
      </dsp:nvSpPr>
      <dsp:spPr>
        <a:xfrm>
          <a:off x="1508240" y="731350"/>
          <a:ext cx="266800" cy="91440"/>
        </a:xfrm>
        <a:custGeom>
          <a:avLst/>
          <a:gdLst/>
          <a:ahLst/>
          <a:cxnLst/>
          <a:rect l="0" t="0" r="0" b="0"/>
          <a:pathLst>
            <a:path>
              <a:moveTo>
                <a:pt x="0" y="45720"/>
              </a:moveTo>
              <a:lnTo>
                <a:pt x="266800" y="45720"/>
              </a:lnTo>
            </a:path>
          </a:pathLst>
        </a:custGeom>
        <a:noFill/>
        <a:ln w="12700" cap="flat" cmpd="sng" algn="ctr">
          <a:solidFill>
            <a:schemeClr val="accent2">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1AB31B1-6BE1-4CB8-A8A6-842531A621DD}">
      <dsp:nvSpPr>
        <dsp:cNvPr id="0" name=""/>
        <dsp:cNvSpPr/>
      </dsp:nvSpPr>
      <dsp:spPr>
        <a:xfrm>
          <a:off x="3109040" y="157730"/>
          <a:ext cx="266800" cy="91440"/>
        </a:xfrm>
        <a:custGeom>
          <a:avLst/>
          <a:gdLst/>
          <a:ahLst/>
          <a:cxnLst/>
          <a:rect l="0" t="0" r="0" b="0"/>
          <a:pathLst>
            <a:path>
              <a:moveTo>
                <a:pt x="0" y="45720"/>
              </a:moveTo>
              <a:lnTo>
                <a:pt x="266800" y="45720"/>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8227C20-7986-474E-B38C-9D97E7007B2B}">
      <dsp:nvSpPr>
        <dsp:cNvPr id="0" name=""/>
        <dsp:cNvSpPr/>
      </dsp:nvSpPr>
      <dsp:spPr>
        <a:xfrm>
          <a:off x="1508240" y="203450"/>
          <a:ext cx="266800" cy="573620"/>
        </a:xfrm>
        <a:custGeom>
          <a:avLst/>
          <a:gdLst/>
          <a:ahLst/>
          <a:cxnLst/>
          <a:rect l="0" t="0" r="0" b="0"/>
          <a:pathLst>
            <a:path>
              <a:moveTo>
                <a:pt x="0" y="573620"/>
              </a:moveTo>
              <a:lnTo>
                <a:pt x="133400" y="573620"/>
              </a:lnTo>
              <a:lnTo>
                <a:pt x="133400" y="0"/>
              </a:lnTo>
              <a:lnTo>
                <a:pt x="266800" y="0"/>
              </a:lnTo>
            </a:path>
          </a:pathLst>
        </a:custGeom>
        <a:noFill/>
        <a:ln w="12700" cap="flat" cmpd="sng" algn="ctr">
          <a:solidFill>
            <a:schemeClr val="accent2">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8398C44-C422-4026-A93E-D244AF6C16A5}">
      <dsp:nvSpPr>
        <dsp:cNvPr id="0" name=""/>
        <dsp:cNvSpPr/>
      </dsp:nvSpPr>
      <dsp:spPr>
        <a:xfrm>
          <a:off x="174239" y="573635"/>
          <a:ext cx="1334000" cy="406870"/>
        </a:xfrm>
        <a:prstGeom prst="rect">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t>Type I</a:t>
          </a:r>
        </a:p>
      </dsp:txBody>
      <dsp:txXfrm>
        <a:off x="174239" y="573635"/>
        <a:ext cx="1334000" cy="406870"/>
      </dsp:txXfrm>
    </dsp:sp>
    <dsp:sp modelId="{C3D0677E-0E71-4928-98BC-294FB708069A}">
      <dsp:nvSpPr>
        <dsp:cNvPr id="0" name=""/>
        <dsp:cNvSpPr/>
      </dsp:nvSpPr>
      <dsp:spPr>
        <a:xfrm>
          <a:off x="1775040" y="15"/>
          <a:ext cx="1334000" cy="406870"/>
        </a:xfrm>
        <a:prstGeom prst="rect">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t>a</a:t>
          </a:r>
        </a:p>
      </dsp:txBody>
      <dsp:txXfrm>
        <a:off x="1775040" y="15"/>
        <a:ext cx="1334000" cy="406870"/>
      </dsp:txXfrm>
    </dsp:sp>
    <dsp:sp modelId="{C1B4D526-CFA1-4909-9660-2DE3A8A690D4}">
      <dsp:nvSpPr>
        <dsp:cNvPr id="0" name=""/>
        <dsp:cNvSpPr/>
      </dsp:nvSpPr>
      <dsp:spPr>
        <a:xfrm>
          <a:off x="3375840" y="15"/>
          <a:ext cx="1334000" cy="406870"/>
        </a:xfrm>
        <a:prstGeom prst="rect">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t>Substances </a:t>
          </a:r>
        </a:p>
        <a:p>
          <a:pPr lvl="0" algn="ctr" defTabSz="355600">
            <a:lnSpc>
              <a:spcPct val="90000"/>
            </a:lnSpc>
            <a:spcBef>
              <a:spcPct val="0"/>
            </a:spcBef>
            <a:spcAft>
              <a:spcPct val="35000"/>
            </a:spcAft>
          </a:pPr>
          <a:r>
            <a:rPr lang="en-GB" sz="800" kern="1200"/>
            <a:t>e.g. Cd, Cl, CFC</a:t>
          </a:r>
        </a:p>
      </dsp:txBody>
      <dsp:txXfrm>
        <a:off x="3375840" y="15"/>
        <a:ext cx="1334000" cy="406870"/>
      </dsp:txXfrm>
    </dsp:sp>
    <dsp:sp modelId="{32899470-9839-4427-9DEA-F8C88564E441}">
      <dsp:nvSpPr>
        <dsp:cNvPr id="0" name=""/>
        <dsp:cNvSpPr/>
      </dsp:nvSpPr>
      <dsp:spPr>
        <a:xfrm>
          <a:off x="1775040" y="573635"/>
          <a:ext cx="1334000" cy="406870"/>
        </a:xfrm>
        <a:prstGeom prst="rect">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t>b</a:t>
          </a:r>
        </a:p>
      </dsp:txBody>
      <dsp:txXfrm>
        <a:off x="1775040" y="573635"/>
        <a:ext cx="1334000" cy="406870"/>
      </dsp:txXfrm>
    </dsp:sp>
    <dsp:sp modelId="{BD5F334F-B423-4F58-963A-ADC4E486003C}">
      <dsp:nvSpPr>
        <dsp:cNvPr id="0" name=""/>
        <dsp:cNvSpPr/>
      </dsp:nvSpPr>
      <dsp:spPr>
        <a:xfrm>
          <a:off x="3375840" y="573635"/>
          <a:ext cx="1334000" cy="406870"/>
        </a:xfrm>
        <a:prstGeom prst="rect">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t>Materials </a:t>
          </a:r>
        </a:p>
        <a:p>
          <a:pPr lvl="0" algn="ctr" defTabSz="355600">
            <a:lnSpc>
              <a:spcPct val="90000"/>
            </a:lnSpc>
            <a:spcBef>
              <a:spcPct val="0"/>
            </a:spcBef>
            <a:spcAft>
              <a:spcPct val="35000"/>
            </a:spcAft>
          </a:pPr>
          <a:r>
            <a:rPr lang="en-GB" sz="800" kern="1200"/>
            <a:t>e.g.biomass, energy carriers, plastics</a:t>
          </a:r>
        </a:p>
      </dsp:txBody>
      <dsp:txXfrm>
        <a:off x="3375840" y="573635"/>
        <a:ext cx="1334000" cy="406870"/>
      </dsp:txXfrm>
    </dsp:sp>
    <dsp:sp modelId="{0B928769-4AEA-40C2-A5A2-E89C32943CAA}">
      <dsp:nvSpPr>
        <dsp:cNvPr id="0" name=""/>
        <dsp:cNvSpPr/>
      </dsp:nvSpPr>
      <dsp:spPr>
        <a:xfrm>
          <a:off x="1775040" y="1147255"/>
          <a:ext cx="1334000" cy="406870"/>
        </a:xfrm>
        <a:prstGeom prst="rect">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t>c</a:t>
          </a:r>
        </a:p>
      </dsp:txBody>
      <dsp:txXfrm>
        <a:off x="1775040" y="1147255"/>
        <a:ext cx="1334000" cy="406870"/>
      </dsp:txXfrm>
    </dsp:sp>
    <dsp:sp modelId="{50D44B2B-E4D5-473C-B956-B380DE34F7DC}">
      <dsp:nvSpPr>
        <dsp:cNvPr id="0" name=""/>
        <dsp:cNvSpPr/>
      </dsp:nvSpPr>
      <dsp:spPr>
        <a:xfrm>
          <a:off x="3375840" y="1147255"/>
          <a:ext cx="1334000" cy="406870"/>
        </a:xfrm>
        <a:prstGeom prst="rect">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t>Products </a:t>
          </a:r>
        </a:p>
        <a:p>
          <a:pPr lvl="0" algn="ctr" defTabSz="355600">
            <a:lnSpc>
              <a:spcPct val="90000"/>
            </a:lnSpc>
            <a:spcBef>
              <a:spcPct val="0"/>
            </a:spcBef>
            <a:spcAft>
              <a:spcPct val="35000"/>
            </a:spcAft>
          </a:pPr>
          <a:r>
            <a:rPr lang="en-GB" sz="800" kern="1200"/>
            <a:t>e.g. batteries, cars, diapers</a:t>
          </a:r>
        </a:p>
      </dsp:txBody>
      <dsp:txXfrm>
        <a:off x="3375840" y="1147255"/>
        <a:ext cx="1334000" cy="40687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38C614-B81C-4424-AAB8-149ADFD9AF41}">
      <dsp:nvSpPr>
        <dsp:cNvPr id="0" name=""/>
        <dsp:cNvSpPr/>
      </dsp:nvSpPr>
      <dsp:spPr>
        <a:xfrm>
          <a:off x="3076058" y="1326737"/>
          <a:ext cx="271098" cy="91440"/>
        </a:xfrm>
        <a:custGeom>
          <a:avLst/>
          <a:gdLst/>
          <a:ahLst/>
          <a:cxnLst/>
          <a:rect l="0" t="0" r="0" b="0"/>
          <a:pathLst>
            <a:path>
              <a:moveTo>
                <a:pt x="0" y="45720"/>
              </a:moveTo>
              <a:lnTo>
                <a:pt x="271098" y="4572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3BC981D-7986-4C20-9C2F-F0958A9E48E2}">
      <dsp:nvSpPr>
        <dsp:cNvPr id="0" name=""/>
        <dsp:cNvSpPr/>
      </dsp:nvSpPr>
      <dsp:spPr>
        <a:xfrm>
          <a:off x="1449468" y="789596"/>
          <a:ext cx="271098" cy="582861"/>
        </a:xfrm>
        <a:custGeom>
          <a:avLst/>
          <a:gdLst/>
          <a:ahLst/>
          <a:cxnLst/>
          <a:rect l="0" t="0" r="0" b="0"/>
          <a:pathLst>
            <a:path>
              <a:moveTo>
                <a:pt x="0" y="0"/>
              </a:moveTo>
              <a:lnTo>
                <a:pt x="135549" y="0"/>
              </a:lnTo>
              <a:lnTo>
                <a:pt x="135549" y="582861"/>
              </a:lnTo>
              <a:lnTo>
                <a:pt x="271098" y="582861"/>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695BB95-2F35-48EF-AAAD-4F57EAFB5CE1}">
      <dsp:nvSpPr>
        <dsp:cNvPr id="0" name=""/>
        <dsp:cNvSpPr/>
      </dsp:nvSpPr>
      <dsp:spPr>
        <a:xfrm>
          <a:off x="3076058" y="743876"/>
          <a:ext cx="271098" cy="91440"/>
        </a:xfrm>
        <a:custGeom>
          <a:avLst/>
          <a:gdLst/>
          <a:ahLst/>
          <a:cxnLst/>
          <a:rect l="0" t="0" r="0" b="0"/>
          <a:pathLst>
            <a:path>
              <a:moveTo>
                <a:pt x="0" y="45720"/>
              </a:moveTo>
              <a:lnTo>
                <a:pt x="271098" y="4572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4D9C5F1-A910-4404-9F1E-5498E49FAA6A}">
      <dsp:nvSpPr>
        <dsp:cNvPr id="0" name=""/>
        <dsp:cNvSpPr/>
      </dsp:nvSpPr>
      <dsp:spPr>
        <a:xfrm>
          <a:off x="1449468" y="743876"/>
          <a:ext cx="271098" cy="91440"/>
        </a:xfrm>
        <a:custGeom>
          <a:avLst/>
          <a:gdLst/>
          <a:ahLst/>
          <a:cxnLst/>
          <a:rect l="0" t="0" r="0" b="0"/>
          <a:pathLst>
            <a:path>
              <a:moveTo>
                <a:pt x="0" y="45720"/>
              </a:moveTo>
              <a:lnTo>
                <a:pt x="271098" y="4572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1AB31B1-6BE1-4CB8-A8A6-842531A621DD}">
      <dsp:nvSpPr>
        <dsp:cNvPr id="0" name=""/>
        <dsp:cNvSpPr/>
      </dsp:nvSpPr>
      <dsp:spPr>
        <a:xfrm>
          <a:off x="3076058" y="161015"/>
          <a:ext cx="271098" cy="91440"/>
        </a:xfrm>
        <a:custGeom>
          <a:avLst/>
          <a:gdLst/>
          <a:ahLst/>
          <a:cxnLst/>
          <a:rect l="0" t="0" r="0" b="0"/>
          <a:pathLst>
            <a:path>
              <a:moveTo>
                <a:pt x="0" y="45720"/>
              </a:moveTo>
              <a:lnTo>
                <a:pt x="271098" y="4572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8227C20-7986-474E-B38C-9D97E7007B2B}">
      <dsp:nvSpPr>
        <dsp:cNvPr id="0" name=""/>
        <dsp:cNvSpPr/>
      </dsp:nvSpPr>
      <dsp:spPr>
        <a:xfrm>
          <a:off x="1449468" y="206735"/>
          <a:ext cx="271098" cy="582861"/>
        </a:xfrm>
        <a:custGeom>
          <a:avLst/>
          <a:gdLst/>
          <a:ahLst/>
          <a:cxnLst/>
          <a:rect l="0" t="0" r="0" b="0"/>
          <a:pathLst>
            <a:path>
              <a:moveTo>
                <a:pt x="0" y="582861"/>
              </a:moveTo>
              <a:lnTo>
                <a:pt x="135549" y="582861"/>
              </a:lnTo>
              <a:lnTo>
                <a:pt x="135549" y="0"/>
              </a:lnTo>
              <a:lnTo>
                <a:pt x="271098" y="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8398C44-C422-4026-A93E-D244AF6C16A5}">
      <dsp:nvSpPr>
        <dsp:cNvPr id="0" name=""/>
        <dsp:cNvSpPr/>
      </dsp:nvSpPr>
      <dsp:spPr>
        <a:xfrm>
          <a:off x="93976" y="582884"/>
          <a:ext cx="1355491" cy="413424"/>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t>Type II</a:t>
          </a:r>
        </a:p>
      </dsp:txBody>
      <dsp:txXfrm>
        <a:off x="93976" y="582884"/>
        <a:ext cx="1355491" cy="413424"/>
      </dsp:txXfrm>
    </dsp:sp>
    <dsp:sp modelId="{C3D0677E-0E71-4928-98BC-294FB708069A}">
      <dsp:nvSpPr>
        <dsp:cNvPr id="0" name=""/>
        <dsp:cNvSpPr/>
      </dsp:nvSpPr>
      <dsp:spPr>
        <a:xfrm>
          <a:off x="1720566" y="22"/>
          <a:ext cx="1355491" cy="413424"/>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t>a</a:t>
          </a:r>
        </a:p>
      </dsp:txBody>
      <dsp:txXfrm>
        <a:off x="1720566" y="22"/>
        <a:ext cx="1355491" cy="413424"/>
      </dsp:txXfrm>
    </dsp:sp>
    <dsp:sp modelId="{C1B4D526-CFA1-4909-9660-2DE3A8A690D4}">
      <dsp:nvSpPr>
        <dsp:cNvPr id="0" name=""/>
        <dsp:cNvSpPr/>
      </dsp:nvSpPr>
      <dsp:spPr>
        <a:xfrm>
          <a:off x="3347156" y="22"/>
          <a:ext cx="1355491" cy="413424"/>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t>Firms</a:t>
          </a:r>
        </a:p>
        <a:p>
          <a:pPr lvl="0" algn="ctr" defTabSz="355600">
            <a:lnSpc>
              <a:spcPct val="90000"/>
            </a:lnSpc>
            <a:spcBef>
              <a:spcPct val="0"/>
            </a:spcBef>
            <a:spcAft>
              <a:spcPct val="35000"/>
            </a:spcAft>
          </a:pPr>
          <a:r>
            <a:rPr lang="en-GB" sz="800" kern="1200"/>
            <a:t>e.g. small and medium plnats, large companies</a:t>
          </a:r>
        </a:p>
      </dsp:txBody>
      <dsp:txXfrm>
        <a:off x="3347156" y="22"/>
        <a:ext cx="1355491" cy="413424"/>
      </dsp:txXfrm>
    </dsp:sp>
    <dsp:sp modelId="{32899470-9839-4427-9DEA-F8C88564E441}">
      <dsp:nvSpPr>
        <dsp:cNvPr id="0" name=""/>
        <dsp:cNvSpPr/>
      </dsp:nvSpPr>
      <dsp:spPr>
        <a:xfrm>
          <a:off x="1720566" y="582884"/>
          <a:ext cx="1355491" cy="413424"/>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t>b</a:t>
          </a:r>
        </a:p>
      </dsp:txBody>
      <dsp:txXfrm>
        <a:off x="1720566" y="582884"/>
        <a:ext cx="1355491" cy="413424"/>
      </dsp:txXfrm>
    </dsp:sp>
    <dsp:sp modelId="{BD5F334F-B423-4F58-963A-ADC4E486003C}">
      <dsp:nvSpPr>
        <dsp:cNvPr id="0" name=""/>
        <dsp:cNvSpPr/>
      </dsp:nvSpPr>
      <dsp:spPr>
        <a:xfrm>
          <a:off x="3347156" y="582884"/>
          <a:ext cx="1355491" cy="413424"/>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t>Sectors </a:t>
          </a:r>
        </a:p>
        <a:p>
          <a:pPr lvl="0" algn="ctr" defTabSz="355600">
            <a:lnSpc>
              <a:spcPct val="90000"/>
            </a:lnSpc>
            <a:spcBef>
              <a:spcPct val="0"/>
            </a:spcBef>
            <a:spcAft>
              <a:spcPct val="35000"/>
            </a:spcAft>
          </a:pPr>
          <a:r>
            <a:rPr lang="en-GB" sz="800" kern="1200"/>
            <a:t>e.g. chemical industry, construction</a:t>
          </a:r>
        </a:p>
      </dsp:txBody>
      <dsp:txXfrm>
        <a:off x="3347156" y="582884"/>
        <a:ext cx="1355491" cy="413424"/>
      </dsp:txXfrm>
    </dsp:sp>
    <dsp:sp modelId="{50D44B2B-E4D5-473C-B956-B380DE34F7DC}">
      <dsp:nvSpPr>
        <dsp:cNvPr id="0" name=""/>
        <dsp:cNvSpPr/>
      </dsp:nvSpPr>
      <dsp:spPr>
        <a:xfrm>
          <a:off x="1720566" y="1165745"/>
          <a:ext cx="1355491" cy="413424"/>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t>c</a:t>
          </a:r>
        </a:p>
      </dsp:txBody>
      <dsp:txXfrm>
        <a:off x="1720566" y="1165745"/>
        <a:ext cx="1355491" cy="413424"/>
      </dsp:txXfrm>
    </dsp:sp>
    <dsp:sp modelId="{B6333A78-34A9-431F-B682-8C6ACA3317B7}">
      <dsp:nvSpPr>
        <dsp:cNvPr id="0" name=""/>
        <dsp:cNvSpPr/>
      </dsp:nvSpPr>
      <dsp:spPr>
        <a:xfrm>
          <a:off x="3347156" y="1165745"/>
          <a:ext cx="1355491" cy="413424"/>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t>Regions</a:t>
          </a:r>
        </a:p>
        <a:p>
          <a:pPr lvl="0" algn="ctr" defTabSz="355600">
            <a:lnSpc>
              <a:spcPct val="90000"/>
            </a:lnSpc>
            <a:spcBef>
              <a:spcPct val="0"/>
            </a:spcBef>
            <a:spcAft>
              <a:spcPct val="35000"/>
            </a:spcAft>
          </a:pPr>
          <a:r>
            <a:rPr lang="en-GB" sz="800" kern="1200"/>
            <a:t> e.g.mass flow balance, total material requirement</a:t>
          </a:r>
        </a:p>
      </dsp:txBody>
      <dsp:txXfrm>
        <a:off x="3347156" y="1165745"/>
        <a:ext cx="1355491" cy="41342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453670-1D48-41AF-ADDD-D2851D4CA859}">
      <dsp:nvSpPr>
        <dsp:cNvPr id="0" name=""/>
        <dsp:cNvSpPr/>
      </dsp:nvSpPr>
      <dsp:spPr>
        <a:xfrm>
          <a:off x="0" y="64397"/>
          <a:ext cx="1103630" cy="44145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2007" tIns="17336" rIns="17336" bIns="17336" numCol="1" spcCol="1270" anchor="ctr" anchorCtr="0">
          <a:noAutofit/>
        </a:bodyPr>
        <a:lstStyle/>
        <a:p>
          <a:pPr lvl="0" algn="ctr" defTabSz="577850">
            <a:lnSpc>
              <a:spcPct val="90000"/>
            </a:lnSpc>
            <a:spcBef>
              <a:spcPct val="0"/>
            </a:spcBef>
            <a:spcAft>
              <a:spcPct val="35000"/>
            </a:spcAft>
          </a:pPr>
          <a:r>
            <a:rPr lang="en-GB" sz="1300" kern="1200"/>
            <a:t>Material</a:t>
          </a:r>
        </a:p>
      </dsp:txBody>
      <dsp:txXfrm>
        <a:off x="220726" y="64397"/>
        <a:ext cx="662178" cy="441452"/>
      </dsp:txXfrm>
    </dsp:sp>
    <dsp:sp modelId="{1B3C3B1A-556F-423E-A301-91EFB511EDCA}">
      <dsp:nvSpPr>
        <dsp:cNvPr id="0" name=""/>
        <dsp:cNvSpPr/>
      </dsp:nvSpPr>
      <dsp:spPr>
        <a:xfrm>
          <a:off x="0" y="508079"/>
          <a:ext cx="882904" cy="39487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114300" lvl="1" indent="-114300" algn="l" defTabSz="577850">
            <a:lnSpc>
              <a:spcPct val="90000"/>
            </a:lnSpc>
            <a:spcBef>
              <a:spcPct val="0"/>
            </a:spcBef>
            <a:spcAft>
              <a:spcPct val="15000"/>
            </a:spcAft>
            <a:buChar char="••"/>
          </a:pPr>
          <a:endParaRPr lang="en-GB" sz="1300" kern="1200"/>
        </a:p>
        <a:p>
          <a:pPr marL="114300" lvl="1" indent="-114300" algn="l" defTabSz="577850">
            <a:lnSpc>
              <a:spcPct val="90000"/>
            </a:lnSpc>
            <a:spcBef>
              <a:spcPct val="0"/>
            </a:spcBef>
            <a:spcAft>
              <a:spcPct val="15000"/>
            </a:spcAft>
            <a:buChar char="••"/>
          </a:pPr>
          <a:endParaRPr lang="en-GB" sz="1300" kern="1200"/>
        </a:p>
      </dsp:txBody>
      <dsp:txXfrm>
        <a:off x="0" y="508079"/>
        <a:ext cx="882904" cy="394875"/>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6.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7.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08C7C84C-DE5F-4065-8A92-99B004F248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242</Pages>
  <Words>74400</Words>
  <Characters>424084</Characters>
  <Application>Microsoft Office Word</Application>
  <DocSecurity>0</DocSecurity>
  <Lines>3534</Lines>
  <Paragraphs>994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497490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Raheel</dc:creator>
  <cp:keywords/>
  <dc:description/>
  <cp:lastModifiedBy>Raheel</cp:lastModifiedBy>
  <cp:revision>12</cp:revision>
  <cp:lastPrinted>2017-02-23T03:05:00Z</cp:lastPrinted>
  <dcterms:created xsi:type="dcterms:W3CDTF">2017-11-01T19:18:00Z</dcterms:created>
  <dcterms:modified xsi:type="dcterms:W3CDTF">2017-11-14T11:02:00Z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(author-date)</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http://www.zotero.org/styles/ieee</vt:lpwstr>
  </property>
</Properties>
</file>